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261" w:rsidRDefault="003A6AEA">
      <w:pPr>
        <w:jc w:val="center"/>
        <w:rPr>
          <w:rFonts w:ascii="Times New Roman" w:eastAsia="黑体" w:hAnsi="Times New Roman" w:cs="Times New Roman"/>
          <w:b/>
          <w:sz w:val="32"/>
        </w:rPr>
      </w:pPr>
      <w:r>
        <w:rPr>
          <w:rFonts w:ascii="PalatinoLinotype,Bold" w:hAnsi="PalatinoLinotype,Bold" w:cs="PalatinoLinotype,Bold"/>
          <w:b/>
          <w:bCs/>
          <w:kern w:val="0"/>
          <w:sz w:val="28"/>
          <w:szCs w:val="28"/>
        </w:rPr>
        <w:t>Supplementary Material</w:t>
      </w:r>
    </w:p>
    <w:p w:rsidR="00C90261" w:rsidRPr="00CB1487" w:rsidRDefault="00EB10AB" w:rsidP="00EB10AB">
      <w:pPr>
        <w:spacing w:beforeLines="100" w:before="312" w:after="100" w:afterAutospacing="1"/>
        <w:jc w:val="center"/>
        <w:rPr>
          <w:rFonts w:ascii="Times New Roman" w:eastAsia="黑体" w:hAnsi="Times New Roman" w:cs="Times New Roman"/>
          <w:b/>
          <w:sz w:val="32"/>
        </w:rPr>
      </w:pPr>
      <w:proofErr w:type="spellStart"/>
      <w:r w:rsidRPr="00CB1487">
        <w:rPr>
          <w:rFonts w:ascii="Times New Roman" w:eastAsia="黑体" w:hAnsi="Times New Roman" w:cs="Times New Roman"/>
          <w:b/>
          <w:sz w:val="32"/>
        </w:rPr>
        <w:t>Antineuroinflammatory</w:t>
      </w:r>
      <w:proofErr w:type="spellEnd"/>
      <w:r w:rsidRPr="00CB1487">
        <w:rPr>
          <w:rFonts w:ascii="Times New Roman" w:eastAsia="黑体" w:hAnsi="Times New Roman" w:cs="Times New Roman"/>
          <w:b/>
          <w:sz w:val="32"/>
        </w:rPr>
        <w:t xml:space="preserve"> e</w:t>
      </w:r>
      <w:r w:rsidRPr="00CB1487">
        <w:rPr>
          <w:rFonts w:ascii="Times New Roman" w:eastAsia="黑体" w:hAnsi="Times New Roman" w:cs="Times New Roman" w:hint="eastAsia"/>
          <w:b/>
          <w:sz w:val="32"/>
        </w:rPr>
        <w:t>ffects of d</w:t>
      </w:r>
      <w:r w:rsidRPr="00CB1487">
        <w:rPr>
          <w:rFonts w:ascii="Times New Roman" w:eastAsia="黑体" w:hAnsi="Times New Roman" w:cs="Times New Roman"/>
          <w:b/>
          <w:sz w:val="32"/>
        </w:rPr>
        <w:t xml:space="preserve">l-3-n-butylphthalide </w:t>
      </w:r>
      <w:r w:rsidRPr="00CB1487">
        <w:rPr>
          <w:rFonts w:ascii="Times New Roman" w:eastAsia="宋体" w:hAnsi="Times New Roman" w:cs="Times New Roman"/>
          <w:b/>
          <w:color w:val="000000"/>
          <w:sz w:val="32"/>
          <w:szCs w:val="29"/>
          <w:shd w:val="clear" w:color="auto" w:fill="FFFFFF"/>
        </w:rPr>
        <w:t>c</w:t>
      </w:r>
      <w:r w:rsidRPr="00CB1487">
        <w:rPr>
          <w:rFonts w:ascii="Times New Roman" w:eastAsia="黑体" w:hAnsi="Times New Roman" w:cs="Times New Roman"/>
          <w:b/>
          <w:sz w:val="32"/>
        </w:rPr>
        <w:t>onferred by stimulation of Foxp3</w:t>
      </w:r>
      <w:r w:rsidRPr="00CB1487">
        <w:rPr>
          <w:rFonts w:ascii="Times New Roman" w:eastAsia="黑体" w:hAnsi="Times New Roman" w:cs="Times New Roman" w:hint="eastAsia"/>
          <w:b/>
          <w:sz w:val="32"/>
        </w:rPr>
        <w:t xml:space="preserve"> and </w:t>
      </w:r>
      <w:r w:rsidRPr="00CB1487">
        <w:rPr>
          <w:rFonts w:ascii="Times New Roman" w:eastAsia="黑体" w:hAnsi="Times New Roman" w:cs="Times New Roman"/>
          <w:b/>
          <w:sz w:val="32"/>
        </w:rPr>
        <w:t xml:space="preserve">Ki-67 </w:t>
      </w:r>
      <w:r w:rsidRPr="00CB1487">
        <w:rPr>
          <w:rFonts w:ascii="Times New Roman" w:eastAsia="黑体" w:hAnsi="Times New Roman" w:cs="Times New Roman" w:hint="eastAsia"/>
          <w:b/>
          <w:sz w:val="32"/>
        </w:rPr>
        <w:t>in</w:t>
      </w:r>
      <w:r w:rsidRPr="00CB1487">
        <w:rPr>
          <w:rFonts w:ascii="Times New Roman" w:eastAsia="黑体" w:hAnsi="Times New Roman" w:cs="Times New Roman"/>
          <w:b/>
          <w:sz w:val="32"/>
        </w:rPr>
        <w:t xml:space="preserve"> </w:t>
      </w:r>
      <w:r w:rsidRPr="00CB1487">
        <w:rPr>
          <w:rFonts w:ascii="Times New Roman" w:eastAsia="黑体" w:hAnsi="Times New Roman" w:cs="Times New Roman" w:hint="eastAsia"/>
          <w:b/>
          <w:sz w:val="32"/>
        </w:rPr>
        <w:t xml:space="preserve">an </w:t>
      </w:r>
      <w:r w:rsidRPr="00CB1487">
        <w:rPr>
          <w:rFonts w:ascii="Times New Roman" w:eastAsia="黑体" w:hAnsi="Times New Roman" w:cs="Times New Roman"/>
          <w:b/>
          <w:sz w:val="32"/>
        </w:rPr>
        <w:t>ischemic stroke</w:t>
      </w:r>
      <w:r w:rsidRPr="00CB1487">
        <w:rPr>
          <w:rFonts w:ascii="Times New Roman" w:eastAsia="黑体" w:hAnsi="Times New Roman" w:cs="Times New Roman" w:hint="eastAsia"/>
          <w:b/>
          <w:sz w:val="32"/>
        </w:rPr>
        <w:t xml:space="preserve"> model</w:t>
      </w:r>
    </w:p>
    <w:p w:rsidR="00C90261" w:rsidRDefault="003A6AEA" w:rsidP="00CB1487">
      <w:pPr>
        <w:jc w:val="center"/>
        <w:rPr>
          <w:rFonts w:ascii="Times New Roman" w:eastAsia="黑体" w:hAnsi="Times New Roman" w:cs="Times New Roman"/>
          <w:b/>
          <w:sz w:val="32"/>
        </w:rPr>
      </w:pPr>
      <w:r>
        <w:rPr>
          <w:rFonts w:ascii="Times New Roman" w:eastAsia="黑体" w:hAnsi="Times New Roman" w:cs="Times New Roman"/>
          <w:b/>
          <w:noProof/>
          <w:sz w:val="32"/>
        </w:rPr>
        <w:drawing>
          <wp:inline distT="0" distB="0" distL="0" distR="0">
            <wp:extent cx="5399405" cy="6774815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77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10AB" w:rsidRPr="00EF320F" w:rsidRDefault="00EB10AB" w:rsidP="00EB10AB">
      <w:pPr>
        <w:autoSpaceDE w:val="0"/>
        <w:autoSpaceDN w:val="0"/>
        <w:adjustRightInd w:val="0"/>
        <w:spacing w:line="400" w:lineRule="exact"/>
        <w:jc w:val="left"/>
        <w:rPr>
          <w:rFonts w:ascii="PalatinoLinotype,Bold" w:hAnsi="PalatinoLinotype,Bold" w:cs="PalatinoLinotype,Bold"/>
          <w:bCs/>
          <w:kern w:val="0"/>
          <w:sz w:val="20"/>
          <w:szCs w:val="20"/>
        </w:rPr>
      </w:pPr>
      <w:r w:rsidRPr="00EF320F">
        <w:rPr>
          <w:rFonts w:ascii="PalatinoLinotype,Bold" w:hAnsi="PalatinoLinotype,Bold" w:cs="PalatinoLinotype,Bold"/>
          <w:b/>
          <w:bCs/>
          <w:kern w:val="0"/>
          <w:sz w:val="20"/>
          <w:szCs w:val="20"/>
        </w:rPr>
        <w:lastRenderedPageBreak/>
        <w:t>Figure S1.</w:t>
      </w:r>
      <w:r w:rsidRPr="00EF320F">
        <w:rPr>
          <w:rFonts w:ascii="PalatinoLinotype" w:hAnsi="PalatinoLinotype" w:cs="PalatinoLinotype"/>
          <w:kern w:val="0"/>
          <w:sz w:val="20"/>
          <w:szCs w:val="20"/>
        </w:rPr>
        <w:t xml:space="preserve"> NBP alleviated the abnormal accumulation of glucose and citric acid,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improved the levels of metabolites involved in the glutamate-glutamine</w:t>
      </w:r>
      <w:r w:rsidRPr="00EF320F">
        <w:rPr>
          <w:rFonts w:ascii="PalatinoLinotype,Bold" w:hAnsi="PalatinoLinotype,Bold" w:cs="PalatinoLinotype,Bold" w:hint="eastAsia"/>
          <w:bCs/>
          <w:kern w:val="0"/>
          <w:sz w:val="20"/>
          <w:szCs w:val="20"/>
        </w:rPr>
        <w:t xml:space="preserve">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cycle</w:t>
      </w:r>
      <w:r w:rsidRPr="00EF320F">
        <w:rPr>
          <w:rFonts w:ascii="PalatinoLinotype" w:hAnsi="PalatinoLinotype" w:cs="PalatinoLinotype"/>
          <w:kern w:val="0"/>
          <w:sz w:val="20"/>
          <w:szCs w:val="20"/>
        </w:rPr>
        <w:t xml:space="preserve"> (A), enhanced ATP metabolism </w:t>
      </w:r>
      <w:r w:rsidRPr="00EF320F">
        <w:rPr>
          <w:rFonts w:ascii="PalatinoLinotype,Bold" w:hAnsi="PalatinoLinotype,Bold" w:cs="PalatinoLinotype,Bold" w:hint="eastAsia"/>
          <w:bCs/>
          <w:kern w:val="0"/>
          <w:sz w:val="20"/>
          <w:szCs w:val="20"/>
        </w:rPr>
        <w:t>(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B)</w:t>
      </w:r>
      <w:r w:rsidRPr="00EF320F">
        <w:rPr>
          <w:rFonts w:ascii="PalatinoLinotype" w:hAnsi="PalatinoLinotype" w:cs="PalatinoLinotype"/>
          <w:kern w:val="0"/>
          <w:sz w:val="20"/>
          <w:szCs w:val="20"/>
        </w:rPr>
        <w:t xml:space="preserve">, and increased the levels of antioxidants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(C) in a</w:t>
      </w:r>
      <w:r w:rsidRPr="00EF320F">
        <w:rPr>
          <w:rFonts w:ascii="PalatinoLinotype,Bold" w:hAnsi="PalatinoLinotype,Bold" w:cs="PalatinoLinotype,Bold" w:hint="eastAsia"/>
          <w:bCs/>
          <w:kern w:val="0"/>
          <w:sz w:val="20"/>
          <w:szCs w:val="20"/>
        </w:rPr>
        <w:t xml:space="preserve">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 xml:space="preserve">rat model of </w:t>
      </w:r>
      <w:proofErr w:type="spellStart"/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pMCAO</w:t>
      </w:r>
      <w:proofErr w:type="spellEnd"/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 xml:space="preserve">.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MALDI-TOF-MS imaging of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glucose (215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2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), citric acid (191.05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glutamate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(146.07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glutamine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(145.07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ATP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(505.85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ADP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(425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.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97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AMP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(346.01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GMP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(362.01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taurine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(124.0</w:t>
      </w:r>
      <w:bookmarkStart w:id="0" w:name="_GoBack"/>
      <w:bookmarkEnd w:id="0"/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glutathione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(306.05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, and ascorbic acid 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(175.05 </w:t>
      </w:r>
      <w:r w:rsidRPr="00EF320F">
        <w:rPr>
          <w:rFonts w:ascii="Times New Roman" w:hAnsi="Times New Roman" w:cs="Times New Roman"/>
          <w:kern w:val="0"/>
          <w:sz w:val="20"/>
          <w:szCs w:val="20"/>
          <w:lang w:val="de-DE"/>
        </w:rPr>
        <w:t>±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 xml:space="preserve"> 0.1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 xml:space="preserve"> </w:t>
      </w:r>
      <w:r w:rsidRPr="00EF320F">
        <w:rPr>
          <w:rFonts w:ascii="PalatinoLinotype" w:hAnsi="PalatinoLinotype" w:cs="PalatinoLinotype" w:hint="eastAsia"/>
          <w:kern w:val="0"/>
          <w:sz w:val="20"/>
          <w:szCs w:val="20"/>
          <w:lang w:val="de-DE"/>
        </w:rPr>
        <w:t>Da</w:t>
      </w:r>
      <w:r w:rsidRPr="00EF320F">
        <w:rPr>
          <w:rFonts w:ascii="PalatinoLinotype" w:hAnsi="PalatinoLinotype" w:cs="PalatinoLinotype"/>
          <w:kern w:val="0"/>
          <w:sz w:val="20"/>
          <w:szCs w:val="20"/>
          <w:lang w:val="de-DE"/>
        </w:rPr>
        <w:t>)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  <w:lang w:val="de-DE"/>
        </w:rPr>
        <w:t xml:space="preserve">.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 xml:space="preserve">The spatial resolution was set to </w:t>
      </w:r>
      <w:r w:rsidRPr="00EF320F">
        <w:rPr>
          <w:rFonts w:ascii="PalatinoLinotype,Bold" w:hAnsi="PalatinoLinotype,Bold" w:cs="PalatinoLinotype,Bold" w:hint="eastAsia"/>
          <w:bCs/>
          <w:kern w:val="0"/>
          <w:sz w:val="20"/>
          <w:szCs w:val="20"/>
        </w:rPr>
        <w:t>1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 xml:space="preserve">00 </w:t>
      </w:r>
      <w:proofErr w:type="spellStart"/>
      <w:r w:rsidRPr="00EF320F">
        <w:rPr>
          <w:rFonts w:ascii="times" w:hAnsi="times" w:cs="PalatinoLinotype,Bold"/>
          <w:bCs/>
          <w:kern w:val="0"/>
          <w:sz w:val="20"/>
          <w:szCs w:val="20"/>
        </w:rPr>
        <w:t>μ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m</w:t>
      </w:r>
      <w:proofErr w:type="spellEnd"/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.</w:t>
      </w:r>
      <w:r w:rsidRPr="00EF320F">
        <w:rPr>
          <w:rFonts w:ascii="PalatinoLinotype,Bold" w:hAnsi="PalatinoLinotype,Bold" w:cs="PalatinoLinotype,Bold" w:hint="eastAsia"/>
          <w:bCs/>
          <w:kern w:val="0"/>
          <w:sz w:val="20"/>
          <w:szCs w:val="20"/>
        </w:rPr>
        <w:t xml:space="preserve">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 xml:space="preserve">Scale bar = 5 mm. Sham: sham surgery group; </w:t>
      </w:r>
      <w:proofErr w:type="spellStart"/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pMCAO</w:t>
      </w:r>
      <w:proofErr w:type="spellEnd"/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: permanent middle cerebral artery occlusion</w:t>
      </w:r>
      <w:r w:rsidRPr="00EF320F">
        <w:rPr>
          <w:rFonts w:ascii="PalatinoLinotype,Bold" w:eastAsia="宋体" w:hAnsi="PalatinoLinotype,Bold" w:cs="PalatinoLinotype,Bold"/>
          <w:bCs/>
          <w:kern w:val="0"/>
          <w:sz w:val="20"/>
          <w:szCs w:val="20"/>
        </w:rPr>
        <w:t xml:space="preserve"> </w:t>
      </w:r>
      <w:r w:rsidRPr="00EF320F">
        <w:rPr>
          <w:rFonts w:ascii="PalatinoLinotype,Bold" w:hAnsi="PalatinoLinotype,Bold" w:cs="PalatinoLinotype,Bold"/>
          <w:bCs/>
          <w:kern w:val="0"/>
          <w:sz w:val="20"/>
          <w:szCs w:val="20"/>
        </w:rPr>
        <w:t>group; NBP: dl-3-n-butylphthalide-treated group.</w:t>
      </w:r>
    </w:p>
    <w:p w:rsidR="00C90261" w:rsidRPr="00EB10AB" w:rsidRDefault="00C90261" w:rsidP="00EB10A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C90261" w:rsidRPr="00EB1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369" w:rsidRDefault="00131369" w:rsidP="00EB10AB">
      <w:r>
        <w:separator/>
      </w:r>
    </w:p>
  </w:endnote>
  <w:endnote w:type="continuationSeparator" w:id="0">
    <w:p w:rsidR="00131369" w:rsidRDefault="00131369" w:rsidP="00EB1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Linotype,Bold">
    <w:altName w:val="Palatino Linotype"/>
    <w:charset w:val="00"/>
    <w:family w:val="roman"/>
    <w:pitch w:val="default"/>
    <w:sig w:usb0="00000000" w:usb1="00000000" w:usb2="00000000" w:usb3="00000000" w:csb0="00000001" w:csb1="00000000"/>
  </w:font>
  <w:font w:name="PalatinoLinotype">
    <w:altName w:val="Palatino Linotype"/>
    <w:charset w:val="00"/>
    <w:family w:val="roman"/>
    <w:pitch w:val="default"/>
    <w:sig w:usb0="00000000" w:usb1="00000000" w:usb2="00000000" w:usb3="00000000" w:csb0="00000001" w:csb1="00000000"/>
  </w:font>
  <w:font w:name="times">
    <w:panose1 w:val="020206030504050203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369" w:rsidRDefault="00131369" w:rsidP="00EB10AB">
      <w:r>
        <w:separator/>
      </w:r>
    </w:p>
  </w:footnote>
  <w:footnote w:type="continuationSeparator" w:id="0">
    <w:p w:rsidR="00131369" w:rsidRDefault="00131369" w:rsidP="00EB1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83C"/>
    <w:rsid w:val="00131369"/>
    <w:rsid w:val="00177646"/>
    <w:rsid w:val="001A7993"/>
    <w:rsid w:val="001D2105"/>
    <w:rsid w:val="002761A3"/>
    <w:rsid w:val="00294161"/>
    <w:rsid w:val="002B1DBC"/>
    <w:rsid w:val="002D544C"/>
    <w:rsid w:val="003058CE"/>
    <w:rsid w:val="003A5BC5"/>
    <w:rsid w:val="003A6AEA"/>
    <w:rsid w:val="004B069A"/>
    <w:rsid w:val="004D40BB"/>
    <w:rsid w:val="005A5E1E"/>
    <w:rsid w:val="0070183C"/>
    <w:rsid w:val="00840191"/>
    <w:rsid w:val="00845C16"/>
    <w:rsid w:val="009738AC"/>
    <w:rsid w:val="009A01B3"/>
    <w:rsid w:val="00A27FD3"/>
    <w:rsid w:val="00AA74B0"/>
    <w:rsid w:val="00B023DA"/>
    <w:rsid w:val="00B6762B"/>
    <w:rsid w:val="00BD346E"/>
    <w:rsid w:val="00C45558"/>
    <w:rsid w:val="00C90261"/>
    <w:rsid w:val="00CB1487"/>
    <w:rsid w:val="00D26A88"/>
    <w:rsid w:val="00DE7511"/>
    <w:rsid w:val="00DE7E1F"/>
    <w:rsid w:val="00EB10AB"/>
    <w:rsid w:val="00EF320F"/>
    <w:rsid w:val="00F51241"/>
    <w:rsid w:val="00FA2040"/>
    <w:rsid w:val="00FC3CBB"/>
    <w:rsid w:val="18462190"/>
    <w:rsid w:val="506A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1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0A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0AB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10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10A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1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0A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0AB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10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10A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86D96D-7564-4D50-85A8-1ECE4787F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xi</dc:creator>
  <cp:lastModifiedBy>Windows 用户</cp:lastModifiedBy>
  <cp:revision>33</cp:revision>
  <dcterms:created xsi:type="dcterms:W3CDTF">2019-11-24T11:41:00Z</dcterms:created>
  <dcterms:modified xsi:type="dcterms:W3CDTF">2020-02-16T05:22:00Z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