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F32C1" w14:textId="42C19D47" w:rsidR="00166E52" w:rsidRPr="002C3CEC" w:rsidRDefault="003E7573" w:rsidP="0005164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3CEC">
        <w:rPr>
          <w:rFonts w:ascii="Times New Roman" w:hAnsi="Times New Roman" w:cs="Times New Roman"/>
          <w:b/>
          <w:bCs/>
          <w:sz w:val="28"/>
          <w:szCs w:val="28"/>
        </w:rPr>
        <w:t>Supplementary materials and methods</w:t>
      </w:r>
    </w:p>
    <w:p w14:paraId="235C7301" w14:textId="1AB7CC92" w:rsidR="005876F5" w:rsidRPr="0005164B" w:rsidRDefault="005876F5" w:rsidP="00520BC6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05164B">
        <w:rPr>
          <w:rFonts w:ascii="Times New Roman" w:hAnsi="Times New Roman" w:cs="Times New Roman"/>
          <w:sz w:val="24"/>
          <w:szCs w:val="24"/>
        </w:rPr>
        <w:t xml:space="preserve">The threshold element ratios (TER) for </w:t>
      </w:r>
      <w:r w:rsidR="00BF177B" w:rsidRPr="0005164B">
        <w:rPr>
          <w:rFonts w:ascii="Times New Roman" w:hAnsi="Times New Roman" w:cs="Times New Roman"/>
          <w:sz w:val="24"/>
          <w:szCs w:val="24"/>
        </w:rPr>
        <w:t>carbon (C) to nitrogen (N) or phosphorus (P)</w:t>
      </w:r>
      <w:r w:rsidRPr="0005164B">
        <w:rPr>
          <w:rFonts w:ascii="Times New Roman" w:hAnsi="Times New Roman" w:cs="Times New Roman"/>
          <w:sz w:val="24"/>
          <w:szCs w:val="24"/>
        </w:rPr>
        <w:t xml:space="preserve"> were calculated as</w:t>
      </w:r>
      <w:r w:rsidR="006A126C" w:rsidRPr="0005164B">
        <w:rPr>
          <w:rFonts w:ascii="Times New Roman" w:hAnsi="Times New Roman" w:cs="Times New Roman"/>
          <w:sz w:val="24"/>
          <w:szCs w:val="24"/>
        </w:rPr>
        <w:t xml:space="preserve"> </w:t>
      </w:r>
      <w:r w:rsidR="0005164B" w:rsidRPr="0005164B">
        <w:rPr>
          <w:rFonts w:ascii="Times New Roman" w:hAnsi="Times New Roman" w:cs="Times New Roman"/>
          <w:sz w:val="24"/>
          <w:szCs w:val="24"/>
        </w:rPr>
        <w:t>equation S1</w:t>
      </w:r>
      <w:r w:rsidR="00D477FF">
        <w:rPr>
          <w:rFonts w:ascii="Times New Roman" w:hAnsi="Times New Roman" w:cs="Times New Roman"/>
          <w:sz w:val="24"/>
          <w:szCs w:val="24"/>
        </w:rPr>
        <w:t xml:space="preserve"> </w:t>
      </w:r>
      <w:r w:rsidR="006A126C" w:rsidRPr="0005164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A126C" w:rsidRPr="0005164B">
        <w:rPr>
          <w:rFonts w:ascii="Times New Roman" w:hAnsi="Times New Roman" w:cs="Times New Roman"/>
          <w:sz w:val="24"/>
          <w:szCs w:val="24"/>
        </w:rPr>
        <w:t>Sinsabaugh</w:t>
      </w:r>
      <w:proofErr w:type="spellEnd"/>
      <w:r w:rsidR="006A126C" w:rsidRPr="0005164B">
        <w:rPr>
          <w:rFonts w:ascii="Times New Roman" w:hAnsi="Times New Roman" w:cs="Times New Roman"/>
          <w:sz w:val="24"/>
          <w:szCs w:val="24"/>
        </w:rPr>
        <w:t xml:space="preserve"> et al., 2016)</w:t>
      </w:r>
      <w:r w:rsidRPr="0005164B">
        <w:rPr>
          <w:rFonts w:ascii="Times New Roman" w:hAnsi="Times New Roman" w:cs="Times New Roman"/>
          <w:sz w:val="24"/>
          <w:szCs w:val="24"/>
        </w:rPr>
        <w:t>:</w:t>
      </w:r>
    </w:p>
    <w:p w14:paraId="769B8931" w14:textId="09A439C1" w:rsidR="0005164B" w:rsidRDefault="00831F01" w:rsidP="00520BC6">
      <w:pPr>
        <w:spacing w:line="360" w:lineRule="auto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TER</m:t>
            </m:r>
          </m:e>
          <m:sub>
            <m:r>
              <w:rPr>
                <w:rFonts w:ascii="Cambria Math" w:hAnsi="Cambria Math"/>
              </w:rPr>
              <m:t>C:X</m:t>
            </m:r>
          </m:sub>
        </m:sSub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  <m:r>
              <w:rPr>
                <w:rFonts w:ascii="Cambria Math" w:hAnsi="Cambria Math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w:rPr>
                    <w:rFonts w:ascii="Cambria Math" w:hAnsi="Cambria Math"/>
                  </w:rPr>
                  <m:t>C:X</m:t>
                </m:r>
              </m:sub>
            </m:sSub>
          </m:e>
        </m:d>
        <m:r>
          <w:rPr>
            <w:rFonts w:ascii="Cambria Math" w:hAnsi="Cambria Math"/>
          </w:rPr>
          <m:t>/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CUE</m:t>
            </m:r>
          </m:e>
          <m:sub>
            <m:r>
              <w:rPr>
                <w:rFonts w:ascii="Cambria Math" w:hAnsi="Cambria Math"/>
              </w:rPr>
              <m:t>C:X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C:X</m:t>
            </m:r>
          </m:sub>
        </m:sSub>
        <m: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EEA</m:t>
            </m:r>
          </m:e>
          <m:sub>
            <m:r>
              <w:rPr>
                <w:rFonts w:ascii="Cambria Math" w:hAnsi="Cambria Math"/>
              </w:rPr>
              <m:t>C:X</m:t>
            </m:r>
          </m:sub>
        </m:sSub>
      </m:oMath>
      <w:r w:rsidR="0063785B">
        <w:rPr>
          <w:rFonts w:ascii="Times New Roman" w:hAnsi="Times New Roman" w:cs="Times New Roman"/>
          <w:sz w:val="24"/>
          <w:szCs w:val="24"/>
        </w:rPr>
        <w:t xml:space="preserve">           (</w:t>
      </w:r>
      <w:r w:rsidR="0005164B">
        <w:rPr>
          <w:rFonts w:ascii="Times New Roman" w:hAnsi="Times New Roman" w:cs="Times New Roman"/>
          <w:sz w:val="24"/>
          <w:szCs w:val="24"/>
        </w:rPr>
        <w:t>S</w:t>
      </w:r>
      <w:r w:rsidR="0063785B">
        <w:rPr>
          <w:rFonts w:ascii="Times New Roman" w:hAnsi="Times New Roman" w:cs="Times New Roman"/>
          <w:sz w:val="24"/>
          <w:szCs w:val="24"/>
        </w:rPr>
        <w:t>1)</w:t>
      </w:r>
    </w:p>
    <w:p w14:paraId="2F78D996" w14:textId="6055DCEB" w:rsidR="00EE630E" w:rsidRPr="003433BF" w:rsidRDefault="00520BC6" w:rsidP="003433BF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8C6A2B" w:rsidRPr="00D266F9">
        <w:rPr>
          <w:rFonts w:ascii="Times New Roman" w:hAnsi="Times New Roman" w:cs="Times New Roman"/>
          <w:sz w:val="24"/>
          <w:szCs w:val="24"/>
        </w:rPr>
        <w:t xml:space="preserve">here X means N or P, </w:t>
      </w:r>
      <w:r w:rsidR="00D266F9" w:rsidRPr="00D266F9">
        <w:rPr>
          <w:rFonts w:ascii="Times New Roman" w:hAnsi="Times New Roman" w:cs="Times New Roman"/>
          <w:sz w:val="24"/>
          <w:szCs w:val="24"/>
        </w:rPr>
        <w:t>A</w:t>
      </w:r>
      <w:r w:rsidR="00D266F9" w:rsidRPr="005F414C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D266F9" w:rsidRPr="00D266F9">
        <w:rPr>
          <w:rFonts w:ascii="Times New Roman" w:hAnsi="Times New Roman" w:cs="Times New Roman"/>
          <w:sz w:val="24"/>
          <w:szCs w:val="24"/>
        </w:rPr>
        <w:t xml:space="preserve"> is the apparent assimilation efficiency for X, CUE</w:t>
      </w:r>
      <w:r w:rsidR="00D266F9" w:rsidRPr="005F414C">
        <w:rPr>
          <w:rFonts w:ascii="Times New Roman" w:hAnsi="Times New Roman" w:cs="Times New Roman"/>
          <w:sz w:val="24"/>
          <w:szCs w:val="24"/>
          <w:vertAlign w:val="subscript"/>
        </w:rPr>
        <w:t>C:X</w:t>
      </w:r>
      <w:r w:rsidR="00D266F9" w:rsidRPr="00D266F9">
        <w:rPr>
          <w:rFonts w:ascii="Times New Roman" w:hAnsi="Times New Roman" w:cs="Times New Roman"/>
          <w:sz w:val="24"/>
          <w:szCs w:val="24"/>
        </w:rPr>
        <w:t xml:space="preserve"> is the carbon use efficiency from C:X data, </w:t>
      </w:r>
      <w:r w:rsidR="008C6A2B" w:rsidRPr="00D266F9">
        <w:rPr>
          <w:rFonts w:ascii="Times New Roman" w:hAnsi="Times New Roman" w:cs="Times New Roman"/>
          <w:sz w:val="24"/>
          <w:szCs w:val="24"/>
        </w:rPr>
        <w:t>L</w:t>
      </w:r>
      <w:r w:rsidR="008C6A2B" w:rsidRPr="005F414C">
        <w:rPr>
          <w:rFonts w:ascii="Times New Roman" w:hAnsi="Times New Roman" w:cs="Times New Roman"/>
          <w:sz w:val="24"/>
          <w:szCs w:val="24"/>
          <w:vertAlign w:val="subscript"/>
        </w:rPr>
        <w:t>C:X</w:t>
      </w:r>
      <w:r w:rsidR="008C6A2B" w:rsidRPr="00D266F9">
        <w:rPr>
          <w:rFonts w:ascii="Times New Roman" w:hAnsi="Times New Roman" w:cs="Times New Roman"/>
          <w:sz w:val="24"/>
          <w:szCs w:val="24"/>
        </w:rPr>
        <w:t xml:space="preserve"> is the labile organic matter C to X ratio, B</w:t>
      </w:r>
      <w:r w:rsidR="008C6A2B" w:rsidRPr="005F414C">
        <w:rPr>
          <w:rFonts w:ascii="Times New Roman" w:hAnsi="Times New Roman" w:cs="Times New Roman"/>
          <w:sz w:val="24"/>
          <w:szCs w:val="24"/>
          <w:vertAlign w:val="subscript"/>
        </w:rPr>
        <w:t>C:X</w:t>
      </w:r>
      <w:r w:rsidR="008C6A2B" w:rsidRPr="00D266F9">
        <w:rPr>
          <w:rFonts w:ascii="Times New Roman" w:hAnsi="Times New Roman" w:cs="Times New Roman"/>
          <w:sz w:val="24"/>
          <w:szCs w:val="24"/>
        </w:rPr>
        <w:t xml:space="preserve"> is the microbial biomass C to X ratio, </w:t>
      </w:r>
      <w:r w:rsidR="00D477FF">
        <w:rPr>
          <w:rFonts w:ascii="Times New Roman" w:hAnsi="Times New Roman" w:cs="Times New Roman" w:hint="eastAsia"/>
          <w:sz w:val="24"/>
          <w:szCs w:val="24"/>
        </w:rPr>
        <w:t>and</w:t>
      </w:r>
      <w:r w:rsidR="00EC7571" w:rsidRPr="00D266F9">
        <w:rPr>
          <w:rFonts w:ascii="Times New Roman" w:hAnsi="Times New Roman" w:cs="Times New Roman"/>
          <w:sz w:val="24"/>
          <w:szCs w:val="24"/>
        </w:rPr>
        <w:t xml:space="preserve"> EEA</w:t>
      </w:r>
      <w:r w:rsidR="00EC7571" w:rsidRPr="005F414C">
        <w:rPr>
          <w:rFonts w:ascii="Times New Roman" w:hAnsi="Times New Roman" w:cs="Times New Roman"/>
          <w:sz w:val="24"/>
          <w:szCs w:val="24"/>
          <w:vertAlign w:val="subscript"/>
        </w:rPr>
        <w:t>C:X</w:t>
      </w:r>
      <w:r w:rsidR="00EC7571" w:rsidRPr="00D266F9">
        <w:rPr>
          <w:rFonts w:ascii="Times New Roman" w:hAnsi="Times New Roman" w:cs="Times New Roman"/>
          <w:sz w:val="24"/>
          <w:szCs w:val="24"/>
        </w:rPr>
        <w:t xml:space="preserve"> is the </w:t>
      </w:r>
      <w:proofErr w:type="spellStart"/>
      <w:r w:rsidR="00EC7571" w:rsidRPr="00D266F9">
        <w:rPr>
          <w:rFonts w:ascii="Times New Roman" w:hAnsi="Times New Roman" w:cs="Times New Roman"/>
          <w:sz w:val="24"/>
          <w:szCs w:val="24"/>
        </w:rPr>
        <w:t>ecoenzymatic</w:t>
      </w:r>
      <w:proofErr w:type="spellEnd"/>
      <w:r w:rsidR="00EC7571" w:rsidRPr="00D266F9">
        <w:rPr>
          <w:rFonts w:ascii="Times New Roman" w:hAnsi="Times New Roman" w:cs="Times New Roman"/>
          <w:sz w:val="24"/>
          <w:szCs w:val="24"/>
        </w:rPr>
        <w:t xml:space="preserve"> activity carbon to X ratio. Specifically, EEA</w:t>
      </w:r>
      <w:r w:rsidR="00EC7571" w:rsidRPr="005F414C">
        <w:rPr>
          <w:rFonts w:ascii="Times New Roman" w:hAnsi="Times New Roman" w:cs="Times New Roman"/>
          <w:sz w:val="24"/>
          <w:szCs w:val="24"/>
          <w:vertAlign w:val="subscript"/>
        </w:rPr>
        <w:t>C:</w:t>
      </w:r>
      <w:r w:rsidR="00801E2F" w:rsidRPr="005F414C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="00EC7571" w:rsidRPr="00D266F9">
        <w:rPr>
          <w:rFonts w:ascii="Times New Roman" w:hAnsi="Times New Roman" w:cs="Times New Roman"/>
          <w:sz w:val="24"/>
          <w:szCs w:val="24"/>
        </w:rPr>
        <w:t xml:space="preserve"> is calculated as (CBH</w:t>
      </w:r>
      <w:r w:rsidR="00C820E7" w:rsidRPr="00D266F9">
        <w:rPr>
          <w:rFonts w:ascii="Times New Roman" w:hAnsi="Times New Roman" w:cs="Times New Roman"/>
          <w:sz w:val="24"/>
          <w:szCs w:val="24"/>
        </w:rPr>
        <w:t>+BG</w:t>
      </w:r>
      <w:r w:rsidR="00EC7571" w:rsidRPr="00D266F9">
        <w:rPr>
          <w:rFonts w:ascii="Times New Roman" w:hAnsi="Times New Roman" w:cs="Times New Roman"/>
          <w:sz w:val="24"/>
          <w:szCs w:val="24"/>
        </w:rPr>
        <w:t>)/(</w:t>
      </w:r>
      <w:r w:rsidR="00C820E7" w:rsidRPr="00D266F9">
        <w:rPr>
          <w:rFonts w:ascii="Times New Roman" w:hAnsi="Times New Roman" w:cs="Times New Roman"/>
          <w:sz w:val="24"/>
          <w:szCs w:val="24"/>
        </w:rPr>
        <w:t>CBH+BG</w:t>
      </w:r>
      <w:r w:rsidR="00EC7571" w:rsidRPr="00D266F9">
        <w:rPr>
          <w:rFonts w:ascii="Times New Roman" w:hAnsi="Times New Roman" w:cs="Times New Roman"/>
          <w:sz w:val="24"/>
          <w:szCs w:val="24"/>
        </w:rPr>
        <w:t>+NAG+LAP)</w:t>
      </w:r>
      <w:r w:rsidR="00D266F9">
        <w:rPr>
          <w:rFonts w:ascii="Times New Roman" w:hAnsi="Times New Roman" w:cs="Times New Roman"/>
          <w:sz w:val="24"/>
          <w:szCs w:val="24"/>
        </w:rPr>
        <w:t>,</w:t>
      </w:r>
      <w:r w:rsidR="00EC7571" w:rsidRPr="00D266F9">
        <w:rPr>
          <w:rFonts w:ascii="Times New Roman" w:hAnsi="Times New Roman" w:cs="Times New Roman"/>
          <w:sz w:val="24"/>
          <w:szCs w:val="24"/>
        </w:rPr>
        <w:t xml:space="preserve"> </w:t>
      </w:r>
      <w:r w:rsidR="00801E2F" w:rsidRPr="00D266F9">
        <w:rPr>
          <w:rFonts w:ascii="Times New Roman" w:hAnsi="Times New Roman" w:cs="Times New Roman"/>
          <w:sz w:val="24"/>
          <w:szCs w:val="24"/>
        </w:rPr>
        <w:t>EEA</w:t>
      </w:r>
      <w:r w:rsidR="00801E2F" w:rsidRPr="005F414C">
        <w:rPr>
          <w:rFonts w:ascii="Times New Roman" w:hAnsi="Times New Roman" w:cs="Times New Roman"/>
          <w:sz w:val="24"/>
          <w:szCs w:val="24"/>
          <w:vertAlign w:val="subscript"/>
        </w:rPr>
        <w:t>C:P</w:t>
      </w:r>
      <w:r w:rsidR="00C820E7" w:rsidRPr="00D266F9">
        <w:rPr>
          <w:rFonts w:ascii="Times New Roman" w:hAnsi="Times New Roman" w:cs="Times New Roman"/>
          <w:sz w:val="24"/>
          <w:szCs w:val="24"/>
        </w:rPr>
        <w:t xml:space="preserve"> is calculated as (</w:t>
      </w:r>
      <w:r w:rsidR="00EC7475" w:rsidRPr="00D266F9">
        <w:rPr>
          <w:rFonts w:ascii="Times New Roman" w:hAnsi="Times New Roman" w:cs="Times New Roman"/>
          <w:sz w:val="24"/>
          <w:szCs w:val="24"/>
        </w:rPr>
        <w:t>CBH+BG</w:t>
      </w:r>
      <w:r w:rsidR="00C820E7" w:rsidRPr="00D266F9">
        <w:rPr>
          <w:rFonts w:ascii="Times New Roman" w:hAnsi="Times New Roman" w:cs="Times New Roman"/>
          <w:sz w:val="24"/>
          <w:szCs w:val="24"/>
        </w:rPr>
        <w:t>)/(</w:t>
      </w:r>
      <w:r w:rsidR="00EC7475" w:rsidRPr="00D266F9">
        <w:rPr>
          <w:rFonts w:ascii="Times New Roman" w:hAnsi="Times New Roman" w:cs="Times New Roman"/>
          <w:sz w:val="24"/>
          <w:szCs w:val="24"/>
        </w:rPr>
        <w:t>CBH+BG</w:t>
      </w:r>
      <w:r w:rsidR="00C820E7" w:rsidRPr="00D266F9">
        <w:rPr>
          <w:rFonts w:ascii="Times New Roman" w:hAnsi="Times New Roman" w:cs="Times New Roman"/>
          <w:sz w:val="24"/>
          <w:szCs w:val="24"/>
        </w:rPr>
        <w:t>+AP)</w:t>
      </w:r>
      <w:r w:rsidR="001468CB" w:rsidRPr="00D266F9">
        <w:rPr>
          <w:rFonts w:ascii="Times New Roman" w:hAnsi="Times New Roman" w:cs="Times New Roman"/>
          <w:sz w:val="24"/>
          <w:szCs w:val="24"/>
        </w:rPr>
        <w:t>.</w:t>
      </w:r>
    </w:p>
    <w:p w14:paraId="02FCB6C0" w14:textId="1BDBA622" w:rsidR="002E16D5" w:rsidRPr="007F7F6E" w:rsidRDefault="00A01FC9" w:rsidP="007F7F6E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8A3892">
        <w:rPr>
          <w:rFonts w:ascii="Times New Roman" w:hAnsi="Times New Roman" w:cs="Times New Roman"/>
          <w:sz w:val="24"/>
          <w:szCs w:val="24"/>
        </w:rPr>
        <w:t xml:space="preserve">The optimum value of TER </w:t>
      </w:r>
      <w:r w:rsidR="00540177" w:rsidRPr="008A3892">
        <w:rPr>
          <w:rFonts w:ascii="Times New Roman" w:hAnsi="Times New Roman" w:cs="Times New Roman"/>
          <w:sz w:val="24"/>
          <w:szCs w:val="24"/>
        </w:rPr>
        <w:t>(</w:t>
      </w:r>
      <w:r w:rsidR="008A3892" w:rsidRPr="008A3892">
        <w:rPr>
          <w:rFonts w:ascii="Times New Roman" w:hAnsi="Times New Roman" w:cs="Times New Roman"/>
          <w:sz w:val="24"/>
          <w:szCs w:val="24"/>
        </w:rPr>
        <w:t>TER</w:t>
      </w:r>
      <w:r w:rsidR="008A3892" w:rsidRPr="008A389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8A3892" w:rsidRPr="008A3892">
        <w:rPr>
          <w:rFonts w:ascii="Times New Roman" w:hAnsi="Times New Roman" w:cs="Times New Roman"/>
          <w:sz w:val="24"/>
          <w:szCs w:val="24"/>
          <w:vertAlign w:val="subscript"/>
        </w:rPr>
        <w:t>C:X</w:t>
      </w:r>
      <w:r w:rsidR="00540177" w:rsidRPr="008A3892">
        <w:rPr>
          <w:rFonts w:ascii="Times New Roman" w:hAnsi="Times New Roman" w:cs="Times New Roman"/>
          <w:sz w:val="24"/>
          <w:szCs w:val="24"/>
        </w:rPr>
        <w:t xml:space="preserve">) </w:t>
      </w:r>
      <w:r w:rsidRPr="008A3892">
        <w:rPr>
          <w:rFonts w:ascii="Times New Roman" w:hAnsi="Times New Roman" w:cs="Times New Roman"/>
          <w:sz w:val="24"/>
          <w:szCs w:val="24"/>
        </w:rPr>
        <w:t>can be expressed as</w:t>
      </w:r>
      <w:r w:rsidR="002E16D5">
        <w:rPr>
          <w:rFonts w:ascii="Times New Roman" w:hAnsi="Times New Roman" w:cs="Times New Roman"/>
          <w:sz w:val="24"/>
          <w:szCs w:val="24"/>
        </w:rPr>
        <w:t xml:space="preserve"> equ</w:t>
      </w:r>
      <w:r w:rsidR="007F7F6E">
        <w:rPr>
          <w:rFonts w:ascii="Times New Roman" w:hAnsi="Times New Roman" w:cs="Times New Roman"/>
          <w:sz w:val="24"/>
          <w:szCs w:val="24"/>
        </w:rPr>
        <w:t>ation S2.</w:t>
      </w:r>
      <w:r w:rsidR="007F7F6E" w:rsidRPr="007F7F6E">
        <w:rPr>
          <w:rFonts w:ascii="Times New Roman" w:hAnsi="Times New Roman" w:cs="Times New Roman"/>
          <w:sz w:val="24"/>
          <w:szCs w:val="24"/>
        </w:rPr>
        <w:t xml:space="preserve"> </w:t>
      </w:r>
      <w:r w:rsidR="007F7F6E" w:rsidRPr="008A3892">
        <w:rPr>
          <w:rFonts w:ascii="Times New Roman" w:hAnsi="Times New Roman" w:cs="Times New Roman"/>
          <w:sz w:val="24"/>
          <w:szCs w:val="24"/>
        </w:rPr>
        <w:t>At TER</w:t>
      </w:r>
      <w:r w:rsidR="007F7F6E" w:rsidRPr="008A389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7F7F6E" w:rsidRPr="008A3892">
        <w:rPr>
          <w:rFonts w:ascii="Times New Roman" w:hAnsi="Times New Roman" w:cs="Times New Roman"/>
          <w:sz w:val="24"/>
          <w:szCs w:val="24"/>
          <w:vertAlign w:val="subscript"/>
        </w:rPr>
        <w:t>C:X</w:t>
      </w:r>
      <w:r w:rsidR="007F7F6E" w:rsidRPr="008A3892">
        <w:rPr>
          <w:rFonts w:ascii="Times New Roman" w:hAnsi="Times New Roman" w:cs="Times New Roman"/>
          <w:sz w:val="24"/>
          <w:szCs w:val="24"/>
        </w:rPr>
        <w:t xml:space="preserve">, neither energy nor nutrients are limiting, given maximum assimilation efficiency and carbon use efficiency for resources X and C </w:t>
      </w:r>
      <w:r w:rsidR="00635E4A" w:rsidRPr="00635E4A">
        <w:rPr>
          <w:rFonts w:ascii="Times New Roman" w:hAnsi="Times New Roman" w:cs="Times New Roman"/>
          <w:sz w:val="24"/>
        </w:rPr>
        <w:t>(Doi et al., 2010)</w:t>
      </w:r>
      <w:r w:rsidR="007F7F6E" w:rsidRPr="008A389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612383" w14:textId="5264E046" w:rsidR="00FC1AE2" w:rsidRPr="008A3892" w:rsidRDefault="00831F01" w:rsidP="007F7F6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TER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C:X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max</m:t>
                </m:r>
              </m:sup>
            </m:sSup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/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CUE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)×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C:X</m:t>
            </m:r>
          </m:sub>
        </m:sSub>
      </m:oMath>
      <w:r w:rsidR="0063785B">
        <w:rPr>
          <w:rFonts w:ascii="Times New Roman" w:hAnsi="Times New Roman" w:cs="Times New Roman"/>
          <w:sz w:val="24"/>
          <w:szCs w:val="24"/>
        </w:rPr>
        <w:t xml:space="preserve">     </w:t>
      </w:r>
      <w:r w:rsidR="001D7C6F">
        <w:rPr>
          <w:rFonts w:ascii="Times New Roman" w:hAnsi="Times New Roman" w:cs="Times New Roman"/>
          <w:sz w:val="24"/>
          <w:szCs w:val="24"/>
        </w:rPr>
        <w:t xml:space="preserve">      </w:t>
      </w:r>
      <w:r w:rsidR="0063785B">
        <w:rPr>
          <w:rFonts w:ascii="Times New Roman" w:hAnsi="Times New Roman" w:cs="Times New Roman"/>
          <w:sz w:val="24"/>
          <w:szCs w:val="24"/>
        </w:rPr>
        <w:t xml:space="preserve">      (</w:t>
      </w:r>
      <w:r w:rsidR="0005164B">
        <w:rPr>
          <w:rFonts w:ascii="Times New Roman" w:hAnsi="Times New Roman" w:cs="Times New Roman"/>
          <w:sz w:val="24"/>
          <w:szCs w:val="24"/>
        </w:rPr>
        <w:t>S</w:t>
      </w:r>
      <w:r w:rsidR="0063785B">
        <w:rPr>
          <w:rFonts w:ascii="Times New Roman" w:hAnsi="Times New Roman" w:cs="Times New Roman"/>
          <w:sz w:val="24"/>
          <w:szCs w:val="24"/>
        </w:rPr>
        <w:t>2)</w:t>
      </w:r>
    </w:p>
    <w:p w14:paraId="2CBA882C" w14:textId="76A47B41" w:rsidR="00565E5E" w:rsidRPr="008A3892" w:rsidRDefault="007F7F6E" w:rsidP="007F7F6E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</w:t>
      </w:r>
      <w:proofErr w:type="spellStart"/>
      <w:r w:rsidR="00336926" w:rsidRPr="008A3892">
        <w:rPr>
          <w:rFonts w:ascii="Times New Roman" w:hAnsi="Times New Roman" w:cs="Times New Roman"/>
          <w:sz w:val="24"/>
          <w:szCs w:val="24"/>
        </w:rPr>
        <w:t>A</w:t>
      </w:r>
      <w:r w:rsidR="00336926" w:rsidRPr="008A3892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="00336926" w:rsidRPr="008A3892">
        <w:rPr>
          <w:rFonts w:ascii="Times New Roman" w:hAnsi="Times New Roman" w:cs="Times New Roman"/>
          <w:sz w:val="24"/>
          <w:szCs w:val="24"/>
          <w:vertAlign w:val="superscript"/>
        </w:rPr>
        <w:t>X</w:t>
      </w:r>
      <w:proofErr w:type="spellEnd"/>
      <w:r w:rsidR="00336926" w:rsidRPr="008A3892">
        <w:rPr>
          <w:rFonts w:ascii="Times New Roman" w:hAnsi="Times New Roman" w:cs="Times New Roman"/>
          <w:sz w:val="24"/>
          <w:szCs w:val="24"/>
        </w:rPr>
        <w:t xml:space="preserve"> is the maximum assimilation efficiency of X (N or P), </w:t>
      </w:r>
      <w:r w:rsidR="00D477FF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565E5E" w:rsidRPr="008A3892">
        <w:rPr>
          <w:rFonts w:ascii="Times New Roman" w:hAnsi="Times New Roman" w:cs="Times New Roman"/>
          <w:sz w:val="24"/>
          <w:szCs w:val="24"/>
        </w:rPr>
        <w:t>CUE</w:t>
      </w:r>
      <w:r w:rsidR="00565E5E" w:rsidRPr="008A3892">
        <w:rPr>
          <w:rFonts w:ascii="Times New Roman" w:hAnsi="Times New Roman" w:cs="Times New Roman"/>
          <w:sz w:val="24"/>
          <w:szCs w:val="24"/>
          <w:vertAlign w:val="superscript"/>
        </w:rPr>
        <w:t>max</w:t>
      </w:r>
      <w:proofErr w:type="spellEnd"/>
      <w:r w:rsidR="00565E5E" w:rsidRPr="008A3892">
        <w:rPr>
          <w:rFonts w:ascii="Times New Roman" w:hAnsi="Times New Roman" w:cs="Times New Roman"/>
          <w:sz w:val="24"/>
          <w:szCs w:val="24"/>
        </w:rPr>
        <w:t xml:space="preserve"> is the maximum carbon use efficiency. </w:t>
      </w:r>
      <w:r w:rsidR="00D477FF">
        <w:rPr>
          <w:rFonts w:ascii="Times New Roman" w:hAnsi="Times New Roman" w:cs="Times New Roman"/>
          <w:sz w:val="24"/>
          <w:szCs w:val="24"/>
        </w:rPr>
        <w:t>The g</w:t>
      </w:r>
      <w:r w:rsidR="00565E5E" w:rsidRPr="008A3892">
        <w:rPr>
          <w:rFonts w:ascii="Times New Roman" w:hAnsi="Times New Roman" w:cs="Times New Roman"/>
          <w:sz w:val="24"/>
          <w:szCs w:val="24"/>
        </w:rPr>
        <w:t xml:space="preserve">eneral values of </w:t>
      </w:r>
      <w:proofErr w:type="spellStart"/>
      <w:r w:rsidR="00565E5E" w:rsidRPr="008A3892">
        <w:rPr>
          <w:rFonts w:ascii="Times New Roman" w:hAnsi="Times New Roman" w:cs="Times New Roman"/>
          <w:sz w:val="24"/>
          <w:szCs w:val="24"/>
        </w:rPr>
        <w:t>A</w:t>
      </w:r>
      <w:r w:rsidR="00565E5E" w:rsidRPr="008A3892">
        <w:rPr>
          <w:rFonts w:ascii="Times New Roman" w:hAnsi="Times New Roman" w:cs="Times New Roman"/>
          <w:sz w:val="24"/>
          <w:szCs w:val="24"/>
          <w:vertAlign w:val="superscript"/>
        </w:rPr>
        <w:t>max</w:t>
      </w:r>
      <w:r w:rsidR="00565E5E" w:rsidRPr="008A3892">
        <w:rPr>
          <w:rFonts w:ascii="Times New Roman" w:hAnsi="Times New Roman" w:cs="Times New Roman"/>
          <w:sz w:val="24"/>
          <w:szCs w:val="24"/>
          <w:vertAlign w:val="subscript"/>
        </w:rPr>
        <w:t>X</w:t>
      </w:r>
      <w:proofErr w:type="spellEnd"/>
      <w:r w:rsidR="00565E5E" w:rsidRPr="008A389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565E5E" w:rsidRPr="008A3892">
        <w:rPr>
          <w:rFonts w:ascii="Times New Roman" w:hAnsi="Times New Roman" w:cs="Times New Roman"/>
          <w:sz w:val="24"/>
          <w:szCs w:val="24"/>
        </w:rPr>
        <w:t>CUE</w:t>
      </w:r>
      <w:r w:rsidR="00565E5E" w:rsidRPr="008A3892">
        <w:rPr>
          <w:rFonts w:ascii="Times New Roman" w:hAnsi="Times New Roman" w:cs="Times New Roman"/>
          <w:sz w:val="24"/>
          <w:szCs w:val="24"/>
          <w:vertAlign w:val="superscript"/>
        </w:rPr>
        <w:t>max</w:t>
      </w:r>
      <w:proofErr w:type="spellEnd"/>
      <w:r w:rsidR="00565E5E" w:rsidRPr="008A3892">
        <w:rPr>
          <w:rFonts w:ascii="Times New Roman" w:hAnsi="Times New Roman" w:cs="Times New Roman"/>
          <w:sz w:val="24"/>
          <w:szCs w:val="24"/>
        </w:rPr>
        <w:t xml:space="preserve"> are about 0.9 and 0.6, respectively </w:t>
      </w:r>
      <w:r w:rsidR="007434F6" w:rsidRPr="007434F6">
        <w:rPr>
          <w:rFonts w:ascii="Times New Roman" w:hAnsi="Times New Roman" w:cs="Times New Roman"/>
          <w:sz w:val="24"/>
        </w:rPr>
        <w:t>(</w:t>
      </w:r>
      <w:proofErr w:type="spellStart"/>
      <w:r w:rsidR="007434F6" w:rsidRPr="007434F6">
        <w:rPr>
          <w:rFonts w:ascii="Times New Roman" w:hAnsi="Times New Roman" w:cs="Times New Roman"/>
          <w:sz w:val="24"/>
        </w:rPr>
        <w:t>Sinsabaugh</w:t>
      </w:r>
      <w:proofErr w:type="spellEnd"/>
      <w:r w:rsidR="007434F6" w:rsidRPr="007434F6">
        <w:rPr>
          <w:rFonts w:ascii="Times New Roman" w:hAnsi="Times New Roman" w:cs="Times New Roman"/>
          <w:sz w:val="24"/>
        </w:rPr>
        <w:t xml:space="preserve"> et al., 2009, 2016)</w:t>
      </w:r>
      <w:r w:rsidR="00565E5E" w:rsidRPr="008A3892">
        <w:rPr>
          <w:rFonts w:ascii="Times New Roman" w:hAnsi="Times New Roman" w:cs="Times New Roman"/>
          <w:sz w:val="24"/>
          <w:szCs w:val="24"/>
        </w:rPr>
        <w:t xml:space="preserve">. Therefore, the equation </w:t>
      </w:r>
      <w:r w:rsidR="00B17530">
        <w:rPr>
          <w:rFonts w:ascii="Times New Roman" w:hAnsi="Times New Roman" w:cs="Times New Roman"/>
          <w:sz w:val="24"/>
          <w:szCs w:val="24"/>
        </w:rPr>
        <w:t xml:space="preserve">S2 </w:t>
      </w:r>
      <w:r w:rsidR="00565E5E" w:rsidRPr="008A3892">
        <w:rPr>
          <w:rFonts w:ascii="Times New Roman" w:hAnsi="Times New Roman" w:cs="Times New Roman"/>
          <w:sz w:val="24"/>
          <w:szCs w:val="24"/>
        </w:rPr>
        <w:t>is simplified to the following:</w:t>
      </w:r>
    </w:p>
    <w:p w14:paraId="0B06BA0F" w14:textId="21DE317C" w:rsidR="00565E5E" w:rsidRPr="008A3892" w:rsidRDefault="00831F01" w:rsidP="0005164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TER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C:X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=1.5×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C:X</m:t>
            </m:r>
          </m:sub>
        </m:sSub>
      </m:oMath>
      <w:r w:rsidR="0063785B">
        <w:rPr>
          <w:rFonts w:ascii="Times New Roman" w:hAnsi="Times New Roman" w:cs="Times New Roman"/>
          <w:sz w:val="24"/>
          <w:szCs w:val="24"/>
        </w:rPr>
        <w:t xml:space="preserve">       </w:t>
      </w:r>
      <w:r w:rsidR="001D7C6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3785B">
        <w:rPr>
          <w:rFonts w:ascii="Times New Roman" w:hAnsi="Times New Roman" w:cs="Times New Roman"/>
          <w:sz w:val="24"/>
          <w:szCs w:val="24"/>
        </w:rPr>
        <w:t xml:space="preserve">    (</w:t>
      </w:r>
      <w:r w:rsidR="0005164B">
        <w:rPr>
          <w:rFonts w:ascii="Times New Roman" w:hAnsi="Times New Roman" w:cs="Times New Roman"/>
          <w:sz w:val="24"/>
          <w:szCs w:val="24"/>
        </w:rPr>
        <w:t>S</w:t>
      </w:r>
      <w:r w:rsidR="0063785B">
        <w:rPr>
          <w:rFonts w:ascii="Times New Roman" w:hAnsi="Times New Roman" w:cs="Times New Roman"/>
          <w:sz w:val="24"/>
          <w:szCs w:val="24"/>
        </w:rPr>
        <w:t>3)</w:t>
      </w:r>
    </w:p>
    <w:p w14:paraId="599EBA56" w14:textId="78CAE0CA" w:rsidR="004B730A" w:rsidRPr="00C424BB" w:rsidRDefault="00CE617F" w:rsidP="000516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24BB">
        <w:rPr>
          <w:rFonts w:ascii="Times New Roman" w:hAnsi="Times New Roman" w:cs="Times New Roman"/>
          <w:sz w:val="24"/>
          <w:szCs w:val="24"/>
        </w:rPr>
        <w:t xml:space="preserve">When the relative availability of resources does not meet the threshold element ratio, limitations can be expected. </w:t>
      </w:r>
      <w:r w:rsidR="00B80965" w:rsidRPr="00C424BB">
        <w:rPr>
          <w:rFonts w:ascii="Times New Roman" w:hAnsi="Times New Roman" w:cs="Times New Roman"/>
          <w:sz w:val="24"/>
          <w:szCs w:val="24"/>
        </w:rPr>
        <w:t xml:space="preserve">Comparing </w:t>
      </w:r>
      <w:r w:rsidRPr="00C424BB">
        <w:rPr>
          <w:rFonts w:ascii="Times New Roman" w:hAnsi="Times New Roman" w:cs="Times New Roman"/>
          <w:sz w:val="24"/>
          <w:szCs w:val="24"/>
        </w:rPr>
        <w:t xml:space="preserve">with optimum resource demand, the relationship </w:t>
      </w:r>
      <w:r w:rsidR="00E02228" w:rsidRPr="00C424BB">
        <w:rPr>
          <w:rFonts w:ascii="Times New Roman" w:hAnsi="Times New Roman" w:cs="Times New Roman"/>
          <w:sz w:val="24"/>
          <w:szCs w:val="24"/>
        </w:rPr>
        <w:t xml:space="preserve">of </w:t>
      </w:r>
      <w:r w:rsidR="00B12C3C" w:rsidRPr="00C424BB">
        <w:rPr>
          <w:rFonts w:ascii="Times New Roman" w:hAnsi="Times New Roman" w:cs="Times New Roman"/>
          <w:sz w:val="24"/>
          <w:szCs w:val="24"/>
        </w:rPr>
        <w:t>TER</w:t>
      </w:r>
      <w:r w:rsidR="00B12C3C" w:rsidRPr="00C424B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B12C3C" w:rsidRPr="00C424BB">
        <w:rPr>
          <w:rFonts w:ascii="Times New Roman" w:hAnsi="Times New Roman" w:cs="Times New Roman"/>
          <w:sz w:val="24"/>
          <w:szCs w:val="24"/>
          <w:vertAlign w:val="subscript"/>
        </w:rPr>
        <w:t>C:X</w:t>
      </w:r>
      <w:r w:rsidR="00B12C3C" w:rsidRPr="00C424BB">
        <w:rPr>
          <w:rFonts w:ascii="Times New Roman" w:hAnsi="Times New Roman" w:cs="Times New Roman"/>
          <w:sz w:val="24"/>
          <w:szCs w:val="24"/>
        </w:rPr>
        <w:t xml:space="preserve"> </w:t>
      </w:r>
      <w:r w:rsidR="00E02228" w:rsidRPr="00C424BB">
        <w:rPr>
          <w:rFonts w:ascii="Times New Roman" w:hAnsi="Times New Roman" w:cs="Times New Roman"/>
          <w:sz w:val="24"/>
          <w:szCs w:val="24"/>
        </w:rPr>
        <w:t xml:space="preserve">&gt; </w:t>
      </w:r>
      <w:r w:rsidR="00B12C3C" w:rsidRPr="00C424BB">
        <w:rPr>
          <w:rFonts w:ascii="Times New Roman" w:hAnsi="Times New Roman" w:cs="Times New Roman"/>
          <w:sz w:val="24"/>
          <w:szCs w:val="24"/>
        </w:rPr>
        <w:t>TER</w:t>
      </w:r>
      <w:r w:rsidR="00B12C3C" w:rsidRPr="00C424BB">
        <w:rPr>
          <w:rFonts w:ascii="Times New Roman" w:hAnsi="Times New Roman" w:cs="Times New Roman"/>
          <w:sz w:val="24"/>
          <w:szCs w:val="24"/>
          <w:vertAlign w:val="subscript"/>
        </w:rPr>
        <w:t>C:X</w:t>
      </w:r>
      <w:r w:rsidR="00B12C3C" w:rsidRPr="00C424BB">
        <w:rPr>
          <w:rFonts w:ascii="Times New Roman" w:hAnsi="Times New Roman" w:cs="Times New Roman"/>
          <w:sz w:val="24"/>
          <w:szCs w:val="24"/>
        </w:rPr>
        <w:t xml:space="preserve"> </w:t>
      </w:r>
      <w:r w:rsidR="00E02228" w:rsidRPr="00C424BB">
        <w:rPr>
          <w:rFonts w:ascii="Times New Roman" w:hAnsi="Times New Roman" w:cs="Times New Roman"/>
          <w:sz w:val="24"/>
          <w:szCs w:val="24"/>
        </w:rPr>
        <w:t xml:space="preserve">represents </w:t>
      </w:r>
      <w:r w:rsidR="00B80965" w:rsidRPr="00C424BB">
        <w:rPr>
          <w:rFonts w:ascii="Times New Roman" w:hAnsi="Times New Roman" w:cs="Times New Roman"/>
          <w:sz w:val="24"/>
          <w:szCs w:val="24"/>
        </w:rPr>
        <w:t xml:space="preserve">likely limitations to microbial metabolisms </w:t>
      </w:r>
      <w:r w:rsidR="00831F01">
        <w:rPr>
          <w:rFonts w:ascii="Times New Roman" w:hAnsi="Times New Roman" w:cs="Times New Roman"/>
          <w:sz w:val="24"/>
          <w:szCs w:val="24"/>
        </w:rPr>
        <w:t>due to</w:t>
      </w:r>
      <w:r w:rsidR="00B80965" w:rsidRPr="00C424BB">
        <w:rPr>
          <w:rFonts w:ascii="Times New Roman" w:hAnsi="Times New Roman" w:cs="Times New Roman"/>
          <w:sz w:val="24"/>
          <w:szCs w:val="24"/>
        </w:rPr>
        <w:t xml:space="preserve"> soil nutrient (N or P) availability</w:t>
      </w:r>
      <w:r w:rsidR="00C424BB">
        <w:rPr>
          <w:rFonts w:ascii="Times New Roman" w:hAnsi="Times New Roman" w:cs="Times New Roman"/>
          <w:sz w:val="24"/>
          <w:szCs w:val="24"/>
        </w:rPr>
        <w:t xml:space="preserve"> </w:t>
      </w:r>
      <w:r w:rsidR="00C424BB" w:rsidRPr="00C424BB">
        <w:rPr>
          <w:rFonts w:ascii="Times New Roman" w:hAnsi="Times New Roman" w:cs="Times New Roman"/>
          <w:sz w:val="24"/>
        </w:rPr>
        <w:t>(Cui et al., 2021)</w:t>
      </w:r>
      <w:r w:rsidR="00B80965" w:rsidRPr="00C424B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82B756" w14:textId="641D1ED0" w:rsidR="008751E1" w:rsidRPr="00C424BB" w:rsidRDefault="00831F01" w:rsidP="0005164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∆TER1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C:X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TER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C:X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TER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C:X</m:t>
            </m:r>
          </m:sub>
        </m:sSub>
      </m:oMath>
      <w:r w:rsidR="0063785B" w:rsidRPr="00C424BB">
        <w:rPr>
          <w:rFonts w:ascii="Times New Roman" w:hAnsi="Times New Roman" w:cs="Times New Roman"/>
          <w:sz w:val="24"/>
          <w:szCs w:val="24"/>
        </w:rPr>
        <w:t xml:space="preserve">         </w:t>
      </w:r>
      <w:r w:rsidR="001D7C6F" w:rsidRPr="00C424BB">
        <w:rPr>
          <w:rFonts w:ascii="Times New Roman" w:hAnsi="Times New Roman" w:cs="Times New Roman"/>
          <w:sz w:val="24"/>
          <w:szCs w:val="24"/>
        </w:rPr>
        <w:t xml:space="preserve">      </w:t>
      </w:r>
      <w:r w:rsidR="0063785B" w:rsidRPr="00C424BB">
        <w:rPr>
          <w:rFonts w:ascii="Times New Roman" w:hAnsi="Times New Roman" w:cs="Times New Roman"/>
          <w:sz w:val="24"/>
          <w:szCs w:val="24"/>
        </w:rPr>
        <w:t xml:space="preserve">  (</w:t>
      </w:r>
      <w:r w:rsidR="0005164B" w:rsidRPr="00C424BB">
        <w:rPr>
          <w:rFonts w:ascii="Times New Roman" w:hAnsi="Times New Roman" w:cs="Times New Roman"/>
          <w:sz w:val="24"/>
          <w:szCs w:val="24"/>
        </w:rPr>
        <w:t>S</w:t>
      </w:r>
      <w:r w:rsidR="0063785B" w:rsidRPr="00C424BB">
        <w:rPr>
          <w:rFonts w:ascii="Times New Roman" w:hAnsi="Times New Roman" w:cs="Times New Roman"/>
          <w:sz w:val="24"/>
          <w:szCs w:val="24"/>
        </w:rPr>
        <w:t>4)</w:t>
      </w:r>
    </w:p>
    <w:p w14:paraId="60F0A1F9" w14:textId="447CF895" w:rsidR="008751E1" w:rsidRDefault="004C00D9" w:rsidP="00C424BB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C424BB">
        <w:rPr>
          <w:rFonts w:ascii="Times New Roman" w:hAnsi="Times New Roman" w:cs="Times New Roman"/>
          <w:sz w:val="24"/>
          <w:szCs w:val="24"/>
        </w:rPr>
        <w:t>when</w:t>
      </w:r>
      <w:r w:rsidR="00CE617F" w:rsidRPr="00C424BB">
        <w:rPr>
          <w:rFonts w:ascii="Times New Roman" w:hAnsi="Times New Roman" w:cs="Times New Roman"/>
          <w:sz w:val="24"/>
          <w:szCs w:val="24"/>
        </w:rPr>
        <w:t xml:space="preserve"> </w:t>
      </w:r>
      <w:r w:rsidR="00CE617F" w:rsidRPr="00C424BB">
        <w:rPr>
          <w:rFonts w:ascii="Symbol" w:hAnsi="Symbol" w:cs="Times New Roman"/>
          <w:sz w:val="24"/>
          <w:szCs w:val="24"/>
        </w:rPr>
        <w:t>D</w:t>
      </w:r>
      <w:r w:rsidR="00CE617F" w:rsidRPr="00C424BB">
        <w:rPr>
          <w:rFonts w:ascii="Times New Roman" w:hAnsi="Times New Roman" w:cs="Times New Roman"/>
          <w:sz w:val="24"/>
          <w:szCs w:val="24"/>
        </w:rPr>
        <w:t xml:space="preserve">TER1C;X </w:t>
      </w:r>
      <w:r w:rsidRPr="00C424BB">
        <w:rPr>
          <w:rFonts w:ascii="Times New Roman" w:hAnsi="Times New Roman" w:cs="Times New Roman"/>
          <w:sz w:val="24"/>
          <w:szCs w:val="24"/>
        </w:rPr>
        <w:t xml:space="preserve">represents the likely limitations of nutrient </w:t>
      </w:r>
      <w:r w:rsidR="00C424BB" w:rsidRPr="00C424BB">
        <w:rPr>
          <w:rFonts w:ascii="Times New Roman" w:hAnsi="Times New Roman" w:cs="Times New Roman"/>
          <w:sz w:val="24"/>
          <w:szCs w:val="24"/>
        </w:rPr>
        <w:t xml:space="preserve">X. </w:t>
      </w:r>
    </w:p>
    <w:p w14:paraId="2FC69CCA" w14:textId="31DCCD98" w:rsidR="00635E4A" w:rsidRDefault="00635E4A" w:rsidP="00635E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498721" w14:textId="77777777" w:rsidR="008378B4" w:rsidRPr="008378B4" w:rsidRDefault="008378B4" w:rsidP="008378B4">
      <w:pPr>
        <w:pStyle w:val="EndNoteBibliography"/>
        <w:spacing w:line="360" w:lineRule="auto"/>
        <w:ind w:left="720" w:hanging="720"/>
        <w:rPr>
          <w:b/>
          <w:bCs/>
          <w:sz w:val="24"/>
        </w:rPr>
      </w:pPr>
      <w:r w:rsidRPr="008378B4">
        <w:rPr>
          <w:b/>
          <w:bCs/>
          <w:sz w:val="24"/>
        </w:rPr>
        <w:t>References:</w:t>
      </w:r>
    </w:p>
    <w:p w14:paraId="252AFDB7" w14:textId="6FC9662A" w:rsidR="005C34B1" w:rsidRPr="005C34B1" w:rsidRDefault="005C34B1" w:rsidP="005C34B1">
      <w:pPr>
        <w:pStyle w:val="a8"/>
        <w:rPr>
          <w:rFonts w:ascii="Times New Roman" w:hAnsi="Times New Roman" w:cs="Times New Roman"/>
          <w:sz w:val="24"/>
        </w:rPr>
      </w:pPr>
      <w:r w:rsidRPr="005C34B1">
        <w:rPr>
          <w:rFonts w:ascii="Times New Roman" w:hAnsi="Times New Roman" w:cs="Times New Roman"/>
          <w:sz w:val="24"/>
        </w:rPr>
        <w:t xml:space="preserve">Cui Y, Moorhead DL, Guo X, et al (2021) Stoichiometric models of microbial metabolic limitation in soil systems. Global </w:t>
      </w:r>
      <w:proofErr w:type="spellStart"/>
      <w:r w:rsidRPr="005C34B1">
        <w:rPr>
          <w:rFonts w:ascii="Times New Roman" w:hAnsi="Times New Roman" w:cs="Times New Roman"/>
          <w:sz w:val="24"/>
        </w:rPr>
        <w:t>Ecol</w:t>
      </w:r>
      <w:proofErr w:type="spellEnd"/>
      <w:r w:rsidRPr="005C34B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C34B1">
        <w:rPr>
          <w:rFonts w:ascii="Times New Roman" w:hAnsi="Times New Roman" w:cs="Times New Roman"/>
          <w:sz w:val="24"/>
        </w:rPr>
        <w:t>Biogeogr</w:t>
      </w:r>
      <w:proofErr w:type="spellEnd"/>
      <w:r w:rsidRPr="005C34B1">
        <w:rPr>
          <w:rFonts w:ascii="Times New Roman" w:hAnsi="Times New Roman" w:cs="Times New Roman"/>
          <w:sz w:val="24"/>
        </w:rPr>
        <w:t xml:space="preserve"> 30:2297–2311. https://doi.org/10.1111/geb.13378</w:t>
      </w:r>
    </w:p>
    <w:p w14:paraId="7D541A30" w14:textId="77777777" w:rsidR="005C34B1" w:rsidRPr="005C34B1" w:rsidRDefault="005C34B1" w:rsidP="005C34B1">
      <w:pPr>
        <w:pStyle w:val="a8"/>
        <w:rPr>
          <w:rFonts w:ascii="Times New Roman" w:hAnsi="Times New Roman" w:cs="Times New Roman"/>
          <w:sz w:val="24"/>
        </w:rPr>
      </w:pPr>
      <w:r w:rsidRPr="005C34B1">
        <w:rPr>
          <w:rFonts w:ascii="Times New Roman" w:hAnsi="Times New Roman" w:cs="Times New Roman"/>
          <w:sz w:val="24"/>
        </w:rPr>
        <w:t xml:space="preserve">Doi H, </w:t>
      </w:r>
      <w:proofErr w:type="spellStart"/>
      <w:r w:rsidRPr="005C34B1">
        <w:rPr>
          <w:rFonts w:ascii="Times New Roman" w:hAnsi="Times New Roman" w:cs="Times New Roman"/>
          <w:sz w:val="24"/>
        </w:rPr>
        <w:t>Cherif</w:t>
      </w:r>
      <w:proofErr w:type="spellEnd"/>
      <w:r w:rsidRPr="005C34B1">
        <w:rPr>
          <w:rFonts w:ascii="Times New Roman" w:hAnsi="Times New Roman" w:cs="Times New Roman"/>
          <w:sz w:val="24"/>
        </w:rPr>
        <w:t xml:space="preserve"> M, Iwabuchi T, et al (2010) Integrating elements and energy through the metabolic dependencies of gross growth efficiency and the threshold elemental ratio. Oikos 119:752–765. https://doi.org/10.1111/j.1600-0706.2009.18540.x</w:t>
      </w:r>
    </w:p>
    <w:p w14:paraId="1E7D92EF" w14:textId="77777777" w:rsidR="005C34B1" w:rsidRPr="005C34B1" w:rsidRDefault="005C34B1" w:rsidP="005C34B1">
      <w:pPr>
        <w:pStyle w:val="a8"/>
        <w:rPr>
          <w:rFonts w:ascii="Times New Roman" w:hAnsi="Times New Roman" w:cs="Times New Roman"/>
          <w:sz w:val="24"/>
        </w:rPr>
      </w:pPr>
      <w:proofErr w:type="spellStart"/>
      <w:r w:rsidRPr="005C34B1">
        <w:rPr>
          <w:rFonts w:ascii="Times New Roman" w:hAnsi="Times New Roman" w:cs="Times New Roman"/>
          <w:sz w:val="24"/>
        </w:rPr>
        <w:t>Sinsabaugh</w:t>
      </w:r>
      <w:proofErr w:type="spellEnd"/>
      <w:r w:rsidRPr="005C34B1">
        <w:rPr>
          <w:rFonts w:ascii="Times New Roman" w:hAnsi="Times New Roman" w:cs="Times New Roman"/>
          <w:sz w:val="24"/>
        </w:rPr>
        <w:t xml:space="preserve"> RL, Hill BH, </w:t>
      </w:r>
      <w:proofErr w:type="spellStart"/>
      <w:r w:rsidRPr="005C34B1">
        <w:rPr>
          <w:rFonts w:ascii="Times New Roman" w:hAnsi="Times New Roman" w:cs="Times New Roman"/>
          <w:sz w:val="24"/>
        </w:rPr>
        <w:t>Follstad</w:t>
      </w:r>
      <w:proofErr w:type="spellEnd"/>
      <w:r w:rsidRPr="005C34B1">
        <w:rPr>
          <w:rFonts w:ascii="Times New Roman" w:hAnsi="Times New Roman" w:cs="Times New Roman"/>
          <w:sz w:val="24"/>
        </w:rPr>
        <w:t xml:space="preserve"> Shah JJ (2009) </w:t>
      </w:r>
      <w:proofErr w:type="spellStart"/>
      <w:r w:rsidRPr="005C34B1">
        <w:rPr>
          <w:rFonts w:ascii="Times New Roman" w:hAnsi="Times New Roman" w:cs="Times New Roman"/>
          <w:sz w:val="24"/>
        </w:rPr>
        <w:t>Ecoenzymatic</w:t>
      </w:r>
      <w:proofErr w:type="spellEnd"/>
      <w:r w:rsidRPr="005C34B1">
        <w:rPr>
          <w:rFonts w:ascii="Times New Roman" w:hAnsi="Times New Roman" w:cs="Times New Roman"/>
          <w:sz w:val="24"/>
        </w:rPr>
        <w:t xml:space="preserve"> stoichiometry of microbial organic nutrient acquisition in soil and sediment. Nature 462:795–798. https://doi.org/10.1038/nature08632</w:t>
      </w:r>
    </w:p>
    <w:p w14:paraId="527A9917" w14:textId="77777777" w:rsidR="005C34B1" w:rsidRPr="005C34B1" w:rsidRDefault="005C34B1" w:rsidP="005C34B1">
      <w:pPr>
        <w:pStyle w:val="a8"/>
        <w:rPr>
          <w:rFonts w:ascii="Times New Roman" w:hAnsi="Times New Roman" w:cs="Times New Roman"/>
          <w:sz w:val="24"/>
        </w:rPr>
      </w:pPr>
      <w:proofErr w:type="spellStart"/>
      <w:r w:rsidRPr="005C34B1">
        <w:rPr>
          <w:rFonts w:ascii="Times New Roman" w:hAnsi="Times New Roman" w:cs="Times New Roman"/>
          <w:sz w:val="24"/>
        </w:rPr>
        <w:t>Sinsabaugh</w:t>
      </w:r>
      <w:proofErr w:type="spellEnd"/>
      <w:r w:rsidRPr="005C34B1">
        <w:rPr>
          <w:rFonts w:ascii="Times New Roman" w:hAnsi="Times New Roman" w:cs="Times New Roman"/>
          <w:sz w:val="24"/>
        </w:rPr>
        <w:t xml:space="preserve"> RL, Turner BL, Talbot JM, et al (2016) Stoichiometry of microbial carbon use efficiency in soils. </w:t>
      </w:r>
      <w:proofErr w:type="spellStart"/>
      <w:r w:rsidRPr="005C34B1">
        <w:rPr>
          <w:rFonts w:ascii="Times New Roman" w:hAnsi="Times New Roman" w:cs="Times New Roman"/>
          <w:sz w:val="24"/>
        </w:rPr>
        <w:t>Ecol</w:t>
      </w:r>
      <w:proofErr w:type="spellEnd"/>
      <w:r w:rsidRPr="005C34B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C34B1">
        <w:rPr>
          <w:rFonts w:ascii="Times New Roman" w:hAnsi="Times New Roman" w:cs="Times New Roman"/>
          <w:sz w:val="24"/>
        </w:rPr>
        <w:t>Monogr</w:t>
      </w:r>
      <w:proofErr w:type="spellEnd"/>
      <w:r w:rsidRPr="005C34B1">
        <w:rPr>
          <w:rFonts w:ascii="Times New Roman" w:hAnsi="Times New Roman" w:cs="Times New Roman"/>
          <w:sz w:val="24"/>
        </w:rPr>
        <w:t xml:space="preserve"> 86:172–189. https://doi.org/10.1890/15-2110.1</w:t>
      </w:r>
    </w:p>
    <w:p w14:paraId="0B7AEF3F" w14:textId="6CB4D12C" w:rsidR="005C34B1" w:rsidRPr="008378B4" w:rsidRDefault="005C34B1" w:rsidP="00635E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C34B1" w:rsidRPr="008378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C9A20" w14:textId="77777777" w:rsidR="003E7573" w:rsidRDefault="003E7573" w:rsidP="003E7573">
      <w:r>
        <w:separator/>
      </w:r>
    </w:p>
  </w:endnote>
  <w:endnote w:type="continuationSeparator" w:id="0">
    <w:p w14:paraId="31F3632D" w14:textId="77777777" w:rsidR="003E7573" w:rsidRDefault="003E7573" w:rsidP="003E7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DEB49" w14:textId="77777777" w:rsidR="003E7573" w:rsidRDefault="003E7573" w:rsidP="003E7573">
      <w:r>
        <w:separator/>
      </w:r>
    </w:p>
  </w:footnote>
  <w:footnote w:type="continuationSeparator" w:id="0">
    <w:p w14:paraId="6196D7AF" w14:textId="77777777" w:rsidR="003E7573" w:rsidRDefault="003E7573" w:rsidP="003E75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94A"/>
    <w:rsid w:val="0005164B"/>
    <w:rsid w:val="000570F3"/>
    <w:rsid w:val="00112886"/>
    <w:rsid w:val="00144A4F"/>
    <w:rsid w:val="001468CB"/>
    <w:rsid w:val="00166E52"/>
    <w:rsid w:val="001A1A1C"/>
    <w:rsid w:val="001A426D"/>
    <w:rsid w:val="001D7C6F"/>
    <w:rsid w:val="002953B5"/>
    <w:rsid w:val="002C3CEC"/>
    <w:rsid w:val="002E16D5"/>
    <w:rsid w:val="00307049"/>
    <w:rsid w:val="00336926"/>
    <w:rsid w:val="003433BF"/>
    <w:rsid w:val="003E7573"/>
    <w:rsid w:val="004B730A"/>
    <w:rsid w:val="004C00D9"/>
    <w:rsid w:val="00520BC6"/>
    <w:rsid w:val="00540177"/>
    <w:rsid w:val="00565E5E"/>
    <w:rsid w:val="005876F5"/>
    <w:rsid w:val="005C34B1"/>
    <w:rsid w:val="005F414C"/>
    <w:rsid w:val="006305B3"/>
    <w:rsid w:val="00635E4A"/>
    <w:rsid w:val="0063785B"/>
    <w:rsid w:val="006A126C"/>
    <w:rsid w:val="006B1383"/>
    <w:rsid w:val="006E6AE9"/>
    <w:rsid w:val="00737104"/>
    <w:rsid w:val="007434F6"/>
    <w:rsid w:val="007F1B57"/>
    <w:rsid w:val="007F7F6E"/>
    <w:rsid w:val="00801E2F"/>
    <w:rsid w:val="00805EFA"/>
    <w:rsid w:val="00831F01"/>
    <w:rsid w:val="008378B4"/>
    <w:rsid w:val="008751E1"/>
    <w:rsid w:val="00882E94"/>
    <w:rsid w:val="00885605"/>
    <w:rsid w:val="008A3892"/>
    <w:rsid w:val="008C6A2B"/>
    <w:rsid w:val="00A01FC9"/>
    <w:rsid w:val="00B12C3C"/>
    <w:rsid w:val="00B17530"/>
    <w:rsid w:val="00B80965"/>
    <w:rsid w:val="00BF177B"/>
    <w:rsid w:val="00C424BB"/>
    <w:rsid w:val="00C820E7"/>
    <w:rsid w:val="00CE617F"/>
    <w:rsid w:val="00D266F9"/>
    <w:rsid w:val="00D477FF"/>
    <w:rsid w:val="00D63490"/>
    <w:rsid w:val="00E02228"/>
    <w:rsid w:val="00EC7475"/>
    <w:rsid w:val="00EC7571"/>
    <w:rsid w:val="00EE630E"/>
    <w:rsid w:val="00F7347C"/>
    <w:rsid w:val="00FA194A"/>
    <w:rsid w:val="00FC1AE2"/>
    <w:rsid w:val="00FC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BD142C"/>
  <w15:chartTrackingRefBased/>
  <w15:docId w15:val="{770DEDAE-CEDB-4771-80DE-0585AA65D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75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75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75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7573"/>
    <w:rPr>
      <w:sz w:val="18"/>
      <w:szCs w:val="18"/>
    </w:rPr>
  </w:style>
  <w:style w:type="character" w:styleId="a7">
    <w:name w:val="Placeholder Text"/>
    <w:basedOn w:val="a0"/>
    <w:uiPriority w:val="99"/>
    <w:semiHidden/>
    <w:rsid w:val="005876F5"/>
    <w:rPr>
      <w:color w:val="808080"/>
    </w:rPr>
  </w:style>
  <w:style w:type="paragraph" w:styleId="a8">
    <w:name w:val="Bibliography"/>
    <w:basedOn w:val="a"/>
    <w:next w:val="a"/>
    <w:uiPriority w:val="37"/>
    <w:unhideWhenUsed/>
    <w:rsid w:val="00635E4A"/>
    <w:pPr>
      <w:spacing w:after="240"/>
      <w:ind w:left="720" w:hanging="720"/>
    </w:pPr>
  </w:style>
  <w:style w:type="paragraph" w:customStyle="1" w:styleId="EndNoteBibliography">
    <w:name w:val="EndNote Bibliography"/>
    <w:basedOn w:val="a"/>
    <w:link w:val="EndNoteBibliographyChar"/>
    <w:rsid w:val="008378B4"/>
    <w:rPr>
      <w:rFonts w:ascii="Times New Roman" w:eastAsia="宋体" w:hAnsi="Times New Roman" w:cs="Times New Roman"/>
      <w:noProof/>
      <w:sz w:val="20"/>
      <w:szCs w:val="24"/>
    </w:rPr>
  </w:style>
  <w:style w:type="character" w:customStyle="1" w:styleId="EndNoteBibliographyChar">
    <w:name w:val="EndNote Bibliography Char"/>
    <w:link w:val="EndNoteBibliography"/>
    <w:rsid w:val="008378B4"/>
    <w:rPr>
      <w:rFonts w:ascii="Times New Roman" w:eastAsia="宋体" w:hAnsi="Times New Roman" w:cs="Times New Roman"/>
      <w:noProof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Yaoyufei</dc:creator>
  <cp:keywords/>
  <dc:description/>
  <cp:lastModifiedBy>Yaoyufei</cp:lastModifiedBy>
  <cp:revision>32</cp:revision>
  <dcterms:created xsi:type="dcterms:W3CDTF">2022-10-13T14:35:00Z</dcterms:created>
  <dcterms:modified xsi:type="dcterms:W3CDTF">2022-11-14T08:51:00Z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zotero-version="6.0.18"&gt;&lt;session id="B0d7Hodd"/&gt;&lt;style id="http://www.zotero.org/styles/plant-and-soil" hasBibliography="1" bibliographyStyleHasBeenSet="1"/&gt;&lt;prefs&gt;&lt;pref name="fieldType" value="Field"/&gt;&lt;/prefs&gt;&lt;/data&gt;</vt:lpwstr>
  </property>
</Properties>
</file>