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1E52" w14:textId="77777777" w:rsidR="00036A38" w:rsidRDefault="00036A38" w:rsidP="00036A38">
      <w:pPr>
        <w:rPr>
          <w:b/>
        </w:rPr>
      </w:pPr>
      <w:r>
        <w:rPr>
          <w:b/>
        </w:rPr>
        <w:t>Supplementary materials:</w:t>
      </w:r>
    </w:p>
    <w:p w14:paraId="09A8EA16" w14:textId="77777777" w:rsidR="00036A38" w:rsidRDefault="00036A38" w:rsidP="00036A38">
      <w:pPr>
        <w:spacing w:line="360" w:lineRule="auto"/>
        <w:jc w:val="both"/>
      </w:pPr>
      <w:r>
        <w:rPr>
          <w:noProof/>
        </w:rPr>
        <w:drawing>
          <wp:inline distT="0" distB="0" distL="0" distR="0" wp14:anchorId="1E487108" wp14:editId="5C24F3D5">
            <wp:extent cx="5512901" cy="6026495"/>
            <wp:effectExtent l="0" t="0" r="0" b="0"/>
            <wp:docPr id="513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901" cy="6026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290D9C" w14:textId="77777777" w:rsidR="00036A38" w:rsidRDefault="00036A38" w:rsidP="00036A38">
      <w:pPr>
        <w:spacing w:line="240" w:lineRule="auto"/>
        <w:jc w:val="both"/>
        <w:rPr>
          <w:sz w:val="20"/>
          <w:szCs w:val="20"/>
        </w:rPr>
      </w:pPr>
      <w:bookmarkStart w:id="0" w:name="_heading=h.3dy6vkm" w:colFirst="0" w:colLast="0"/>
      <w:bookmarkEnd w:id="0"/>
      <w:r>
        <w:rPr>
          <w:b/>
          <w:sz w:val="20"/>
          <w:szCs w:val="20"/>
        </w:rPr>
        <w:t xml:space="preserve">Figure S1. EF strength within the main subregions of the prefrontal cortex. </w:t>
      </w:r>
      <w:r>
        <w:rPr>
          <w:sz w:val="20"/>
          <w:szCs w:val="20"/>
        </w:rPr>
        <w:t xml:space="preserve">Computational head models were generated for all participants and a </w:t>
      </w:r>
      <w:proofErr w:type="spellStart"/>
      <w:r>
        <w:rPr>
          <w:sz w:val="20"/>
          <w:szCs w:val="20"/>
        </w:rPr>
        <w:t>Brainnetome</w:t>
      </w:r>
      <w:proofErr w:type="spellEnd"/>
      <w:r>
        <w:rPr>
          <w:sz w:val="20"/>
          <w:szCs w:val="20"/>
        </w:rPr>
        <w:t xml:space="preserve"> atlas with 105 subregions in each hemisphere was used to extract </w:t>
      </w:r>
      <w:proofErr w:type="spellStart"/>
      <w:r>
        <w:rPr>
          <w:sz w:val="20"/>
          <w:szCs w:val="20"/>
        </w:rPr>
        <w:t>tES</w:t>
      </w:r>
      <w:proofErr w:type="spellEnd"/>
      <w:r>
        <w:rPr>
          <w:sz w:val="20"/>
          <w:szCs w:val="20"/>
        </w:rPr>
        <w:t xml:space="preserve">-induced EFs in each cortical areas based on </w:t>
      </w:r>
      <w:r>
        <w:rPr>
          <w:b/>
          <w:sz w:val="20"/>
          <w:szCs w:val="20"/>
        </w:rPr>
        <w:t>(a)</w:t>
      </w:r>
      <w:r>
        <w:rPr>
          <w:sz w:val="20"/>
          <w:szCs w:val="20"/>
        </w:rPr>
        <w:t xml:space="preserve"> symmetric (dark brown) and</w:t>
      </w:r>
      <w:r>
        <w:rPr>
          <w:b/>
          <w:sz w:val="20"/>
          <w:szCs w:val="20"/>
        </w:rPr>
        <w:t xml:space="preserve"> (b) </w:t>
      </w:r>
      <w:r>
        <w:rPr>
          <w:sz w:val="20"/>
          <w:szCs w:val="20"/>
        </w:rPr>
        <w:t xml:space="preserve">asymmetric (light brown) montages. Bars show mean values and error bars show standard deviations (SD) of the EF strength in volt per meter ([V/m]) across 77 healthy subjects in 9 main subregions of the prefrontal cortex in the left (lines 1 and 3) and right (line 2 and 4) hemispheres. Labels below the horizontal axis determine the name of each subregion based on </w:t>
      </w:r>
      <w:proofErr w:type="spellStart"/>
      <w:r>
        <w:rPr>
          <w:sz w:val="20"/>
          <w:szCs w:val="20"/>
        </w:rPr>
        <w:t>Brainnetome</w:t>
      </w:r>
      <w:proofErr w:type="spellEnd"/>
      <w:r>
        <w:rPr>
          <w:sz w:val="20"/>
          <w:szCs w:val="20"/>
        </w:rPr>
        <w:t xml:space="preserve"> atlas parcellations and small brains next to the labels represent each region in </w:t>
      </w:r>
      <w:proofErr w:type="spellStart"/>
      <w:r>
        <w:rPr>
          <w:sz w:val="20"/>
          <w:szCs w:val="20"/>
        </w:rPr>
        <w:t>fsaverage</w:t>
      </w:r>
      <w:proofErr w:type="spellEnd"/>
      <w:r>
        <w:rPr>
          <w:sz w:val="20"/>
          <w:szCs w:val="20"/>
        </w:rPr>
        <w:t xml:space="preserve"> space. Atlas-based parcellation: </w:t>
      </w:r>
      <w:r>
        <w:rPr>
          <w:i/>
          <w:sz w:val="20"/>
          <w:szCs w:val="20"/>
          <w:u w:val="single"/>
        </w:rPr>
        <w:t xml:space="preserve">Superior frontal gyrus: </w:t>
      </w:r>
      <w:r>
        <w:rPr>
          <w:sz w:val="20"/>
          <w:szCs w:val="20"/>
        </w:rPr>
        <w:t>A9l, lateral area [13,48,40], A9m, medial area [6,38,35], A10m: medial area [8,58,13].</w:t>
      </w:r>
      <w:r>
        <w:rPr>
          <w:i/>
          <w:sz w:val="20"/>
          <w:szCs w:val="20"/>
          <w:u w:val="single"/>
        </w:rPr>
        <w:t xml:space="preserve"> Middle frontal gyrus:</w:t>
      </w:r>
      <w:r>
        <w:rPr>
          <w:sz w:val="20"/>
          <w:szCs w:val="20"/>
        </w:rPr>
        <w:t xml:space="preserve">  A9/46d, dorsal area [30,37,36], A9/46v, ventral area [42,44,14], A46 [28,55,17], A10l, lateral area [25,</w:t>
      </w:r>
      <w:proofErr w:type="gramStart"/>
      <w:r>
        <w:rPr>
          <w:sz w:val="20"/>
          <w:szCs w:val="20"/>
        </w:rPr>
        <w:t>61,-</w:t>
      </w:r>
      <w:proofErr w:type="gramEnd"/>
      <w:r>
        <w:rPr>
          <w:sz w:val="20"/>
          <w:szCs w:val="20"/>
        </w:rPr>
        <w:t xml:space="preserve">4]. </w:t>
      </w:r>
      <w:r>
        <w:rPr>
          <w:i/>
          <w:sz w:val="20"/>
          <w:szCs w:val="20"/>
          <w:u w:val="single"/>
        </w:rPr>
        <w:t>Orbital gyrus</w:t>
      </w:r>
      <w:r>
        <w:rPr>
          <w:sz w:val="20"/>
          <w:szCs w:val="20"/>
        </w:rPr>
        <w:t>: A11l, lateral area [23,</w:t>
      </w:r>
      <w:proofErr w:type="gramStart"/>
      <w:r>
        <w:rPr>
          <w:sz w:val="20"/>
          <w:szCs w:val="20"/>
        </w:rPr>
        <w:t>36,-</w:t>
      </w:r>
      <w:proofErr w:type="gramEnd"/>
      <w:r>
        <w:rPr>
          <w:sz w:val="20"/>
          <w:szCs w:val="20"/>
        </w:rPr>
        <w:t xml:space="preserve">18], and A11m, medial area [6,57,-16]. Abbreviation: EF: electric field, SFG: superior frontal gyrus, MFG: medial frontal gyrus, </w:t>
      </w:r>
      <w:proofErr w:type="spellStart"/>
      <w:r>
        <w:rPr>
          <w:sz w:val="20"/>
          <w:szCs w:val="20"/>
        </w:rPr>
        <w:t>OrG</w:t>
      </w:r>
      <w:proofErr w:type="spellEnd"/>
      <w:r>
        <w:rPr>
          <w:sz w:val="20"/>
          <w:szCs w:val="20"/>
        </w:rPr>
        <w:t>: orbital gurus.</w:t>
      </w:r>
    </w:p>
    <w:p w14:paraId="31FBD551" w14:textId="77777777" w:rsidR="00036A38" w:rsidRDefault="00036A38" w:rsidP="00036A38">
      <w:pPr>
        <w:rPr>
          <w:b/>
        </w:rPr>
      </w:pPr>
      <w:r w:rsidRPr="00713BAE">
        <w:rPr>
          <w:b/>
          <w:noProof/>
        </w:rPr>
        <w:lastRenderedPageBreak/>
        <w:drawing>
          <wp:inline distT="0" distB="0" distL="0" distR="0" wp14:anchorId="10AB0780" wp14:editId="0C4B7A2B">
            <wp:extent cx="5943600" cy="3909060"/>
            <wp:effectExtent l="0" t="0" r="0" b="0"/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5E637D6-81B9-4C2F-9F71-1374F2D6A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id="{15E637D6-81B9-4C2F-9F71-1374F2D6AC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5334E62" w14:textId="77777777" w:rsidR="00036A38" w:rsidRDefault="00036A38" w:rsidP="00036A38">
      <w:pPr>
        <w:spacing w:line="240" w:lineRule="auto"/>
        <w:jc w:val="both"/>
        <w:rPr>
          <w:b/>
        </w:rPr>
      </w:pPr>
      <w:r>
        <w:rPr>
          <w:b/>
          <w:sz w:val="20"/>
          <w:szCs w:val="20"/>
        </w:rPr>
        <w:t>Figure S2. Comparing the center of the target electrode with EF peaks in an independent clinical population-people with methamphetamine use disorder (MUD). a.</w:t>
      </w:r>
      <w:r>
        <w:rPr>
          <w:sz w:val="20"/>
          <w:szCs w:val="20"/>
        </w:rPr>
        <w:t xml:space="preserve">  Bars show mean values and error bars show standard deviations (SD) of the EF strength in volt per meter ([V/m]) across 66 participants with MUD in individualized 99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percentile of the EF (peaks, in red) and center of the target electrode (F4, in blue) over the cortex across the population for symmetric (</w:t>
      </w:r>
      <w:sdt>
        <w:sdtPr>
          <w:tag w:val="goog_rdk_240"/>
          <w:id w:val="-1636402272"/>
        </w:sdtPr>
        <w:sdtContent/>
      </w:sdt>
      <w:sdt>
        <w:sdtPr>
          <w:tag w:val="goog_rdk_241"/>
          <w:id w:val="-62875266"/>
        </w:sdtPr>
        <w:sdtContent>
          <w:r>
            <w:rPr>
              <w:sz w:val="20"/>
              <w:szCs w:val="20"/>
            </w:rPr>
            <w:t>target</w:t>
          </w:r>
        </w:sdtContent>
      </w:sdt>
      <w:r>
        <w:rPr>
          <w:sz w:val="20"/>
          <w:szCs w:val="20"/>
        </w:rPr>
        <w:t>/re</w:t>
      </w:r>
      <w:sdt>
        <w:sdtPr>
          <w:tag w:val="goog_rdk_242"/>
          <w:id w:val="-625772690"/>
        </w:sdtPr>
        <w:sdtContent>
          <w:r>
            <w:rPr>
              <w:sz w:val="20"/>
              <w:szCs w:val="20"/>
            </w:rPr>
            <w:t>turn</w:t>
          </w:r>
        </w:sdtContent>
      </w:sdt>
      <w:sdt>
        <w:sdtPr>
          <w:tag w:val="goog_rdk_243"/>
          <w:id w:val="236831572"/>
        </w:sdtPr>
        <w:sdtContent/>
      </w:sdt>
      <w:r>
        <w:rPr>
          <w:sz w:val="20"/>
          <w:szCs w:val="20"/>
        </w:rPr>
        <w:t xml:space="preserve"> over F4/F3 in dark colors) and asymmetric (</w:t>
      </w:r>
      <w:sdt>
        <w:sdtPr>
          <w:tag w:val="goog_rdk_244"/>
          <w:id w:val="-778646013"/>
        </w:sdtPr>
        <w:sdtContent/>
      </w:sdt>
      <w:sdt>
        <w:sdtPr>
          <w:tag w:val="goog_rdk_245"/>
          <w:id w:val="-1495400072"/>
        </w:sdtPr>
        <w:sdtContent>
          <w:r>
            <w:rPr>
              <w:sz w:val="20"/>
              <w:szCs w:val="20"/>
            </w:rPr>
            <w:t>target</w:t>
          </w:r>
        </w:sdtContent>
      </w:sdt>
      <w:r>
        <w:rPr>
          <w:sz w:val="20"/>
          <w:szCs w:val="20"/>
        </w:rPr>
        <w:t>/re</w:t>
      </w:r>
      <w:sdt>
        <w:sdtPr>
          <w:tag w:val="goog_rdk_246"/>
          <w:id w:val="-1425034950"/>
        </w:sdtPr>
        <w:sdtContent>
          <w:r>
            <w:rPr>
              <w:sz w:val="20"/>
              <w:szCs w:val="20"/>
            </w:rPr>
            <w:t>turn</w:t>
          </w:r>
        </w:sdtContent>
      </w:sdt>
      <w:sdt>
        <w:sdtPr>
          <w:tag w:val="goog_rdk_247"/>
          <w:id w:val="1508254396"/>
        </w:sdtPr>
        <w:sdtContent/>
      </w:sdt>
      <w:r>
        <w:rPr>
          <w:sz w:val="20"/>
          <w:szCs w:val="20"/>
        </w:rPr>
        <w:t xml:space="preserve"> over F4/Fp1 in light colors) montages. </w:t>
      </w:r>
      <w:sdt>
        <w:sdtPr>
          <w:tag w:val="goog_rdk_248"/>
          <w:id w:val="-574508485"/>
        </w:sdtPr>
        <w:sdtContent/>
      </w:sdt>
      <w:sdt>
        <w:sdtPr>
          <w:tag w:val="goog_rdk_249"/>
          <w:id w:val="-567960314"/>
        </w:sdtPr>
        <w:sdtContent>
          <w:r>
            <w:rPr>
              <w:sz w:val="20"/>
              <w:szCs w:val="20"/>
            </w:rPr>
            <w:t xml:space="preserve">Target </w:t>
          </w:r>
        </w:sdtContent>
      </w:sdt>
      <w:r>
        <w:rPr>
          <w:sz w:val="20"/>
          <w:szCs w:val="20"/>
        </w:rPr>
        <w:t>electrodes over F4 are depicted in green, re</w:t>
      </w:r>
      <w:sdt>
        <w:sdtPr>
          <w:tag w:val="goog_rdk_250"/>
          <w:id w:val="1643463374"/>
        </w:sdtPr>
        <w:sdtContent>
          <w:r>
            <w:rPr>
              <w:sz w:val="20"/>
              <w:szCs w:val="20"/>
            </w:rPr>
            <w:t>turn</w:t>
          </w:r>
        </w:sdtContent>
      </w:sdt>
      <w:sdt>
        <w:sdtPr>
          <w:tag w:val="goog_rdk_251"/>
          <w:id w:val="1041639957"/>
        </w:sdtPr>
        <w:sdtContent/>
      </w:sdt>
      <w:r>
        <w:rPr>
          <w:sz w:val="20"/>
          <w:szCs w:val="20"/>
        </w:rPr>
        <w:t xml:space="preserve"> electrodes over F3 in symmetric, and Fp1 in asymmetric montages are depicted in black. </w:t>
      </w:r>
      <w:r>
        <w:rPr>
          <w:b/>
          <w:sz w:val="20"/>
          <w:szCs w:val="20"/>
        </w:rPr>
        <w:t>b.</w:t>
      </w:r>
      <w:r>
        <w:rPr>
          <w:sz w:val="20"/>
          <w:szCs w:val="20"/>
        </w:rPr>
        <w:t xml:space="preserve"> Electrode configurations over the scalp for DLPFC stimulation are visualized with the </w:t>
      </w:r>
      <w:sdt>
        <w:sdtPr>
          <w:tag w:val="goog_rdk_252"/>
          <w:id w:val="-1369986758"/>
        </w:sdtPr>
        <w:sdtContent/>
      </w:sdt>
      <w:sdt>
        <w:sdtPr>
          <w:tag w:val="goog_rdk_253"/>
          <w:id w:val="1905871160"/>
        </w:sdtPr>
        <w:sdtContent>
          <w:r>
            <w:rPr>
              <w:sz w:val="20"/>
              <w:szCs w:val="20"/>
            </w:rPr>
            <w:t>target</w:t>
          </w:r>
        </w:sdtContent>
      </w:sdt>
      <w:r>
        <w:rPr>
          <w:sz w:val="20"/>
          <w:szCs w:val="20"/>
        </w:rPr>
        <w:t xml:space="preserve"> (in green)/re</w:t>
      </w:r>
      <w:sdt>
        <w:sdtPr>
          <w:tag w:val="goog_rdk_254"/>
          <w:id w:val="1081489581"/>
        </w:sdtPr>
        <w:sdtContent>
          <w:r>
            <w:rPr>
              <w:sz w:val="20"/>
              <w:szCs w:val="20"/>
            </w:rPr>
            <w:t>turn</w:t>
          </w:r>
        </w:sdtContent>
      </w:sdt>
      <w:sdt>
        <w:sdtPr>
          <w:tag w:val="goog_rdk_255"/>
          <w:id w:val="-2086365223"/>
        </w:sdtPr>
        <w:sdtContent/>
      </w:sdt>
      <w:r>
        <w:rPr>
          <w:sz w:val="20"/>
          <w:szCs w:val="20"/>
        </w:rPr>
        <w:t xml:space="preserve"> (in black) electrodes over F4/F3 in symmetric and F4/Fp1 in asymmetric montages. EF distribution patterns at the group-level (spatial mean values across the population) are visualized over the cortex in superior view. </w:t>
      </w:r>
      <w:r>
        <w:rPr>
          <w:b/>
          <w:sz w:val="20"/>
          <w:szCs w:val="20"/>
        </w:rPr>
        <w:t xml:space="preserve">c. </w:t>
      </w:r>
      <w:r>
        <w:rPr>
          <w:sz w:val="20"/>
          <w:szCs w:val="20"/>
        </w:rPr>
        <w:t xml:space="preserve">Locations of the 10 mm spheres around F4 (in blue) and averaged location of the peaks across the population (in red) are visualized over the standard brain in </w:t>
      </w:r>
      <w:proofErr w:type="spellStart"/>
      <w:r>
        <w:rPr>
          <w:sz w:val="20"/>
          <w:szCs w:val="20"/>
        </w:rPr>
        <w:t>fsaverage</w:t>
      </w:r>
      <w:proofErr w:type="spellEnd"/>
      <w:r>
        <w:rPr>
          <w:sz w:val="20"/>
          <w:szCs w:val="20"/>
        </w:rPr>
        <w:t xml:space="preserve"> space. In each panel, the left side corresponds to symmetric montage (F4-F3) and right side corresponds to asymmetric (F4-Fp1) montages. Abbreviation: EF: electric field.</w:t>
      </w:r>
    </w:p>
    <w:p w14:paraId="3C52C3CB" w14:textId="77777777" w:rsidR="00036A38" w:rsidRDefault="00036A38" w:rsidP="00036A38"/>
    <w:p w14:paraId="4E2E1371" w14:textId="77777777" w:rsidR="00036A38" w:rsidRDefault="00036A38" w:rsidP="00036A38">
      <w:r>
        <w:rPr>
          <w:noProof/>
        </w:rPr>
        <w:lastRenderedPageBreak/>
        <w:drawing>
          <wp:inline distT="0" distB="0" distL="0" distR="0" wp14:anchorId="469A6DBB" wp14:editId="2D707BEC">
            <wp:extent cx="5943600" cy="5716905"/>
            <wp:effectExtent l="0" t="0" r="0" b="0"/>
            <wp:docPr id="513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6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CC7F1" w14:textId="77777777" w:rsidR="00036A38" w:rsidRDefault="00036A38" w:rsidP="00036A38">
      <w:p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Figure S3. Inter-individual variability of peak EF location and strength in an independent clinical population-people with methamphetamine use disorder (MUD). I. </w:t>
      </w:r>
      <w:r>
        <w:rPr>
          <w:sz w:val="20"/>
          <w:szCs w:val="20"/>
        </w:rPr>
        <w:t>Scatter plot (for location in MNI space) colored based on EF strength (hot colors represent strong EF strength) for visualizing inter-individual variability in the 99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percentile of the EFs in symmetric </w:t>
      </w:r>
      <w:r>
        <w:rPr>
          <w:b/>
          <w:sz w:val="20"/>
          <w:szCs w:val="20"/>
        </w:rPr>
        <w:t xml:space="preserve">(a) </w:t>
      </w:r>
      <w:r>
        <w:rPr>
          <w:sz w:val="20"/>
          <w:szCs w:val="20"/>
        </w:rPr>
        <w:t xml:space="preserve">and asymmetric </w:t>
      </w:r>
      <w:r>
        <w:rPr>
          <w:b/>
          <w:sz w:val="20"/>
          <w:szCs w:val="20"/>
        </w:rPr>
        <w:t>(b)</w:t>
      </w:r>
      <w:r>
        <w:rPr>
          <w:sz w:val="20"/>
          <w:szCs w:val="20"/>
        </w:rPr>
        <w:t xml:space="preserve"> DLPFC montages. </w:t>
      </w:r>
      <w:r>
        <w:rPr>
          <w:b/>
          <w:sz w:val="20"/>
          <w:szCs w:val="20"/>
        </w:rPr>
        <w:t xml:space="preserve">II. </w:t>
      </w:r>
      <w:r>
        <w:rPr>
          <w:sz w:val="20"/>
          <w:szCs w:val="20"/>
        </w:rPr>
        <w:t>Visualizing the location of the 99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percentile of the EF over the standard </w:t>
      </w:r>
      <w:proofErr w:type="spellStart"/>
      <w:r>
        <w:rPr>
          <w:sz w:val="20"/>
          <w:szCs w:val="20"/>
        </w:rPr>
        <w:t>fsaverage</w:t>
      </w:r>
      <w:proofErr w:type="spellEnd"/>
      <w:r>
        <w:rPr>
          <w:sz w:val="20"/>
          <w:szCs w:val="20"/>
        </w:rPr>
        <w:t xml:space="preserve"> space (red dots over the cortex represent each individual). Distribution plots represent the distribution of the EF strength within the 10 mm spheres around F4 and 99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percentile (blue and red spheres over the cortex in anterior view) for symmetric </w:t>
      </w:r>
      <w:r>
        <w:rPr>
          <w:b/>
          <w:sz w:val="20"/>
          <w:szCs w:val="20"/>
        </w:rPr>
        <w:t>(a)</w:t>
      </w:r>
      <w:r>
        <w:rPr>
          <w:sz w:val="20"/>
          <w:szCs w:val="20"/>
        </w:rPr>
        <w:t xml:space="preserve"> and asymmetric </w:t>
      </w:r>
      <w:r>
        <w:rPr>
          <w:b/>
          <w:sz w:val="20"/>
          <w:szCs w:val="20"/>
        </w:rPr>
        <w:t>(b)</w:t>
      </w:r>
      <w:r>
        <w:rPr>
          <w:sz w:val="20"/>
          <w:szCs w:val="20"/>
        </w:rPr>
        <w:t xml:space="preserve"> montages. Abbreviation: EF: electric field.</w:t>
      </w:r>
    </w:p>
    <w:p w14:paraId="777F45FC" w14:textId="77777777" w:rsidR="00036A38" w:rsidRDefault="00036A38" w:rsidP="00036A38">
      <w:pPr>
        <w:spacing w:line="240" w:lineRule="auto"/>
        <w:jc w:val="both"/>
        <w:rPr>
          <w:sz w:val="20"/>
          <w:szCs w:val="20"/>
        </w:rPr>
      </w:pPr>
    </w:p>
    <w:p w14:paraId="68ACC1CA" w14:textId="77777777" w:rsidR="00036A38" w:rsidRDefault="00036A38" w:rsidP="00036A38">
      <w:pPr>
        <w:spacing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F4ED02B" wp14:editId="1D94EDBF">
            <wp:extent cx="5407324" cy="6082663"/>
            <wp:effectExtent l="0" t="0" r="0" b="0"/>
            <wp:docPr id="513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7324" cy="6082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14D284" w14:textId="6CDF3147" w:rsidR="00036A38" w:rsidRPr="00036A38" w:rsidRDefault="00036A38" w:rsidP="00036A38">
      <w:p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Figure S4. EF strength within the main subregions of the prefrontal cortex in an independent clinical population-people with methamphetamine use disorder (MUD). </w:t>
      </w:r>
      <w:r>
        <w:rPr>
          <w:sz w:val="20"/>
          <w:szCs w:val="20"/>
        </w:rPr>
        <w:t xml:space="preserve">Computational head models were generated for all participants and a </w:t>
      </w:r>
      <w:proofErr w:type="spellStart"/>
      <w:r>
        <w:rPr>
          <w:sz w:val="20"/>
          <w:szCs w:val="20"/>
        </w:rPr>
        <w:t>Brainnetome</w:t>
      </w:r>
      <w:proofErr w:type="spellEnd"/>
      <w:r>
        <w:rPr>
          <w:sz w:val="20"/>
          <w:szCs w:val="20"/>
        </w:rPr>
        <w:t xml:space="preserve"> atlas with 105 subregions in each hemisphere was used to extract </w:t>
      </w:r>
      <w:proofErr w:type="spellStart"/>
      <w:r>
        <w:rPr>
          <w:sz w:val="20"/>
          <w:szCs w:val="20"/>
        </w:rPr>
        <w:t>tES</w:t>
      </w:r>
      <w:proofErr w:type="spellEnd"/>
      <w:r>
        <w:rPr>
          <w:sz w:val="20"/>
          <w:szCs w:val="20"/>
        </w:rPr>
        <w:t xml:space="preserve">-induced EFs in each cortical areas based on </w:t>
      </w:r>
      <w:r>
        <w:rPr>
          <w:b/>
          <w:sz w:val="20"/>
          <w:szCs w:val="20"/>
        </w:rPr>
        <w:t>(a)</w:t>
      </w:r>
      <w:r>
        <w:rPr>
          <w:sz w:val="20"/>
          <w:szCs w:val="20"/>
        </w:rPr>
        <w:t xml:space="preserve"> symmetric (dark green) and</w:t>
      </w:r>
      <w:r>
        <w:rPr>
          <w:b/>
          <w:sz w:val="20"/>
          <w:szCs w:val="20"/>
        </w:rPr>
        <w:t xml:space="preserve"> (b) </w:t>
      </w:r>
      <w:r>
        <w:rPr>
          <w:sz w:val="20"/>
          <w:szCs w:val="20"/>
        </w:rPr>
        <w:t xml:space="preserve">asymmetric (light green) montages. Bars show mean values and error bars show standard deviations (SD) of the EF strength in volt per meter ([V/m]) across 66 participants with methamphetamine use disorder (MUD) in 9 main subregions of the prefrontal cortex in the left (line 1 and 3) and right (line 2 and 4) hemispheres. Labels below the horizontal axis determine the name of each subregion based on </w:t>
      </w:r>
      <w:proofErr w:type="spellStart"/>
      <w:r>
        <w:rPr>
          <w:sz w:val="20"/>
          <w:szCs w:val="20"/>
        </w:rPr>
        <w:t>Brainnetome</w:t>
      </w:r>
      <w:proofErr w:type="spellEnd"/>
      <w:r>
        <w:rPr>
          <w:sz w:val="20"/>
          <w:szCs w:val="20"/>
        </w:rPr>
        <w:t xml:space="preserve"> atlas parcellations and small brains next to the labels represent each region in </w:t>
      </w:r>
      <w:proofErr w:type="spellStart"/>
      <w:r>
        <w:rPr>
          <w:sz w:val="20"/>
          <w:szCs w:val="20"/>
        </w:rPr>
        <w:t>fsaverage</w:t>
      </w:r>
      <w:proofErr w:type="spellEnd"/>
      <w:r>
        <w:rPr>
          <w:sz w:val="20"/>
          <w:szCs w:val="20"/>
        </w:rPr>
        <w:t xml:space="preserve"> space. Atlas-based parcellation: </w:t>
      </w:r>
      <w:r>
        <w:rPr>
          <w:i/>
          <w:sz w:val="20"/>
          <w:szCs w:val="20"/>
          <w:u w:val="single"/>
        </w:rPr>
        <w:t xml:space="preserve">Superior frontal gyrus: </w:t>
      </w:r>
      <w:r>
        <w:rPr>
          <w:sz w:val="20"/>
          <w:szCs w:val="20"/>
        </w:rPr>
        <w:t>A9l, lateral area [13,48,40], A9m, medial area [6,38,35], A10m: medial area [8,58,13].</w:t>
      </w:r>
      <w:r>
        <w:rPr>
          <w:i/>
          <w:sz w:val="20"/>
          <w:szCs w:val="20"/>
          <w:u w:val="single"/>
        </w:rPr>
        <w:t xml:space="preserve"> Middle frontal gyrus:</w:t>
      </w:r>
      <w:r>
        <w:rPr>
          <w:sz w:val="20"/>
          <w:szCs w:val="20"/>
        </w:rPr>
        <w:t xml:space="preserve">  A9/46d, dorsal area [30,37,36], A9/46v, ventral area [42,44,14], A46 [28,55,17], A10l, lateral area [25,</w:t>
      </w:r>
      <w:proofErr w:type="gramStart"/>
      <w:r>
        <w:rPr>
          <w:sz w:val="20"/>
          <w:szCs w:val="20"/>
        </w:rPr>
        <w:t>61,-</w:t>
      </w:r>
      <w:proofErr w:type="gramEnd"/>
      <w:r>
        <w:rPr>
          <w:sz w:val="20"/>
          <w:szCs w:val="20"/>
        </w:rPr>
        <w:t xml:space="preserve">4]. </w:t>
      </w:r>
      <w:r>
        <w:rPr>
          <w:i/>
          <w:sz w:val="20"/>
          <w:szCs w:val="20"/>
          <w:u w:val="single"/>
        </w:rPr>
        <w:t>Orbital gyrus</w:t>
      </w:r>
      <w:r>
        <w:rPr>
          <w:sz w:val="20"/>
          <w:szCs w:val="20"/>
        </w:rPr>
        <w:t>: A11l, lateral area [23,</w:t>
      </w:r>
      <w:proofErr w:type="gramStart"/>
      <w:r>
        <w:rPr>
          <w:sz w:val="20"/>
          <w:szCs w:val="20"/>
        </w:rPr>
        <w:t>36,-</w:t>
      </w:r>
      <w:proofErr w:type="gramEnd"/>
      <w:r>
        <w:rPr>
          <w:sz w:val="20"/>
          <w:szCs w:val="20"/>
        </w:rPr>
        <w:t xml:space="preserve">18], and A11m, medial area [6,57,-16]. Abbreviation: EF: electric field, SFG: superior frontal gyrus, MFG: medial frontal gyrus, </w:t>
      </w:r>
      <w:proofErr w:type="spellStart"/>
      <w:r>
        <w:rPr>
          <w:sz w:val="20"/>
          <w:szCs w:val="20"/>
        </w:rPr>
        <w:t>OrG</w:t>
      </w:r>
      <w:proofErr w:type="spellEnd"/>
      <w:r>
        <w:rPr>
          <w:sz w:val="20"/>
          <w:szCs w:val="20"/>
        </w:rPr>
        <w:t>: orbital gurus.</w:t>
      </w:r>
    </w:p>
    <w:sectPr w:rsidR="00036A38" w:rsidRPr="00036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38"/>
    <w:rsid w:val="0003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00E2"/>
  <w15:chartTrackingRefBased/>
  <w15:docId w15:val="{1434E373-37B3-47C8-A51E-DC2302D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ghazale soleimani</dc:creator>
  <cp:keywords/>
  <dc:description/>
  <cp:lastModifiedBy>ghazale soleimani</cp:lastModifiedBy>
  <cp:revision>1</cp:revision>
  <dcterms:created xsi:type="dcterms:W3CDTF">2022-11-15T17:50:00Z</dcterms:created>
  <dcterms:modified xsi:type="dcterms:W3CDTF">2022-11-15T17:51:00Z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e29207bf-16c9-4d74-9833-32f755182c66</vt:lpwstr>
  </property>
</Properties>
</file>