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32DF1E" w14:textId="4EA654B2" w:rsidR="002D4C9D" w:rsidRDefault="002D4C9D" w:rsidP="002A611B">
      <w:pPr>
        <w:pBdr>
          <w:top w:val="nil"/>
          <w:left w:val="nil"/>
          <w:bottom w:val="nil"/>
          <w:right w:val="nil"/>
          <w:between w:val="nil"/>
        </w:pBdr>
        <w:rPr>
          <w:rFonts w:ascii="Arial" w:eastAsia="Calibri" w:hAnsi="Arial" w:cs="Arial"/>
          <w:sz w:val="20"/>
          <w:szCs w:val="20"/>
        </w:rPr>
      </w:pPr>
    </w:p>
    <w:p w14:paraId="092CCCDA" w14:textId="77777777" w:rsidR="002D4C9D" w:rsidRPr="005C4DBA" w:rsidRDefault="002D4C9D" w:rsidP="002D4C9D">
      <w:pPr>
        <w:jc w:val="center"/>
        <w:rPr>
          <w:rFonts w:ascii="Arial" w:eastAsia="Arial" w:hAnsi="Arial" w:cs="Arial"/>
          <w:sz w:val="32"/>
          <w:szCs w:val="32"/>
        </w:rPr>
      </w:pPr>
      <w:r w:rsidRPr="005C4DBA">
        <w:rPr>
          <w:rFonts w:ascii="Arial" w:eastAsia="Arial" w:hAnsi="Arial" w:cs="Arial"/>
          <w:sz w:val="32"/>
          <w:szCs w:val="32"/>
        </w:rPr>
        <w:t xml:space="preserve">Supplementary data for </w:t>
      </w:r>
    </w:p>
    <w:p w14:paraId="16BB8DB5" w14:textId="77777777" w:rsidR="002D4C9D" w:rsidRPr="00734DB2" w:rsidRDefault="002D4C9D" w:rsidP="002D4C9D">
      <w:pPr>
        <w:spacing w:before="240" w:line="360" w:lineRule="auto"/>
        <w:rPr>
          <w:rFonts w:ascii="Arial" w:eastAsia="Arial" w:hAnsi="Arial" w:cs="Arial"/>
          <w:sz w:val="32"/>
          <w:szCs w:val="32"/>
        </w:rPr>
      </w:pPr>
      <w:r w:rsidRPr="00734DB2">
        <w:rPr>
          <w:rFonts w:ascii="Arial" w:eastAsia="Arial" w:hAnsi="Arial" w:cs="Arial"/>
          <w:b/>
          <w:sz w:val="32"/>
          <w:szCs w:val="32"/>
        </w:rPr>
        <w:t>Single-cell profiling identifies a CD8</w:t>
      </w:r>
      <w:r w:rsidRPr="00734DB2">
        <w:rPr>
          <w:rFonts w:ascii="Arial" w:eastAsia="Arial" w:hAnsi="Arial" w:cs="Arial"/>
          <w:b/>
          <w:sz w:val="32"/>
          <w:szCs w:val="32"/>
          <w:vertAlign w:val="superscript"/>
        </w:rPr>
        <w:t>bright</w:t>
      </w:r>
      <w:r w:rsidRPr="00734DB2">
        <w:rPr>
          <w:rFonts w:ascii="Arial" w:eastAsia="Arial" w:hAnsi="Arial" w:cs="Arial"/>
          <w:b/>
          <w:i/>
          <w:sz w:val="32"/>
          <w:szCs w:val="32"/>
        </w:rPr>
        <w:t xml:space="preserve"> </w:t>
      </w:r>
      <w:r w:rsidRPr="00734DB2">
        <w:rPr>
          <w:rFonts w:ascii="Arial" w:eastAsia="Arial" w:hAnsi="Arial" w:cs="Arial"/>
          <w:b/>
          <w:sz w:val="32"/>
          <w:szCs w:val="32"/>
        </w:rPr>
        <w:t>CD244</w:t>
      </w:r>
      <w:r w:rsidRPr="00734DB2">
        <w:rPr>
          <w:rFonts w:ascii="Arial" w:eastAsia="Arial" w:hAnsi="Arial" w:cs="Arial"/>
          <w:b/>
          <w:sz w:val="32"/>
          <w:szCs w:val="32"/>
          <w:vertAlign w:val="superscript"/>
        </w:rPr>
        <w:t>bright</w:t>
      </w:r>
      <w:r w:rsidRPr="00734DB2">
        <w:rPr>
          <w:rFonts w:ascii="Arial" w:eastAsia="Arial" w:hAnsi="Arial" w:cs="Arial"/>
          <w:b/>
          <w:sz w:val="32"/>
          <w:szCs w:val="32"/>
        </w:rPr>
        <w:t xml:space="preserve"> Natural Killer cell subset that reflects disease activity in HLA-A29-positive </w:t>
      </w:r>
      <w:r w:rsidRPr="00734DB2">
        <w:rPr>
          <w:rFonts w:ascii="Arial" w:eastAsia="Arial" w:hAnsi="Arial" w:cs="Arial"/>
          <w:b/>
          <w:i/>
          <w:sz w:val="32"/>
          <w:szCs w:val="32"/>
        </w:rPr>
        <w:t>birdshot chorioretinopathy</w:t>
      </w:r>
      <w:r w:rsidRPr="00734DB2">
        <w:rPr>
          <w:rFonts w:ascii="Arial" w:eastAsia="Arial" w:hAnsi="Arial" w:cs="Arial"/>
          <w:b/>
          <w:sz w:val="32"/>
          <w:szCs w:val="32"/>
        </w:rPr>
        <w:t>.</w:t>
      </w:r>
      <w:r w:rsidRPr="00734DB2">
        <w:rPr>
          <w:rFonts w:ascii="Arial" w:eastAsia="Arial" w:hAnsi="Arial" w:cs="Arial"/>
          <w:sz w:val="32"/>
          <w:szCs w:val="32"/>
        </w:rPr>
        <w:t xml:space="preserve">   </w:t>
      </w:r>
    </w:p>
    <w:p w14:paraId="3438094F" w14:textId="77777777" w:rsidR="002D4C9D" w:rsidRDefault="002D4C9D" w:rsidP="002D4C9D">
      <w:pPr>
        <w:spacing w:line="392" w:lineRule="auto"/>
        <w:rPr>
          <w:rFonts w:ascii="Arial" w:eastAsia="Arial" w:hAnsi="Arial" w:cs="Arial"/>
        </w:rPr>
      </w:pPr>
    </w:p>
    <w:p w14:paraId="64C9EA26" w14:textId="77777777" w:rsidR="002D4C9D" w:rsidRDefault="002D4C9D" w:rsidP="002D4C9D">
      <w:pPr>
        <w:rPr>
          <w:rFonts w:ascii="Symbol" w:eastAsia="Symbol" w:hAnsi="Symbol" w:cs="Symbol"/>
          <w:b/>
          <w:bCs/>
          <w:sz w:val="16"/>
          <w:szCs w:val="16"/>
          <w:vertAlign w:val="superscript"/>
        </w:rPr>
      </w:pPr>
      <w:r>
        <w:rPr>
          <w:rFonts w:ascii="Arial" w:eastAsia="Arial" w:hAnsi="Arial" w:cs="Arial"/>
        </w:rPr>
        <w:t>Pulak R. Nath</w:t>
      </w:r>
      <w:r>
        <w:rPr>
          <w:rFonts w:ascii="Arial" w:eastAsia="Arial" w:hAnsi="Arial" w:cs="Arial"/>
          <w:vertAlign w:val="superscript"/>
        </w:rPr>
        <w:t>1</w:t>
      </w:r>
      <w:r w:rsidRPr="00B311C1">
        <w:rPr>
          <w:rFonts w:ascii="Arial" w:eastAsia="Arial" w:hAnsi="Arial" w:cs="Arial"/>
        </w:rPr>
        <w:t>*</w:t>
      </w:r>
      <w:r w:rsidRPr="00723EDD">
        <w:rPr>
          <w:rFonts w:ascii="Cambria Math" w:eastAsia="Symbol" w:hAnsi="Cambria Math" w:cs="Cambria Math"/>
          <w:b/>
          <w:bCs/>
          <w:sz w:val="11"/>
          <w:szCs w:val="11"/>
          <w:vertAlign w:val="superscript"/>
        </w:rPr>
        <w:t>⎠</w:t>
      </w:r>
      <w:r>
        <w:rPr>
          <w:rFonts w:ascii="Arial" w:eastAsia="Arial" w:hAnsi="Arial" w:cs="Arial"/>
        </w:rPr>
        <w:t>, Mary Maclean</w:t>
      </w:r>
      <w:r>
        <w:rPr>
          <w:rFonts w:ascii="Arial" w:eastAsia="Arial" w:hAnsi="Arial" w:cs="Arial"/>
          <w:vertAlign w:val="superscript"/>
        </w:rPr>
        <w:t>1</w:t>
      </w:r>
      <w:r w:rsidRPr="00723EDD">
        <w:rPr>
          <w:rFonts w:ascii="Cambria Math" w:eastAsia="Symbol" w:hAnsi="Cambria Math" w:cs="Cambria Math"/>
          <w:b/>
          <w:bCs/>
          <w:sz w:val="11"/>
          <w:szCs w:val="11"/>
          <w:vertAlign w:val="superscript"/>
        </w:rPr>
        <w:t>⎠⎠</w:t>
      </w:r>
      <w:r>
        <w:rPr>
          <w:rFonts w:ascii="Arial" w:eastAsia="Arial" w:hAnsi="Arial" w:cs="Arial"/>
        </w:rPr>
        <w:t>, Vijay Nagarajan</w:t>
      </w:r>
      <w:r>
        <w:rPr>
          <w:rFonts w:ascii="Arial" w:eastAsia="Arial" w:hAnsi="Arial" w:cs="Arial"/>
          <w:vertAlign w:val="superscript"/>
        </w:rPr>
        <w:t>1,2</w:t>
      </w:r>
      <w:r>
        <w:rPr>
          <w:rFonts w:ascii="Arial" w:eastAsia="Arial" w:hAnsi="Arial" w:cs="Arial"/>
        </w:rPr>
        <w:t>, Jung Wha Lee</w:t>
      </w:r>
      <w:r>
        <w:rPr>
          <w:rFonts w:ascii="Arial" w:eastAsia="Arial" w:hAnsi="Arial" w:cs="Arial"/>
          <w:vertAlign w:val="superscript"/>
        </w:rPr>
        <w:t>1</w:t>
      </w:r>
      <w:r>
        <w:rPr>
          <w:rFonts w:ascii="Arial" w:eastAsia="Arial" w:hAnsi="Arial" w:cs="Arial"/>
        </w:rPr>
        <w:t>, Mehmet Yakin</w:t>
      </w:r>
      <w:r>
        <w:rPr>
          <w:rFonts w:ascii="Arial" w:eastAsia="Arial" w:hAnsi="Arial" w:cs="Arial"/>
          <w:vertAlign w:val="superscript"/>
        </w:rPr>
        <w:t>1</w:t>
      </w:r>
      <w:r>
        <w:rPr>
          <w:rFonts w:ascii="Arial" w:eastAsia="Arial" w:hAnsi="Arial" w:cs="Arial"/>
        </w:rPr>
        <w:t>, Aman Kumar</w:t>
      </w:r>
      <w:r>
        <w:rPr>
          <w:rFonts w:ascii="Arial" w:eastAsia="Arial" w:hAnsi="Arial" w:cs="Arial"/>
          <w:vertAlign w:val="superscript"/>
        </w:rPr>
        <w:t>1</w:t>
      </w:r>
      <w:r>
        <w:rPr>
          <w:rFonts w:ascii="Arial" w:eastAsia="Arial" w:hAnsi="Arial" w:cs="Arial"/>
        </w:rPr>
        <w:t>, Hadi Nadali</w:t>
      </w:r>
      <w:r>
        <w:rPr>
          <w:rFonts w:ascii="Arial" w:eastAsia="Arial" w:hAnsi="Arial" w:cs="Arial"/>
          <w:vertAlign w:val="superscript"/>
        </w:rPr>
        <w:t>1</w:t>
      </w:r>
      <w:r>
        <w:rPr>
          <w:rFonts w:ascii="Arial" w:eastAsia="Arial" w:hAnsi="Arial" w:cs="Arial"/>
        </w:rPr>
        <w:t>, Brian Schmidt</w:t>
      </w:r>
      <w:r>
        <w:rPr>
          <w:rFonts w:ascii="Arial" w:eastAsia="Arial" w:hAnsi="Arial" w:cs="Arial"/>
          <w:vertAlign w:val="superscript"/>
        </w:rPr>
        <w:t>3</w:t>
      </w:r>
      <w:r>
        <w:rPr>
          <w:rFonts w:ascii="Arial" w:eastAsia="Arial" w:hAnsi="Arial" w:cs="Arial"/>
        </w:rPr>
        <w:t>, Koray D. Kaya</w:t>
      </w:r>
      <w:r>
        <w:rPr>
          <w:rFonts w:ascii="Arial" w:eastAsia="Arial" w:hAnsi="Arial" w:cs="Arial"/>
          <w:vertAlign w:val="superscript"/>
        </w:rPr>
        <w:t>4</w:t>
      </w:r>
      <w:r>
        <w:rPr>
          <w:rFonts w:ascii="Arial" w:eastAsia="Arial" w:hAnsi="Arial" w:cs="Arial"/>
        </w:rPr>
        <w:t>,</w:t>
      </w:r>
      <w:r>
        <w:rPr>
          <w:rFonts w:ascii="Arial" w:eastAsia="Arial" w:hAnsi="Arial" w:cs="Arial"/>
          <w:vertAlign w:val="superscript"/>
        </w:rPr>
        <w:t xml:space="preserve"> </w:t>
      </w:r>
      <w:r>
        <w:rPr>
          <w:rFonts w:ascii="Arial" w:eastAsia="Arial" w:hAnsi="Arial" w:cs="Arial"/>
        </w:rPr>
        <w:t>Shilpa Kodati</w:t>
      </w:r>
      <w:r>
        <w:rPr>
          <w:rFonts w:ascii="Arial" w:eastAsia="Arial" w:hAnsi="Arial" w:cs="Arial"/>
          <w:vertAlign w:val="superscript"/>
        </w:rPr>
        <w:t>1</w:t>
      </w:r>
      <w:r>
        <w:rPr>
          <w:rFonts w:ascii="Arial" w:eastAsia="Arial" w:hAnsi="Arial" w:cs="Arial"/>
        </w:rPr>
        <w:t>, Alice Young</w:t>
      </w:r>
      <w:r>
        <w:rPr>
          <w:rFonts w:ascii="Arial" w:eastAsia="Arial" w:hAnsi="Arial" w:cs="Arial"/>
          <w:vertAlign w:val="superscript"/>
        </w:rPr>
        <w:t>3</w:t>
      </w:r>
      <w:r>
        <w:rPr>
          <w:rFonts w:ascii="Arial" w:eastAsia="Arial" w:hAnsi="Arial" w:cs="Arial"/>
        </w:rPr>
        <w:t>, Rachel R. Caspi</w:t>
      </w:r>
      <w:r>
        <w:rPr>
          <w:rFonts w:ascii="Arial" w:eastAsia="Arial" w:hAnsi="Arial" w:cs="Arial"/>
          <w:vertAlign w:val="superscript"/>
        </w:rPr>
        <w:t>2</w:t>
      </w:r>
      <w:r>
        <w:rPr>
          <w:rFonts w:ascii="Arial" w:eastAsia="Arial" w:hAnsi="Arial" w:cs="Arial"/>
        </w:rPr>
        <w:t>, Jonas J. W. Kuiper</w:t>
      </w:r>
      <w:r>
        <w:rPr>
          <w:rFonts w:ascii="Arial" w:eastAsia="Arial" w:hAnsi="Arial" w:cs="Arial"/>
          <w:vertAlign w:val="superscript"/>
        </w:rPr>
        <w:t>5</w:t>
      </w:r>
      <w:r w:rsidRPr="00B311C1">
        <w:rPr>
          <w:rFonts w:ascii="Arial" w:eastAsia="Arial" w:hAnsi="Arial" w:cs="Arial"/>
        </w:rPr>
        <w:t>*</w:t>
      </w:r>
      <w:r>
        <w:rPr>
          <w:rFonts w:ascii="Arial" w:eastAsia="Arial" w:hAnsi="Arial" w:cs="Arial"/>
        </w:rPr>
        <w:t>, H. Nida Sen</w:t>
      </w:r>
      <w:r>
        <w:rPr>
          <w:rFonts w:ascii="Arial" w:eastAsia="Arial" w:hAnsi="Arial" w:cs="Arial"/>
          <w:vertAlign w:val="superscript"/>
        </w:rPr>
        <w:t>1</w:t>
      </w:r>
      <w:r w:rsidRPr="00723EDD">
        <w:rPr>
          <w:rFonts w:ascii="Cambria Math" w:eastAsia="Symbol" w:hAnsi="Cambria Math" w:cs="Cambria Math"/>
          <w:b/>
          <w:bCs/>
          <w:sz w:val="11"/>
          <w:szCs w:val="11"/>
          <w:vertAlign w:val="superscript"/>
        </w:rPr>
        <w:t>⎠⎠⎠</w:t>
      </w:r>
    </w:p>
    <w:p w14:paraId="31289477" w14:textId="77777777" w:rsidR="002D4C9D" w:rsidRPr="005632AB" w:rsidRDefault="002D4C9D" w:rsidP="002D4C9D">
      <w:pPr>
        <w:rPr>
          <w:rFonts w:ascii="Arial" w:eastAsia="Arial" w:hAnsi="Arial" w:cs="Arial"/>
          <w:b/>
          <w:bCs/>
          <w:sz w:val="16"/>
          <w:szCs w:val="16"/>
        </w:rPr>
      </w:pPr>
    </w:p>
    <w:p w14:paraId="7CD458D7" w14:textId="77777777" w:rsidR="002D4C9D" w:rsidRPr="00734DB2" w:rsidRDefault="002D4C9D" w:rsidP="002D4C9D">
      <w:pPr>
        <w:spacing w:line="276" w:lineRule="auto"/>
        <w:rPr>
          <w:rFonts w:ascii="Arial" w:eastAsia="Arial" w:hAnsi="Arial" w:cs="Arial"/>
          <w:sz w:val="20"/>
          <w:szCs w:val="20"/>
        </w:rPr>
      </w:pPr>
      <w:r w:rsidRPr="00734DB2">
        <w:rPr>
          <w:rFonts w:ascii="Arial" w:eastAsia="Arial" w:hAnsi="Arial" w:cs="Arial"/>
          <w:sz w:val="20"/>
          <w:szCs w:val="20"/>
          <w:vertAlign w:val="superscript"/>
        </w:rPr>
        <w:t xml:space="preserve">1 </w:t>
      </w:r>
      <w:r w:rsidRPr="00734DB2">
        <w:rPr>
          <w:rFonts w:ascii="Arial" w:eastAsia="Arial" w:hAnsi="Arial" w:cs="Arial"/>
          <w:sz w:val="20"/>
          <w:szCs w:val="20"/>
        </w:rPr>
        <w:t>Clinical and Translational Immunology Unit, Laboratory of Immunology, NEI, NIH, Bethesda, USA.</w:t>
      </w:r>
    </w:p>
    <w:p w14:paraId="79613879" w14:textId="77777777" w:rsidR="002D4C9D" w:rsidRPr="00734DB2" w:rsidRDefault="002D4C9D" w:rsidP="002D4C9D">
      <w:pPr>
        <w:rPr>
          <w:rFonts w:ascii="Arial" w:eastAsia="Arial" w:hAnsi="Arial" w:cs="Arial"/>
          <w:sz w:val="20"/>
          <w:szCs w:val="20"/>
        </w:rPr>
      </w:pPr>
      <w:r w:rsidRPr="00734DB2">
        <w:rPr>
          <w:rFonts w:ascii="Arial" w:eastAsia="Arial" w:hAnsi="Arial" w:cs="Arial"/>
          <w:sz w:val="20"/>
          <w:szCs w:val="20"/>
          <w:vertAlign w:val="superscript"/>
        </w:rPr>
        <w:t xml:space="preserve">2 </w:t>
      </w:r>
      <w:r w:rsidRPr="00734DB2">
        <w:rPr>
          <w:rFonts w:ascii="Arial" w:eastAsia="Arial" w:hAnsi="Arial" w:cs="Arial"/>
          <w:sz w:val="20"/>
          <w:szCs w:val="20"/>
        </w:rPr>
        <w:t>Immunoregulation Section, Laboratory of Immunology, NEI, NIH, Bethesda, USA.</w:t>
      </w:r>
    </w:p>
    <w:p w14:paraId="21C06A47" w14:textId="77777777" w:rsidR="002D4C9D" w:rsidRPr="00734DB2" w:rsidRDefault="002D4C9D" w:rsidP="002D4C9D">
      <w:pPr>
        <w:spacing w:line="276" w:lineRule="auto"/>
        <w:rPr>
          <w:rFonts w:ascii="Arial" w:eastAsia="Arial" w:hAnsi="Arial" w:cs="Arial"/>
          <w:sz w:val="20"/>
          <w:szCs w:val="20"/>
        </w:rPr>
      </w:pPr>
      <w:r w:rsidRPr="00734DB2">
        <w:rPr>
          <w:rFonts w:ascii="Arial" w:eastAsia="Arial" w:hAnsi="Arial" w:cs="Arial"/>
          <w:sz w:val="20"/>
          <w:szCs w:val="20"/>
          <w:vertAlign w:val="superscript"/>
        </w:rPr>
        <w:t xml:space="preserve">3 </w:t>
      </w:r>
      <w:r w:rsidRPr="00734DB2">
        <w:rPr>
          <w:rFonts w:ascii="Arial" w:eastAsia="Arial" w:hAnsi="Arial" w:cs="Arial"/>
          <w:sz w:val="20"/>
          <w:szCs w:val="20"/>
        </w:rPr>
        <w:t>NIH Intramural Sequencing Center, NIH, Rockville, USA.</w:t>
      </w:r>
    </w:p>
    <w:p w14:paraId="6DB9E40E" w14:textId="77777777" w:rsidR="002D4C9D" w:rsidRPr="00734DB2" w:rsidRDefault="002D4C9D" w:rsidP="002D4C9D">
      <w:pPr>
        <w:spacing w:line="276" w:lineRule="auto"/>
        <w:rPr>
          <w:rFonts w:ascii="Arial" w:eastAsia="Arial" w:hAnsi="Arial" w:cs="Arial"/>
          <w:sz w:val="20"/>
          <w:szCs w:val="20"/>
        </w:rPr>
      </w:pPr>
      <w:r w:rsidRPr="00734DB2">
        <w:rPr>
          <w:rFonts w:ascii="Arial" w:eastAsia="Arial" w:hAnsi="Arial" w:cs="Arial"/>
          <w:sz w:val="20"/>
          <w:szCs w:val="20"/>
          <w:vertAlign w:val="superscript"/>
        </w:rPr>
        <w:t xml:space="preserve">4 </w:t>
      </w:r>
      <w:r w:rsidRPr="00734DB2">
        <w:rPr>
          <w:rFonts w:ascii="Arial" w:eastAsia="Arial" w:hAnsi="Arial" w:cs="Arial"/>
          <w:sz w:val="20"/>
          <w:szCs w:val="20"/>
        </w:rPr>
        <w:t>Medical Genetics and Ophthalmic Genomics Unit, NEI, NIH, Bethesda, USA.</w:t>
      </w:r>
    </w:p>
    <w:p w14:paraId="0F6EEB1E" w14:textId="77777777" w:rsidR="002D4C9D" w:rsidRPr="00734DB2" w:rsidRDefault="002D4C9D" w:rsidP="002D4C9D">
      <w:pPr>
        <w:spacing w:line="276" w:lineRule="auto"/>
        <w:rPr>
          <w:rFonts w:ascii="Arial" w:eastAsia="Arial" w:hAnsi="Arial" w:cs="Arial"/>
          <w:sz w:val="20"/>
          <w:szCs w:val="20"/>
        </w:rPr>
      </w:pPr>
      <w:r w:rsidRPr="00734DB2">
        <w:rPr>
          <w:rFonts w:ascii="Arial" w:eastAsia="Arial" w:hAnsi="Arial" w:cs="Arial"/>
          <w:sz w:val="20"/>
          <w:szCs w:val="20"/>
          <w:vertAlign w:val="superscript"/>
        </w:rPr>
        <w:t xml:space="preserve">5 </w:t>
      </w:r>
      <w:r w:rsidRPr="00734DB2">
        <w:rPr>
          <w:rFonts w:ascii="Arial" w:eastAsia="Arial" w:hAnsi="Arial" w:cs="Arial"/>
          <w:sz w:val="20"/>
          <w:szCs w:val="20"/>
        </w:rPr>
        <w:t>Department of Ophthalmology, University Medical Center Utrecht, University of Utrecht, Utrecht, Netherlands.</w:t>
      </w:r>
    </w:p>
    <w:p w14:paraId="2D3EA575" w14:textId="77777777" w:rsidR="002D4C9D" w:rsidRDefault="002D4C9D" w:rsidP="002D4C9D">
      <w:pPr>
        <w:rPr>
          <w:rFonts w:ascii="Arial" w:eastAsia="Arial" w:hAnsi="Arial" w:cs="Arial"/>
          <w:vertAlign w:val="superscript"/>
        </w:rPr>
      </w:pPr>
    </w:p>
    <w:p w14:paraId="575E3EE3" w14:textId="77777777" w:rsidR="002D4C9D" w:rsidRPr="00A13580" w:rsidRDefault="002D4C9D" w:rsidP="002D4C9D">
      <w:pPr>
        <w:rPr>
          <w:rFonts w:ascii="Arial" w:eastAsia="Arial" w:hAnsi="Arial" w:cs="Arial"/>
          <w:sz w:val="20"/>
          <w:szCs w:val="20"/>
        </w:rPr>
      </w:pPr>
      <w:r w:rsidRPr="00723EDD">
        <w:rPr>
          <w:rFonts w:ascii="Cambria Math" w:eastAsia="Symbol" w:hAnsi="Cambria Math" w:cs="Cambria Math"/>
          <w:b/>
          <w:bCs/>
          <w:sz w:val="11"/>
          <w:szCs w:val="11"/>
          <w:vertAlign w:val="superscript"/>
        </w:rPr>
        <w:t>⎠</w:t>
      </w:r>
      <w:r w:rsidRPr="00A13580">
        <w:rPr>
          <w:rFonts w:ascii="Arial" w:eastAsia="Arial" w:hAnsi="Arial" w:cs="Arial"/>
          <w:sz w:val="20"/>
          <w:szCs w:val="20"/>
        </w:rPr>
        <w:t>Current affiliation: Lentigen Technology Inc, A Miltenyi Biotec Company, 910 Clopper Road, Gaithersburg, MD 20878, USA</w:t>
      </w:r>
    </w:p>
    <w:p w14:paraId="559F6BF2" w14:textId="77777777" w:rsidR="002D4C9D" w:rsidRPr="00A13580" w:rsidRDefault="002D4C9D" w:rsidP="002D4C9D">
      <w:pPr>
        <w:rPr>
          <w:rFonts w:ascii="Arial" w:eastAsia="Arial" w:hAnsi="Arial" w:cs="Arial"/>
          <w:sz w:val="20"/>
          <w:szCs w:val="20"/>
        </w:rPr>
      </w:pPr>
      <w:r w:rsidRPr="00723EDD">
        <w:rPr>
          <w:rFonts w:ascii="Cambria Math" w:eastAsia="Symbol" w:hAnsi="Cambria Math" w:cs="Cambria Math"/>
          <w:b/>
          <w:bCs/>
          <w:sz w:val="11"/>
          <w:szCs w:val="11"/>
          <w:vertAlign w:val="superscript"/>
        </w:rPr>
        <w:t>⎠⎠</w:t>
      </w:r>
      <w:r w:rsidRPr="00A13580">
        <w:rPr>
          <w:rFonts w:ascii="Arial" w:eastAsia="Arial" w:hAnsi="Arial" w:cs="Arial"/>
          <w:sz w:val="20"/>
          <w:szCs w:val="20"/>
        </w:rPr>
        <w:t>Current affiliation: Translational Immunology Section, Office of Science and Technology, NIAMS, NIH, Bethesda, USA</w:t>
      </w:r>
    </w:p>
    <w:p w14:paraId="5FFD08D1" w14:textId="77777777" w:rsidR="002D4C9D" w:rsidRPr="00A13580" w:rsidRDefault="002D4C9D" w:rsidP="002D4C9D">
      <w:pPr>
        <w:spacing w:line="276" w:lineRule="auto"/>
        <w:rPr>
          <w:rFonts w:ascii="Arial" w:eastAsia="Arial" w:hAnsi="Arial" w:cs="Arial"/>
          <w:sz w:val="20"/>
          <w:szCs w:val="20"/>
        </w:rPr>
      </w:pPr>
      <w:r w:rsidRPr="00723EDD">
        <w:rPr>
          <w:rFonts w:ascii="Cambria Math" w:eastAsia="Symbol" w:hAnsi="Cambria Math" w:cs="Cambria Math"/>
          <w:b/>
          <w:bCs/>
          <w:sz w:val="11"/>
          <w:szCs w:val="11"/>
          <w:vertAlign w:val="superscript"/>
        </w:rPr>
        <w:t>⎠⎠⎠</w:t>
      </w:r>
      <w:r w:rsidRPr="00A13580">
        <w:rPr>
          <w:rFonts w:ascii="Arial" w:eastAsia="Arial" w:hAnsi="Arial" w:cs="Arial"/>
          <w:sz w:val="20"/>
          <w:szCs w:val="20"/>
        </w:rPr>
        <w:t>Current affiliation: Janssen Retina/Global Clinical Development at The Janssen Pharmaceutical, Companies of Johnson &amp; Johnson.</w:t>
      </w:r>
    </w:p>
    <w:p w14:paraId="094814F8" w14:textId="77777777" w:rsidR="002D4C9D" w:rsidRDefault="002D4C9D" w:rsidP="002D4C9D">
      <w:pPr>
        <w:spacing w:line="276" w:lineRule="auto"/>
        <w:rPr>
          <w:rFonts w:ascii="Arial" w:eastAsia="Arial" w:hAnsi="Arial" w:cs="Arial"/>
        </w:rPr>
      </w:pPr>
    </w:p>
    <w:p w14:paraId="2D5915CF" w14:textId="77777777" w:rsidR="002D4C9D" w:rsidRDefault="002D4C9D" w:rsidP="002D4C9D">
      <w:pPr>
        <w:rPr>
          <w:rFonts w:ascii="Arial" w:eastAsia="Arial" w:hAnsi="Arial" w:cs="Arial"/>
          <w:sz w:val="20"/>
          <w:szCs w:val="20"/>
        </w:rPr>
      </w:pPr>
      <w:r w:rsidRPr="00A13580">
        <w:rPr>
          <w:rFonts w:ascii="Arial" w:eastAsia="Arial" w:hAnsi="Arial" w:cs="Arial"/>
          <w:sz w:val="20"/>
          <w:szCs w:val="20"/>
        </w:rPr>
        <w:t xml:space="preserve">* Correspondence to Pulak R. Nath (email: </w:t>
      </w:r>
      <w:hyperlink r:id="rId7">
        <w:r w:rsidRPr="00A13580">
          <w:rPr>
            <w:rFonts w:ascii="Arial" w:eastAsia="Arial" w:hAnsi="Arial" w:cs="Arial"/>
            <w:color w:val="1155CC"/>
            <w:sz w:val="20"/>
            <w:szCs w:val="20"/>
            <w:u w:val="single"/>
          </w:rPr>
          <w:t>hellopran2000@gmail.com</w:t>
        </w:r>
      </w:hyperlink>
      <w:r w:rsidRPr="00A13580">
        <w:rPr>
          <w:rFonts w:ascii="Arial" w:eastAsia="Arial" w:hAnsi="Arial" w:cs="Arial"/>
          <w:sz w:val="20"/>
          <w:szCs w:val="20"/>
        </w:rPr>
        <w:t xml:space="preserve">) and Jonas J.W. Kuiper (email: </w:t>
      </w:r>
      <w:hyperlink r:id="rId8">
        <w:r w:rsidRPr="00A13580">
          <w:rPr>
            <w:rFonts w:ascii="Arial" w:eastAsia="Arial" w:hAnsi="Arial" w:cs="Arial"/>
            <w:color w:val="1155CC"/>
            <w:sz w:val="20"/>
            <w:szCs w:val="20"/>
            <w:u w:val="single"/>
          </w:rPr>
          <w:t>j.j.w.kuiper@umcutrecht.nl</w:t>
        </w:r>
      </w:hyperlink>
      <w:r w:rsidRPr="00A13580">
        <w:rPr>
          <w:rFonts w:ascii="Arial" w:eastAsia="Arial" w:hAnsi="Arial" w:cs="Arial"/>
          <w:sz w:val="20"/>
          <w:szCs w:val="20"/>
        </w:rPr>
        <w:t>)</w:t>
      </w:r>
    </w:p>
    <w:p w14:paraId="4DA66404" w14:textId="77777777" w:rsidR="002D4C9D" w:rsidRDefault="002D4C9D" w:rsidP="002D4C9D">
      <w:pPr>
        <w:jc w:val="center"/>
        <w:rPr>
          <w:rFonts w:ascii="Arial" w:eastAsia="Arial" w:hAnsi="Arial" w:cs="Arial"/>
        </w:rPr>
      </w:pPr>
    </w:p>
    <w:p w14:paraId="0357C1AD" w14:textId="77777777" w:rsidR="002D4C9D" w:rsidRDefault="002D4C9D" w:rsidP="002D4C9D">
      <w:pPr>
        <w:rPr>
          <w:rFonts w:ascii="Arial" w:eastAsia="Arial" w:hAnsi="Arial" w:cs="Arial"/>
        </w:rPr>
      </w:pPr>
    </w:p>
    <w:p w14:paraId="58ADC39E" w14:textId="77777777" w:rsidR="002D4C9D" w:rsidRPr="005A4D67" w:rsidRDefault="002D4C9D" w:rsidP="002D4C9D">
      <w:pPr>
        <w:rPr>
          <w:rFonts w:ascii="Arial" w:eastAsia="Arial" w:hAnsi="Arial" w:cs="Arial"/>
          <w:b/>
          <w:sz w:val="20"/>
          <w:szCs w:val="20"/>
        </w:rPr>
      </w:pPr>
      <w:r>
        <w:rPr>
          <w:rFonts w:ascii="Arial" w:eastAsia="Arial" w:hAnsi="Arial" w:cs="Arial"/>
          <w:b/>
          <w:noProof/>
          <w:sz w:val="20"/>
          <w:szCs w:val="20"/>
        </w:rPr>
        <w:lastRenderedPageBreak/>
        <w:drawing>
          <wp:inline distT="114300" distB="114300" distL="114300" distR="114300" wp14:anchorId="1D825692" wp14:editId="2C3FEB2B">
            <wp:extent cx="5943600" cy="5346700"/>
            <wp:effectExtent l="0" t="0" r="0" b="0"/>
            <wp:docPr id="60" name="image10.png" descr="A picture containing 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60" name="image10.png" descr="A picture containing timeline&#10;&#10;Description automatically generated"/>
                    <pic:cNvPicPr preferRelativeResize="0"/>
                  </pic:nvPicPr>
                  <pic:blipFill>
                    <a:blip r:embed="rId9"/>
                    <a:srcRect/>
                    <a:stretch>
                      <a:fillRect/>
                    </a:stretch>
                  </pic:blipFill>
                  <pic:spPr>
                    <a:xfrm>
                      <a:off x="0" y="0"/>
                      <a:ext cx="5943600" cy="5346700"/>
                    </a:xfrm>
                    <a:prstGeom prst="rect">
                      <a:avLst/>
                    </a:prstGeom>
                    <a:ln/>
                  </pic:spPr>
                </pic:pic>
              </a:graphicData>
            </a:graphic>
          </wp:inline>
        </w:drawing>
      </w:r>
      <w:r>
        <w:rPr>
          <w:rFonts w:ascii="Arial" w:eastAsia="Arial" w:hAnsi="Arial" w:cs="Arial"/>
          <w:b/>
          <w:noProof/>
          <w:sz w:val="20"/>
          <w:szCs w:val="20"/>
        </w:rPr>
        <w:lastRenderedPageBreak/>
        <w:drawing>
          <wp:inline distT="114300" distB="114300" distL="114300" distR="114300" wp14:anchorId="2B2D9914" wp14:editId="0F56608C">
            <wp:extent cx="5943600" cy="4508500"/>
            <wp:effectExtent l="0" t="0" r="0" b="0"/>
            <wp:docPr id="59" name="image3.png"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59" name="image3.png" descr="Graphical user interface&#10;&#10;Description automatically generated"/>
                    <pic:cNvPicPr preferRelativeResize="0"/>
                  </pic:nvPicPr>
                  <pic:blipFill>
                    <a:blip r:embed="rId10"/>
                    <a:srcRect/>
                    <a:stretch>
                      <a:fillRect/>
                    </a:stretch>
                  </pic:blipFill>
                  <pic:spPr>
                    <a:xfrm>
                      <a:off x="0" y="0"/>
                      <a:ext cx="5943600" cy="4508500"/>
                    </a:xfrm>
                    <a:prstGeom prst="rect">
                      <a:avLst/>
                    </a:prstGeom>
                    <a:ln/>
                  </pic:spPr>
                </pic:pic>
              </a:graphicData>
            </a:graphic>
          </wp:inline>
        </w:drawing>
      </w:r>
      <w:r>
        <w:rPr>
          <w:rFonts w:ascii="Arial" w:eastAsia="Arial" w:hAnsi="Arial" w:cs="Arial"/>
          <w:b/>
          <w:sz w:val="20"/>
          <w:szCs w:val="20"/>
        </w:rPr>
        <w:t>Figure S1</w:t>
      </w:r>
    </w:p>
    <w:p w14:paraId="1D365FF7" w14:textId="77777777" w:rsidR="002D4C9D" w:rsidRDefault="002D4C9D" w:rsidP="002D4C9D">
      <w:pPr>
        <w:rPr>
          <w:rFonts w:ascii="Arial" w:eastAsia="Arial" w:hAnsi="Arial" w:cs="Arial"/>
          <w:sz w:val="20"/>
          <w:szCs w:val="20"/>
        </w:rPr>
      </w:pPr>
      <w:r>
        <w:rPr>
          <w:rFonts w:ascii="Arial" w:eastAsia="Arial" w:hAnsi="Arial" w:cs="Arial"/>
          <w:b/>
          <w:sz w:val="20"/>
          <w:szCs w:val="20"/>
        </w:rPr>
        <w:t>A</w:t>
      </w:r>
      <w:r>
        <w:rPr>
          <w:rFonts w:ascii="Arial" w:eastAsia="Arial" w:hAnsi="Arial" w:cs="Arial"/>
          <w:sz w:val="20"/>
          <w:szCs w:val="20"/>
        </w:rPr>
        <w:t xml:space="preserve">. List of markers for interrogating major lineages of immune cells (10 markers, 6 major immune subsets) in peripheral blood of patients and healthy controls using flow cytometry. </w:t>
      </w:r>
    </w:p>
    <w:p w14:paraId="4A0C38DB" w14:textId="77777777" w:rsidR="002D4C9D" w:rsidRDefault="002D4C9D" w:rsidP="002D4C9D">
      <w:pPr>
        <w:rPr>
          <w:rFonts w:ascii="Arial" w:eastAsia="Arial" w:hAnsi="Arial" w:cs="Arial"/>
          <w:sz w:val="20"/>
          <w:szCs w:val="20"/>
        </w:rPr>
      </w:pPr>
      <w:r>
        <w:rPr>
          <w:rFonts w:ascii="Arial" w:eastAsia="Arial" w:hAnsi="Arial" w:cs="Arial"/>
          <w:sz w:val="20"/>
          <w:szCs w:val="20"/>
        </w:rPr>
        <w:t xml:space="preserve">Representative plot and frequency of </w:t>
      </w:r>
      <w:r>
        <w:rPr>
          <w:rFonts w:ascii="Arial" w:eastAsia="Arial" w:hAnsi="Arial" w:cs="Arial"/>
          <w:b/>
          <w:sz w:val="20"/>
          <w:szCs w:val="20"/>
        </w:rPr>
        <w:t>(B)</w:t>
      </w:r>
      <w:r>
        <w:rPr>
          <w:rFonts w:ascii="Arial" w:eastAsia="Arial" w:hAnsi="Arial" w:cs="Arial"/>
          <w:sz w:val="20"/>
          <w:szCs w:val="20"/>
        </w:rPr>
        <w:t xml:space="preserve"> T cells, </w:t>
      </w:r>
      <w:r>
        <w:rPr>
          <w:rFonts w:ascii="Arial" w:eastAsia="Arial" w:hAnsi="Arial" w:cs="Arial"/>
          <w:b/>
          <w:sz w:val="20"/>
          <w:szCs w:val="20"/>
        </w:rPr>
        <w:t>(C)</w:t>
      </w:r>
      <w:r>
        <w:rPr>
          <w:rFonts w:ascii="Arial" w:eastAsia="Arial" w:hAnsi="Arial" w:cs="Arial"/>
          <w:sz w:val="20"/>
          <w:szCs w:val="20"/>
        </w:rPr>
        <w:t xml:space="preserve"> B cells, </w:t>
      </w:r>
      <w:r>
        <w:rPr>
          <w:rFonts w:ascii="Arial" w:eastAsia="Arial" w:hAnsi="Arial" w:cs="Arial"/>
          <w:b/>
          <w:sz w:val="20"/>
          <w:szCs w:val="20"/>
        </w:rPr>
        <w:t>(D)</w:t>
      </w:r>
      <w:r>
        <w:rPr>
          <w:rFonts w:ascii="Arial" w:eastAsia="Arial" w:hAnsi="Arial" w:cs="Arial"/>
          <w:sz w:val="20"/>
          <w:szCs w:val="20"/>
        </w:rPr>
        <w:t xml:space="preserve"> monocyte and (DCs) and </w:t>
      </w:r>
      <w:r>
        <w:rPr>
          <w:rFonts w:ascii="Arial" w:eastAsia="Arial" w:hAnsi="Arial" w:cs="Arial"/>
          <w:b/>
          <w:sz w:val="20"/>
          <w:szCs w:val="20"/>
        </w:rPr>
        <w:t>(E)</w:t>
      </w:r>
      <w:r>
        <w:rPr>
          <w:rFonts w:ascii="Arial" w:eastAsia="Arial" w:hAnsi="Arial" w:cs="Arial"/>
          <w:sz w:val="20"/>
          <w:szCs w:val="20"/>
        </w:rPr>
        <w:t xml:space="preserve"> NK cells and in the peripheral blood of uveitis patients (blue) and healthy controls are shown. There was no change in the frequency of T cells, B cells, DCs and monocytes, except the differences found in the NK cell subsets between the two groups. CD56highCD16- NK cells were significantly decreased while concomitantly CD56loCD16+ NK cells were significantly increased in uveitis cohort compared to the healthy controls.</w:t>
      </w:r>
    </w:p>
    <w:p w14:paraId="51EE1741" w14:textId="77777777" w:rsidR="002D4C9D" w:rsidRDefault="002D4C9D" w:rsidP="002D4C9D">
      <w:pPr>
        <w:rPr>
          <w:rFonts w:ascii="Arial" w:eastAsia="Arial" w:hAnsi="Arial" w:cs="Arial"/>
          <w:highlight w:val="yellow"/>
        </w:rPr>
      </w:pPr>
      <w:r>
        <w:rPr>
          <w:rFonts w:ascii="Arial" w:eastAsia="Arial" w:hAnsi="Arial" w:cs="Arial"/>
          <w:b/>
          <w:sz w:val="20"/>
          <w:szCs w:val="20"/>
        </w:rPr>
        <w:t xml:space="preserve">F. </w:t>
      </w:r>
      <w:r>
        <w:rPr>
          <w:rFonts w:ascii="Arial" w:eastAsia="Arial" w:hAnsi="Arial" w:cs="Arial"/>
          <w:sz w:val="20"/>
          <w:szCs w:val="20"/>
        </w:rPr>
        <w:t>Flow-cytometry analysis of NK1 (CD56dim CD16+) and NK2 (CD56bright) NK cells (CD3</w:t>
      </w:r>
      <w:r>
        <w:rPr>
          <w:rFonts w:ascii="Arial" w:eastAsia="Arial" w:hAnsi="Arial" w:cs="Arial"/>
          <w:sz w:val="20"/>
          <w:szCs w:val="20"/>
          <w:vertAlign w:val="superscript"/>
        </w:rPr>
        <w:t>-</w:t>
      </w:r>
      <w:r>
        <w:rPr>
          <w:rFonts w:ascii="Arial" w:eastAsia="Arial" w:hAnsi="Arial" w:cs="Arial"/>
          <w:sz w:val="20"/>
          <w:szCs w:val="20"/>
        </w:rPr>
        <w:t>CD19</w:t>
      </w:r>
      <w:r>
        <w:rPr>
          <w:rFonts w:ascii="Arial" w:eastAsia="Arial" w:hAnsi="Arial" w:cs="Arial"/>
          <w:sz w:val="20"/>
          <w:szCs w:val="20"/>
          <w:vertAlign w:val="superscript"/>
        </w:rPr>
        <w:t>-</w:t>
      </w:r>
      <w:r>
        <w:rPr>
          <w:rFonts w:ascii="Arial" w:eastAsia="Arial" w:hAnsi="Arial" w:cs="Arial"/>
          <w:sz w:val="20"/>
          <w:szCs w:val="20"/>
        </w:rPr>
        <w:t>CD56</w:t>
      </w:r>
      <w:r>
        <w:rPr>
          <w:rFonts w:ascii="Arial" w:eastAsia="Arial" w:hAnsi="Arial" w:cs="Arial"/>
          <w:sz w:val="20"/>
          <w:szCs w:val="20"/>
          <w:vertAlign w:val="superscript"/>
        </w:rPr>
        <w:t>+</w:t>
      </w:r>
      <w:r>
        <w:rPr>
          <w:rFonts w:ascii="Arial" w:eastAsia="Arial" w:hAnsi="Arial" w:cs="Arial"/>
          <w:sz w:val="20"/>
          <w:szCs w:val="20"/>
        </w:rPr>
        <w:t>) in the fresh blood of different uveitis subgroups.</w:t>
      </w:r>
    </w:p>
    <w:p w14:paraId="35FEEF75" w14:textId="77777777" w:rsidR="002D4C9D" w:rsidRDefault="002D4C9D" w:rsidP="002D4C9D">
      <w:pPr>
        <w:rPr>
          <w:rFonts w:ascii="Arial" w:eastAsia="Arial" w:hAnsi="Arial" w:cs="Arial"/>
          <w:sz w:val="20"/>
          <w:szCs w:val="20"/>
        </w:rPr>
      </w:pPr>
    </w:p>
    <w:p w14:paraId="103522FD" w14:textId="77777777" w:rsidR="002D4C9D" w:rsidRDefault="002D4C9D" w:rsidP="002D4C9D">
      <w:pPr>
        <w:rPr>
          <w:rFonts w:ascii="Arial" w:eastAsia="Arial" w:hAnsi="Arial" w:cs="Arial"/>
        </w:rPr>
      </w:pPr>
    </w:p>
    <w:p w14:paraId="618C0253" w14:textId="77777777" w:rsidR="002D4C9D" w:rsidRDefault="002D4C9D" w:rsidP="002D4C9D">
      <w:pPr>
        <w:rPr>
          <w:rFonts w:ascii="Arial" w:eastAsia="Arial" w:hAnsi="Arial" w:cs="Arial"/>
        </w:rPr>
      </w:pPr>
    </w:p>
    <w:p w14:paraId="53420FC1" w14:textId="77777777" w:rsidR="002D4C9D" w:rsidRDefault="002D4C9D" w:rsidP="002D4C9D">
      <w:pPr>
        <w:rPr>
          <w:rFonts w:ascii="Arial" w:eastAsia="Arial" w:hAnsi="Arial" w:cs="Arial"/>
        </w:rPr>
      </w:pPr>
    </w:p>
    <w:p w14:paraId="286344A5" w14:textId="77777777" w:rsidR="002D4C9D" w:rsidRDefault="002D4C9D" w:rsidP="002D4C9D">
      <w:pPr>
        <w:rPr>
          <w:rFonts w:ascii="Arial" w:eastAsia="Arial" w:hAnsi="Arial" w:cs="Arial"/>
          <w:b/>
        </w:rPr>
      </w:pPr>
      <w:r>
        <w:rPr>
          <w:rFonts w:ascii="Arial" w:eastAsia="Arial" w:hAnsi="Arial" w:cs="Arial"/>
          <w:noProof/>
        </w:rPr>
        <w:lastRenderedPageBreak/>
        <w:drawing>
          <wp:inline distT="0" distB="0" distL="0" distR="0" wp14:anchorId="7FC28AE3" wp14:editId="655710DC">
            <wp:extent cx="5943600" cy="6082030"/>
            <wp:effectExtent l="0" t="0" r="0" b="0"/>
            <wp:docPr id="5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1"/>
                    <a:srcRect/>
                    <a:stretch>
                      <a:fillRect/>
                    </a:stretch>
                  </pic:blipFill>
                  <pic:spPr>
                    <a:xfrm>
                      <a:off x="0" y="0"/>
                      <a:ext cx="5943600" cy="6082030"/>
                    </a:xfrm>
                    <a:prstGeom prst="rect">
                      <a:avLst/>
                    </a:prstGeom>
                    <a:ln/>
                  </pic:spPr>
                </pic:pic>
              </a:graphicData>
            </a:graphic>
          </wp:inline>
        </w:drawing>
      </w:r>
    </w:p>
    <w:p w14:paraId="034D2624" w14:textId="77777777" w:rsidR="002D4C9D" w:rsidRDefault="002D4C9D" w:rsidP="002D4C9D">
      <w:pPr>
        <w:rPr>
          <w:rFonts w:ascii="Arial" w:eastAsia="Arial" w:hAnsi="Arial" w:cs="Arial"/>
          <w:b/>
        </w:rPr>
      </w:pPr>
      <w:r>
        <w:rPr>
          <w:rFonts w:ascii="Arial" w:eastAsia="Arial" w:hAnsi="Arial" w:cs="Arial"/>
          <w:b/>
          <w:noProof/>
        </w:rPr>
        <w:lastRenderedPageBreak/>
        <w:drawing>
          <wp:inline distT="0" distB="0" distL="0" distR="0" wp14:anchorId="582EC56D" wp14:editId="1558C9F5">
            <wp:extent cx="5943600" cy="4417060"/>
            <wp:effectExtent l="0" t="0" r="0" b="0"/>
            <wp:docPr id="49" name="image1.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49" name="image1.png" descr="Chart&#10;&#10;Description automatically generated"/>
                    <pic:cNvPicPr preferRelativeResize="0"/>
                  </pic:nvPicPr>
                  <pic:blipFill>
                    <a:blip r:embed="rId12"/>
                    <a:srcRect/>
                    <a:stretch>
                      <a:fillRect/>
                    </a:stretch>
                  </pic:blipFill>
                  <pic:spPr>
                    <a:xfrm>
                      <a:off x="0" y="0"/>
                      <a:ext cx="5943600" cy="4417060"/>
                    </a:xfrm>
                    <a:prstGeom prst="rect">
                      <a:avLst/>
                    </a:prstGeom>
                    <a:ln/>
                  </pic:spPr>
                </pic:pic>
              </a:graphicData>
            </a:graphic>
          </wp:inline>
        </w:drawing>
      </w:r>
    </w:p>
    <w:p w14:paraId="41BCEF65" w14:textId="77777777" w:rsidR="002D4C9D" w:rsidRDefault="002D4C9D" w:rsidP="002D4C9D">
      <w:pPr>
        <w:rPr>
          <w:rFonts w:ascii="Arial" w:eastAsia="Arial" w:hAnsi="Arial" w:cs="Arial"/>
          <w:b/>
          <w:sz w:val="20"/>
          <w:szCs w:val="20"/>
        </w:rPr>
      </w:pPr>
      <w:r>
        <w:rPr>
          <w:rFonts w:ascii="Arial" w:eastAsia="Arial" w:hAnsi="Arial" w:cs="Arial"/>
          <w:b/>
          <w:sz w:val="20"/>
          <w:szCs w:val="20"/>
        </w:rPr>
        <w:t>Figure S2</w:t>
      </w:r>
    </w:p>
    <w:p w14:paraId="0838D801" w14:textId="77777777" w:rsidR="002D4C9D" w:rsidRDefault="002D4C9D" w:rsidP="002D4C9D">
      <w:pPr>
        <w:rPr>
          <w:rFonts w:ascii="Arial" w:eastAsia="Arial" w:hAnsi="Arial" w:cs="Arial"/>
          <w:sz w:val="20"/>
          <w:szCs w:val="20"/>
        </w:rPr>
      </w:pPr>
      <w:r>
        <w:rPr>
          <w:rFonts w:ascii="Arial" w:eastAsia="Arial" w:hAnsi="Arial" w:cs="Arial"/>
          <w:b/>
          <w:sz w:val="20"/>
          <w:szCs w:val="20"/>
        </w:rPr>
        <w:t xml:space="preserve">A. </w:t>
      </w:r>
      <w:r>
        <w:rPr>
          <w:rFonts w:ascii="Arial" w:eastAsia="Arial" w:hAnsi="Arial" w:cs="Arial"/>
          <w:sz w:val="20"/>
          <w:szCs w:val="20"/>
        </w:rPr>
        <w:t xml:space="preserve">An overview of scRNAse analysis. A total of 306,425 cells from 12 Birdshot uveitis patients (Birdshot/BCR-UV) and 12 healthy controls (Healthy) were subjected to 10x Chromium single cell separation and sequencing and merged to a combined dataset. The bioinformatic analysis pipeline includes the Primary analysis, Quality control, Normalization, Clustering, Differential Expression (DE) analysis and Annotation of the combined dataset. The UMAP plot (top) shows the merged distribution of cells from Healthy (Green) and BCR-UV (Red). The UMAP plot (bottom) shows annotation of 16 clusters of cell lineages in the combined dataset. The putative identity of each cluster was manually annotated based on ‘scsa’ and ‘scType’ annotations and interrogating the top expressed genes in each cluster. </w:t>
      </w:r>
    </w:p>
    <w:p w14:paraId="07C34E79" w14:textId="77777777" w:rsidR="002D4C9D" w:rsidRDefault="002D4C9D" w:rsidP="002D4C9D">
      <w:pPr>
        <w:rPr>
          <w:rFonts w:ascii="Arial" w:eastAsia="Arial" w:hAnsi="Arial" w:cs="Arial"/>
          <w:sz w:val="20"/>
          <w:szCs w:val="20"/>
        </w:rPr>
      </w:pPr>
      <w:r>
        <w:rPr>
          <w:rFonts w:ascii="Arial" w:eastAsia="Arial" w:hAnsi="Arial" w:cs="Arial"/>
          <w:b/>
          <w:sz w:val="20"/>
          <w:szCs w:val="20"/>
        </w:rPr>
        <w:t>B.</w:t>
      </w:r>
      <w:r>
        <w:rPr>
          <w:rFonts w:ascii="Arial" w:eastAsia="Arial" w:hAnsi="Arial" w:cs="Arial"/>
          <w:sz w:val="20"/>
          <w:szCs w:val="20"/>
        </w:rPr>
        <w:t xml:space="preserve"> Dot plot showing the expression profile of lineage-specific genes in the annotated cell clusters.</w:t>
      </w:r>
    </w:p>
    <w:p w14:paraId="6AA61C98" w14:textId="77777777" w:rsidR="002D4C9D" w:rsidRDefault="002D4C9D" w:rsidP="002D4C9D">
      <w:pPr>
        <w:rPr>
          <w:rFonts w:ascii="Arial" w:eastAsia="Arial" w:hAnsi="Arial" w:cs="Arial"/>
          <w:sz w:val="20"/>
          <w:szCs w:val="20"/>
        </w:rPr>
      </w:pPr>
      <w:r>
        <w:rPr>
          <w:rFonts w:ascii="Arial" w:eastAsia="Arial" w:hAnsi="Arial" w:cs="Arial"/>
          <w:b/>
          <w:sz w:val="20"/>
          <w:szCs w:val="20"/>
        </w:rPr>
        <w:t>C.</w:t>
      </w:r>
      <w:r>
        <w:rPr>
          <w:rFonts w:ascii="Arial" w:eastAsia="Arial" w:hAnsi="Arial" w:cs="Arial"/>
          <w:sz w:val="20"/>
          <w:szCs w:val="20"/>
        </w:rPr>
        <w:t xml:space="preserve"> The UMAP plot of single cell distribution is representing 16 clusters of cell lineages in the combined dataset of a total of 306,425 analyzed cells. The putative identity of each cluster was manually annotated. The NK cell clusters are identified in red color and the remaining cell clusters are presented in grey color.     </w:t>
      </w:r>
      <w:r>
        <w:rPr>
          <w:rFonts w:ascii="Arial" w:eastAsia="Arial" w:hAnsi="Arial" w:cs="Arial"/>
          <w:b/>
          <w:sz w:val="20"/>
          <w:szCs w:val="20"/>
        </w:rPr>
        <w:t>D.</w:t>
      </w:r>
      <w:r>
        <w:rPr>
          <w:rFonts w:ascii="Arial" w:eastAsia="Arial" w:hAnsi="Arial" w:cs="Arial"/>
          <w:sz w:val="20"/>
          <w:szCs w:val="20"/>
        </w:rPr>
        <w:t xml:space="preserve"> The top 30 most differentially expressed NK genes defined by principal component 1 in BCR-UV compared to HC.</w:t>
      </w:r>
    </w:p>
    <w:p w14:paraId="01A3EC9B" w14:textId="77777777" w:rsidR="002D4C9D" w:rsidRDefault="002D4C9D" w:rsidP="002D4C9D">
      <w:pPr>
        <w:rPr>
          <w:rFonts w:ascii="Arial" w:eastAsia="Arial" w:hAnsi="Arial" w:cs="Arial"/>
        </w:rPr>
      </w:pPr>
    </w:p>
    <w:p w14:paraId="08B8B3AE" w14:textId="77777777" w:rsidR="002D4C9D" w:rsidRDefault="002D4C9D" w:rsidP="002D4C9D">
      <w:pPr>
        <w:rPr>
          <w:rFonts w:ascii="Arial" w:eastAsia="Arial" w:hAnsi="Arial" w:cs="Arial"/>
        </w:rPr>
      </w:pPr>
    </w:p>
    <w:p w14:paraId="30D1C49F" w14:textId="77777777" w:rsidR="002D4C9D" w:rsidRDefault="002D4C9D" w:rsidP="002D4C9D">
      <w:pPr>
        <w:rPr>
          <w:rFonts w:ascii="Arial" w:eastAsia="Arial" w:hAnsi="Arial" w:cs="Arial"/>
        </w:rPr>
      </w:pPr>
      <w:r>
        <w:br w:type="page"/>
      </w:r>
    </w:p>
    <w:p w14:paraId="7A70E5C2" w14:textId="77777777" w:rsidR="002D4C9D" w:rsidRDefault="002D4C9D" w:rsidP="002D4C9D">
      <w:pPr>
        <w:rPr>
          <w:rFonts w:ascii="Arial" w:eastAsia="Arial" w:hAnsi="Arial" w:cs="Arial"/>
        </w:rPr>
      </w:pPr>
      <w:r>
        <w:rPr>
          <w:rFonts w:ascii="Arial" w:eastAsia="Arial" w:hAnsi="Arial" w:cs="Arial"/>
          <w:noProof/>
        </w:rPr>
        <w:lastRenderedPageBreak/>
        <w:drawing>
          <wp:inline distT="0" distB="0" distL="0" distR="0" wp14:anchorId="0A4869F0" wp14:editId="1714DCEE">
            <wp:extent cx="5943600" cy="2797460"/>
            <wp:effectExtent l="0" t="0" r="0" b="0"/>
            <wp:docPr id="5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t="-1" b="54747"/>
                    <a:stretch>
                      <a:fillRect/>
                    </a:stretch>
                  </pic:blipFill>
                  <pic:spPr>
                    <a:xfrm>
                      <a:off x="0" y="0"/>
                      <a:ext cx="5943600" cy="2797460"/>
                    </a:xfrm>
                    <a:prstGeom prst="rect">
                      <a:avLst/>
                    </a:prstGeom>
                    <a:ln/>
                  </pic:spPr>
                </pic:pic>
              </a:graphicData>
            </a:graphic>
          </wp:inline>
        </w:drawing>
      </w:r>
    </w:p>
    <w:p w14:paraId="582B2B70" w14:textId="77777777" w:rsidR="002D4C9D" w:rsidRDefault="002D4C9D" w:rsidP="002D4C9D">
      <w:pPr>
        <w:rPr>
          <w:rFonts w:ascii="Arial" w:eastAsia="Arial" w:hAnsi="Arial" w:cs="Arial"/>
        </w:rPr>
      </w:pPr>
      <w:r>
        <w:rPr>
          <w:rFonts w:ascii="Arial" w:eastAsia="Arial" w:hAnsi="Arial" w:cs="Arial"/>
          <w:noProof/>
        </w:rPr>
        <w:lastRenderedPageBreak/>
        <w:drawing>
          <wp:inline distT="0" distB="0" distL="0" distR="0" wp14:anchorId="166C478B" wp14:editId="530151FF">
            <wp:extent cx="5943600" cy="5981700"/>
            <wp:effectExtent l="0" t="0" r="0" b="0"/>
            <wp:docPr id="5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4"/>
                    <a:srcRect/>
                    <a:stretch>
                      <a:fillRect/>
                    </a:stretch>
                  </pic:blipFill>
                  <pic:spPr>
                    <a:xfrm>
                      <a:off x="0" y="0"/>
                      <a:ext cx="5943600" cy="5981700"/>
                    </a:xfrm>
                    <a:prstGeom prst="rect">
                      <a:avLst/>
                    </a:prstGeom>
                    <a:ln/>
                  </pic:spPr>
                </pic:pic>
              </a:graphicData>
            </a:graphic>
          </wp:inline>
        </w:drawing>
      </w:r>
    </w:p>
    <w:p w14:paraId="0B2E55C3" w14:textId="77777777" w:rsidR="002D4C9D" w:rsidRDefault="002D4C9D" w:rsidP="002D4C9D">
      <w:pPr>
        <w:rPr>
          <w:rFonts w:ascii="Arial" w:eastAsia="Arial" w:hAnsi="Arial" w:cs="Arial"/>
        </w:rPr>
      </w:pPr>
      <w:r>
        <w:rPr>
          <w:rFonts w:ascii="Arial" w:eastAsia="Arial" w:hAnsi="Arial" w:cs="Arial"/>
          <w:noProof/>
        </w:rPr>
        <w:lastRenderedPageBreak/>
        <w:drawing>
          <wp:inline distT="0" distB="0" distL="0" distR="0" wp14:anchorId="74B38DCF" wp14:editId="275426CD">
            <wp:extent cx="5943600" cy="5895340"/>
            <wp:effectExtent l="0" t="0" r="0" b="0"/>
            <wp:docPr id="5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5"/>
                    <a:srcRect/>
                    <a:stretch>
                      <a:fillRect/>
                    </a:stretch>
                  </pic:blipFill>
                  <pic:spPr>
                    <a:xfrm>
                      <a:off x="0" y="0"/>
                      <a:ext cx="5943600" cy="5895340"/>
                    </a:xfrm>
                    <a:prstGeom prst="rect">
                      <a:avLst/>
                    </a:prstGeom>
                    <a:ln/>
                  </pic:spPr>
                </pic:pic>
              </a:graphicData>
            </a:graphic>
          </wp:inline>
        </w:drawing>
      </w:r>
    </w:p>
    <w:p w14:paraId="0B9CC6CD" w14:textId="77777777" w:rsidR="002D4C9D" w:rsidRDefault="002D4C9D" w:rsidP="002D4C9D">
      <w:pPr>
        <w:rPr>
          <w:rFonts w:ascii="Arial" w:eastAsia="Arial" w:hAnsi="Arial" w:cs="Arial"/>
        </w:rPr>
      </w:pPr>
    </w:p>
    <w:p w14:paraId="1883595A" w14:textId="77777777" w:rsidR="002D4C9D" w:rsidRDefault="002D4C9D" w:rsidP="002D4C9D">
      <w:pPr>
        <w:rPr>
          <w:rFonts w:ascii="Arial" w:eastAsia="Arial" w:hAnsi="Arial" w:cs="Arial"/>
        </w:rPr>
      </w:pPr>
    </w:p>
    <w:p w14:paraId="020791FD" w14:textId="77777777" w:rsidR="002D4C9D" w:rsidRDefault="002D4C9D" w:rsidP="002D4C9D">
      <w:pPr>
        <w:tabs>
          <w:tab w:val="left" w:pos="1084"/>
        </w:tabs>
        <w:rPr>
          <w:rFonts w:ascii="Arial" w:eastAsia="Arial" w:hAnsi="Arial" w:cs="Arial"/>
          <w:b/>
          <w:sz w:val="20"/>
          <w:szCs w:val="20"/>
        </w:rPr>
      </w:pPr>
      <w:r>
        <w:rPr>
          <w:rFonts w:ascii="Arial" w:eastAsia="Arial" w:hAnsi="Arial" w:cs="Arial"/>
          <w:b/>
          <w:sz w:val="20"/>
          <w:szCs w:val="20"/>
        </w:rPr>
        <w:t>Figure S3</w:t>
      </w:r>
    </w:p>
    <w:p w14:paraId="7778448A" w14:textId="77777777" w:rsidR="002D4C9D" w:rsidRDefault="002D4C9D" w:rsidP="002D4C9D">
      <w:pPr>
        <w:tabs>
          <w:tab w:val="left" w:pos="1084"/>
        </w:tabs>
        <w:rPr>
          <w:rFonts w:ascii="Arial" w:eastAsia="Arial" w:hAnsi="Arial" w:cs="Arial"/>
          <w:sz w:val="20"/>
          <w:szCs w:val="20"/>
        </w:rPr>
      </w:pPr>
      <w:r>
        <w:rPr>
          <w:rFonts w:ascii="Arial" w:eastAsia="Arial" w:hAnsi="Arial" w:cs="Arial"/>
          <w:b/>
          <w:sz w:val="20"/>
          <w:szCs w:val="20"/>
        </w:rPr>
        <w:t xml:space="preserve">A. </w:t>
      </w:r>
      <w:r>
        <w:rPr>
          <w:rFonts w:ascii="Arial" w:eastAsia="Arial" w:hAnsi="Arial" w:cs="Arial"/>
          <w:sz w:val="20"/>
          <w:szCs w:val="20"/>
        </w:rPr>
        <w:t xml:space="preserve">Tabular representation of total 12 NK-subclusters and associated cell count in 12 healthy controls (HC) and in 12 birdshot uveitis patients (BCR-UV). </w:t>
      </w:r>
    </w:p>
    <w:p w14:paraId="5BEA53BA" w14:textId="77777777" w:rsidR="002D4C9D" w:rsidRDefault="002D4C9D" w:rsidP="002D4C9D">
      <w:pPr>
        <w:tabs>
          <w:tab w:val="left" w:pos="1084"/>
        </w:tabs>
        <w:rPr>
          <w:rFonts w:ascii="Arial" w:eastAsia="Arial" w:hAnsi="Arial" w:cs="Arial"/>
          <w:sz w:val="20"/>
          <w:szCs w:val="20"/>
        </w:rPr>
      </w:pPr>
      <w:r>
        <w:rPr>
          <w:rFonts w:ascii="Arial" w:eastAsia="Arial" w:hAnsi="Arial" w:cs="Arial"/>
          <w:b/>
          <w:sz w:val="20"/>
          <w:szCs w:val="20"/>
        </w:rPr>
        <w:t>B.</w:t>
      </w:r>
      <w:r>
        <w:rPr>
          <w:rFonts w:ascii="Arial" w:eastAsia="Arial" w:hAnsi="Arial" w:cs="Arial"/>
          <w:sz w:val="20"/>
          <w:szCs w:val="20"/>
        </w:rPr>
        <w:t xml:space="preserve"> Violin plots representing the list of genes that are uniquely expressed in each of the 12 clusters of NK cell-subclusters.</w:t>
      </w:r>
    </w:p>
    <w:p w14:paraId="479ADF36" w14:textId="77777777" w:rsidR="002D4C9D" w:rsidRDefault="002D4C9D" w:rsidP="002D4C9D">
      <w:pPr>
        <w:rPr>
          <w:rFonts w:ascii="Arial" w:eastAsia="Arial" w:hAnsi="Arial" w:cs="Arial"/>
          <w:sz w:val="20"/>
          <w:szCs w:val="20"/>
        </w:rPr>
      </w:pPr>
      <w:r>
        <w:rPr>
          <w:rFonts w:ascii="Arial" w:eastAsia="Arial" w:hAnsi="Arial" w:cs="Arial"/>
          <w:b/>
          <w:sz w:val="20"/>
          <w:szCs w:val="20"/>
        </w:rPr>
        <w:t>C.</w:t>
      </w:r>
      <w:r>
        <w:rPr>
          <w:rFonts w:ascii="Arial" w:eastAsia="Arial" w:hAnsi="Arial" w:cs="Arial"/>
          <w:sz w:val="20"/>
          <w:szCs w:val="20"/>
        </w:rPr>
        <w:t xml:space="preserve"> Heatmap representing the expression of top 10 highly expressed markers of each NK cluster.</w:t>
      </w:r>
    </w:p>
    <w:p w14:paraId="1B71EFE3" w14:textId="77777777" w:rsidR="002D4C9D" w:rsidRDefault="002D4C9D" w:rsidP="002D4C9D">
      <w:pPr>
        <w:tabs>
          <w:tab w:val="left" w:pos="1084"/>
        </w:tabs>
        <w:rPr>
          <w:rFonts w:ascii="Arial" w:eastAsia="Arial" w:hAnsi="Arial" w:cs="Arial"/>
          <w:sz w:val="20"/>
          <w:szCs w:val="20"/>
        </w:rPr>
      </w:pPr>
      <w:r>
        <w:rPr>
          <w:rFonts w:ascii="Arial" w:eastAsia="Arial" w:hAnsi="Arial" w:cs="Arial"/>
          <w:b/>
          <w:sz w:val="20"/>
          <w:szCs w:val="20"/>
        </w:rPr>
        <w:t>D.</w:t>
      </w:r>
      <w:r>
        <w:rPr>
          <w:rFonts w:ascii="Arial" w:eastAsia="Arial" w:hAnsi="Arial" w:cs="Arial"/>
          <w:sz w:val="20"/>
          <w:szCs w:val="20"/>
        </w:rPr>
        <w:t xml:space="preserve"> Heatmap representing the expression of top 10 differentially expressed markers of each NK cluster.</w:t>
      </w:r>
    </w:p>
    <w:p w14:paraId="7D0CA610" w14:textId="77777777" w:rsidR="002D4C9D" w:rsidRDefault="002D4C9D" w:rsidP="002D4C9D">
      <w:pPr>
        <w:tabs>
          <w:tab w:val="left" w:pos="1084"/>
        </w:tabs>
        <w:rPr>
          <w:rFonts w:ascii="Arial" w:eastAsia="Arial" w:hAnsi="Arial" w:cs="Arial"/>
        </w:rPr>
      </w:pPr>
    </w:p>
    <w:p w14:paraId="694BA268" w14:textId="77777777" w:rsidR="002D4C9D" w:rsidRDefault="002D4C9D" w:rsidP="002D4C9D">
      <w:pPr>
        <w:tabs>
          <w:tab w:val="left" w:pos="1084"/>
        </w:tabs>
        <w:rPr>
          <w:rFonts w:ascii="Arial" w:eastAsia="Arial" w:hAnsi="Arial" w:cs="Arial"/>
        </w:rPr>
      </w:pPr>
    </w:p>
    <w:p w14:paraId="15A24D85" w14:textId="77777777" w:rsidR="002D4C9D" w:rsidRDefault="002D4C9D" w:rsidP="002D4C9D">
      <w:pPr>
        <w:tabs>
          <w:tab w:val="left" w:pos="1084"/>
        </w:tabs>
        <w:rPr>
          <w:rFonts w:ascii="Arial" w:eastAsia="Arial" w:hAnsi="Arial" w:cs="Arial"/>
        </w:rPr>
      </w:pPr>
      <w:r>
        <w:rPr>
          <w:rFonts w:ascii="Arial" w:eastAsia="Arial" w:hAnsi="Arial" w:cs="Arial"/>
          <w:noProof/>
        </w:rPr>
        <w:lastRenderedPageBreak/>
        <w:drawing>
          <wp:inline distT="114300" distB="114300" distL="114300" distR="114300" wp14:anchorId="62614FD3" wp14:editId="4A404B30">
            <wp:extent cx="5943600" cy="5765800"/>
            <wp:effectExtent l="0" t="0" r="0" b="0"/>
            <wp:docPr id="55" name="image12.png" descr="A screen shot of a computer&#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55" name="image12.png" descr="A screen shot of a computer&#10;&#10;Description automatically generated with low confidence"/>
                    <pic:cNvPicPr preferRelativeResize="0"/>
                  </pic:nvPicPr>
                  <pic:blipFill>
                    <a:blip r:embed="rId16"/>
                    <a:srcRect/>
                    <a:stretch>
                      <a:fillRect/>
                    </a:stretch>
                  </pic:blipFill>
                  <pic:spPr>
                    <a:xfrm>
                      <a:off x="0" y="0"/>
                      <a:ext cx="5943600" cy="5765800"/>
                    </a:xfrm>
                    <a:prstGeom prst="rect">
                      <a:avLst/>
                    </a:prstGeom>
                    <a:ln/>
                  </pic:spPr>
                </pic:pic>
              </a:graphicData>
            </a:graphic>
          </wp:inline>
        </w:drawing>
      </w:r>
    </w:p>
    <w:p w14:paraId="0E84A3B6" w14:textId="77777777" w:rsidR="002D4C9D" w:rsidRDefault="002D4C9D" w:rsidP="002D4C9D">
      <w:pPr>
        <w:tabs>
          <w:tab w:val="left" w:pos="1084"/>
        </w:tabs>
        <w:rPr>
          <w:rFonts w:ascii="Arial" w:eastAsia="Arial" w:hAnsi="Arial" w:cs="Arial"/>
        </w:rPr>
      </w:pPr>
    </w:p>
    <w:p w14:paraId="11894008" w14:textId="77777777" w:rsidR="002D4C9D" w:rsidRDefault="002D4C9D" w:rsidP="002D4C9D">
      <w:pPr>
        <w:tabs>
          <w:tab w:val="left" w:pos="1084"/>
        </w:tabs>
        <w:rPr>
          <w:rFonts w:ascii="Arial" w:eastAsia="Arial" w:hAnsi="Arial" w:cs="Arial"/>
          <w:b/>
          <w:sz w:val="20"/>
          <w:szCs w:val="20"/>
        </w:rPr>
      </w:pPr>
      <w:r>
        <w:rPr>
          <w:rFonts w:ascii="Arial" w:eastAsia="Arial" w:hAnsi="Arial" w:cs="Arial"/>
          <w:b/>
          <w:sz w:val="20"/>
          <w:szCs w:val="20"/>
        </w:rPr>
        <w:t>Figure S4</w:t>
      </w:r>
    </w:p>
    <w:p w14:paraId="596A2E40" w14:textId="77777777" w:rsidR="002D4C9D" w:rsidRDefault="002D4C9D" w:rsidP="002D4C9D">
      <w:pPr>
        <w:rPr>
          <w:rFonts w:ascii="Arial" w:eastAsia="Arial" w:hAnsi="Arial" w:cs="Arial"/>
          <w:sz w:val="20"/>
          <w:szCs w:val="20"/>
        </w:rPr>
      </w:pPr>
      <w:r>
        <w:rPr>
          <w:rFonts w:ascii="Arial" w:eastAsia="Arial" w:hAnsi="Arial" w:cs="Arial"/>
          <w:b/>
          <w:sz w:val="20"/>
          <w:szCs w:val="20"/>
        </w:rPr>
        <w:t>A.</w:t>
      </w:r>
      <w:r>
        <w:rPr>
          <w:rFonts w:ascii="Arial" w:eastAsia="Arial" w:hAnsi="Arial" w:cs="Arial"/>
          <w:sz w:val="20"/>
          <w:szCs w:val="20"/>
        </w:rPr>
        <w:t xml:space="preserve"> List of markers used to interrogate NK lineage cells in peripheral blood of BCR-UV patients and healthy controls using flow cytometry. </w:t>
      </w:r>
    </w:p>
    <w:p w14:paraId="597D21B1" w14:textId="77777777" w:rsidR="002D4C9D" w:rsidRDefault="002D4C9D" w:rsidP="002D4C9D">
      <w:pPr>
        <w:rPr>
          <w:rFonts w:ascii="Arial" w:eastAsia="Arial" w:hAnsi="Arial" w:cs="Arial"/>
          <w:sz w:val="20"/>
          <w:szCs w:val="20"/>
        </w:rPr>
      </w:pPr>
      <w:r>
        <w:rPr>
          <w:rFonts w:ascii="Arial" w:eastAsia="Arial" w:hAnsi="Arial" w:cs="Arial"/>
          <w:b/>
          <w:sz w:val="20"/>
          <w:szCs w:val="20"/>
        </w:rPr>
        <w:t>B.</w:t>
      </w:r>
      <w:r>
        <w:rPr>
          <w:rFonts w:ascii="Arial" w:eastAsia="Arial" w:hAnsi="Arial" w:cs="Arial"/>
          <w:sz w:val="20"/>
          <w:szCs w:val="20"/>
        </w:rPr>
        <w:t xml:space="preserve"> t-SNE plot represents the FlowJo-based FlowSOM analysis to identify clusters based on NK cell surface markers from a combined dataset of healthy controls and Birdshot patients. Cluster 0 (CD56dim CD16+ CD8+ and CD244bright) is one out of 12 NK clusters that was elevated in Birdshot. Phenotypes of all 12 NK clusters are color coded and described. Healthy </w:t>
      </w:r>
      <w:r>
        <w:rPr>
          <w:rFonts w:ascii="Arial" w:eastAsia="Arial" w:hAnsi="Arial" w:cs="Arial"/>
          <w:i/>
          <w:sz w:val="20"/>
          <w:szCs w:val="20"/>
        </w:rPr>
        <w:t xml:space="preserve">n </w:t>
      </w:r>
      <w:r>
        <w:rPr>
          <w:rFonts w:ascii="Arial" w:eastAsia="Arial" w:hAnsi="Arial" w:cs="Arial"/>
          <w:sz w:val="20"/>
          <w:szCs w:val="20"/>
        </w:rPr>
        <w:t xml:space="preserve">= 11, Birdshot </w:t>
      </w:r>
      <w:r>
        <w:rPr>
          <w:rFonts w:ascii="Arial" w:eastAsia="Arial" w:hAnsi="Arial" w:cs="Arial"/>
          <w:i/>
          <w:sz w:val="20"/>
          <w:szCs w:val="20"/>
        </w:rPr>
        <w:t xml:space="preserve">n </w:t>
      </w:r>
      <w:r>
        <w:rPr>
          <w:rFonts w:ascii="Arial" w:eastAsia="Arial" w:hAnsi="Arial" w:cs="Arial"/>
          <w:sz w:val="20"/>
          <w:szCs w:val="20"/>
        </w:rPr>
        <w:t>= 18.</w:t>
      </w:r>
    </w:p>
    <w:p w14:paraId="30827857" w14:textId="77777777" w:rsidR="002D4C9D" w:rsidRDefault="002D4C9D" w:rsidP="002D4C9D">
      <w:pPr>
        <w:rPr>
          <w:rFonts w:ascii="Arial" w:eastAsia="Arial" w:hAnsi="Arial" w:cs="Arial"/>
          <w:sz w:val="20"/>
          <w:szCs w:val="20"/>
        </w:rPr>
      </w:pPr>
      <w:r>
        <w:rPr>
          <w:rFonts w:ascii="Arial" w:eastAsia="Arial" w:hAnsi="Arial" w:cs="Arial"/>
          <w:b/>
          <w:sz w:val="20"/>
          <w:szCs w:val="20"/>
        </w:rPr>
        <w:t>C.</w:t>
      </w:r>
      <w:r>
        <w:rPr>
          <w:rFonts w:ascii="Arial" w:eastAsia="Arial" w:hAnsi="Arial" w:cs="Arial"/>
          <w:sz w:val="20"/>
          <w:szCs w:val="20"/>
        </w:rPr>
        <w:t xml:space="preserve"> Distribution of CD8a and </w:t>
      </w:r>
      <w:r>
        <w:rPr>
          <w:rFonts w:ascii="Arial" w:eastAsia="Arial" w:hAnsi="Arial" w:cs="Arial"/>
          <w:b/>
          <w:sz w:val="20"/>
          <w:szCs w:val="20"/>
        </w:rPr>
        <w:t>D.</w:t>
      </w:r>
      <w:r>
        <w:rPr>
          <w:rFonts w:ascii="Arial" w:eastAsia="Arial" w:hAnsi="Arial" w:cs="Arial"/>
          <w:sz w:val="20"/>
          <w:szCs w:val="20"/>
        </w:rPr>
        <w:t xml:space="preserve"> CD244 surface protein expression is indicated in t-SNE plots of NK cells in five healthy controls (HC) and five birdshot uveitis (BCR-UV). Red dotted line captures the region where NK cells are present in BCR-UV but absent from HC.</w:t>
      </w:r>
    </w:p>
    <w:p w14:paraId="184F70CF" w14:textId="77777777" w:rsidR="002D4C9D" w:rsidRDefault="002D4C9D" w:rsidP="002D4C9D">
      <w:pPr>
        <w:rPr>
          <w:sz w:val="20"/>
          <w:szCs w:val="20"/>
        </w:rPr>
      </w:pPr>
      <w:r>
        <w:rPr>
          <w:rFonts w:ascii="Arial" w:eastAsia="Arial" w:hAnsi="Arial" w:cs="Arial"/>
          <w:b/>
          <w:sz w:val="20"/>
          <w:szCs w:val="20"/>
        </w:rPr>
        <w:t>E.</w:t>
      </w:r>
      <w:r>
        <w:rPr>
          <w:rFonts w:ascii="Arial" w:eastAsia="Arial" w:hAnsi="Arial" w:cs="Arial"/>
          <w:sz w:val="20"/>
          <w:szCs w:val="20"/>
        </w:rPr>
        <w:t xml:space="preserve"> Histograms showing expression of CD314 (NKG2D) and CD344 (NKp44) in 10 healthy controls (blue) and 20 birdshot uveitis (red).</w:t>
      </w:r>
    </w:p>
    <w:p w14:paraId="3AA76873" w14:textId="77777777" w:rsidR="002D4C9D" w:rsidRDefault="002D4C9D" w:rsidP="002D4C9D">
      <w:pPr>
        <w:rPr>
          <w:sz w:val="20"/>
          <w:szCs w:val="20"/>
        </w:rPr>
      </w:pPr>
      <w:r>
        <w:rPr>
          <w:noProof/>
          <w:sz w:val="20"/>
          <w:szCs w:val="20"/>
        </w:rPr>
        <w:lastRenderedPageBreak/>
        <w:drawing>
          <wp:inline distT="0" distB="0" distL="0" distR="0" wp14:anchorId="1F913BBE" wp14:editId="21ADB08E">
            <wp:extent cx="5943600" cy="5978525"/>
            <wp:effectExtent l="0" t="0" r="0" b="0"/>
            <wp:docPr id="5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7"/>
                    <a:srcRect/>
                    <a:stretch>
                      <a:fillRect/>
                    </a:stretch>
                  </pic:blipFill>
                  <pic:spPr>
                    <a:xfrm>
                      <a:off x="0" y="0"/>
                      <a:ext cx="5943600" cy="5978525"/>
                    </a:xfrm>
                    <a:prstGeom prst="rect">
                      <a:avLst/>
                    </a:prstGeom>
                    <a:ln/>
                  </pic:spPr>
                </pic:pic>
              </a:graphicData>
            </a:graphic>
          </wp:inline>
        </w:drawing>
      </w:r>
    </w:p>
    <w:p w14:paraId="435EE6E8" w14:textId="77777777" w:rsidR="002D4C9D" w:rsidRDefault="002D4C9D" w:rsidP="002D4C9D"/>
    <w:p w14:paraId="2ACD3809" w14:textId="77777777" w:rsidR="002D4C9D" w:rsidRPr="00CA2940" w:rsidRDefault="002D4C9D" w:rsidP="002D4C9D">
      <w:pPr>
        <w:rPr>
          <w:sz w:val="20"/>
          <w:szCs w:val="20"/>
        </w:rPr>
      </w:pPr>
      <w:r w:rsidRPr="00CA2940">
        <w:rPr>
          <w:rFonts w:ascii="Arial" w:eastAsia="Arial" w:hAnsi="Arial" w:cs="Arial"/>
          <w:b/>
          <w:sz w:val="20"/>
          <w:szCs w:val="20"/>
        </w:rPr>
        <w:t>Figure S5</w:t>
      </w:r>
    </w:p>
    <w:p w14:paraId="1DEB7E60" w14:textId="77777777" w:rsidR="002D4C9D" w:rsidRPr="00CA2940" w:rsidRDefault="002D4C9D" w:rsidP="002D4C9D">
      <w:pPr>
        <w:rPr>
          <w:rFonts w:ascii="Arial" w:eastAsia="Arial" w:hAnsi="Arial" w:cs="Arial"/>
          <w:sz w:val="20"/>
          <w:szCs w:val="20"/>
        </w:rPr>
      </w:pPr>
      <w:r w:rsidRPr="00CA2940">
        <w:rPr>
          <w:rFonts w:ascii="Arial" w:eastAsia="Arial" w:hAnsi="Arial" w:cs="Arial"/>
          <w:b/>
          <w:sz w:val="20"/>
          <w:szCs w:val="20"/>
        </w:rPr>
        <w:t xml:space="preserve">A. </w:t>
      </w:r>
      <w:r w:rsidRPr="00CA2940">
        <w:rPr>
          <w:rFonts w:ascii="Arial" w:eastAsia="Arial" w:hAnsi="Arial" w:cs="Arial"/>
          <w:sz w:val="20"/>
          <w:szCs w:val="20"/>
        </w:rPr>
        <w:t xml:space="preserve">Fundoscopy examination of both eyes of a Birdshot uveitis patient (#024) at the Baseline, after Month 03, Month 06 and Year 01 of systemic immunomodulatory treatment (IMT). </w:t>
      </w:r>
    </w:p>
    <w:p w14:paraId="6E5BD8D4" w14:textId="77777777" w:rsidR="002D4C9D" w:rsidRPr="00CA2940" w:rsidRDefault="002D4C9D" w:rsidP="002D4C9D">
      <w:pPr>
        <w:tabs>
          <w:tab w:val="left" w:pos="1084"/>
        </w:tabs>
        <w:rPr>
          <w:rFonts w:ascii="Arial" w:eastAsia="Arial" w:hAnsi="Arial" w:cs="Arial"/>
          <w:sz w:val="20"/>
          <w:szCs w:val="20"/>
        </w:rPr>
      </w:pPr>
      <w:r w:rsidRPr="00CA2940">
        <w:rPr>
          <w:rFonts w:ascii="Arial" w:eastAsia="Arial" w:hAnsi="Arial" w:cs="Arial"/>
          <w:b/>
          <w:sz w:val="20"/>
          <w:szCs w:val="20"/>
        </w:rPr>
        <w:t>B.</w:t>
      </w:r>
      <w:r w:rsidRPr="00CA2940">
        <w:rPr>
          <w:rFonts w:ascii="Arial" w:eastAsia="Arial" w:hAnsi="Arial" w:cs="Arial"/>
          <w:sz w:val="20"/>
          <w:szCs w:val="20"/>
        </w:rPr>
        <w:t xml:space="preserve"> Bar plots indicate statistical significance on changes of CD8a and CD244 MFI within CD56loCD16+ NK cells from 15 different Birdshot uveitis patients from baseline to year 1 after treatment.</w:t>
      </w:r>
    </w:p>
    <w:p w14:paraId="549A2072" w14:textId="77777777" w:rsidR="002D4C9D" w:rsidRDefault="002D4C9D" w:rsidP="002D4C9D"/>
    <w:p w14:paraId="37DB90C1" w14:textId="77777777" w:rsidR="002D4C9D" w:rsidRDefault="002D4C9D" w:rsidP="002D4C9D">
      <w:r>
        <w:rPr>
          <w:noProof/>
        </w:rPr>
        <w:lastRenderedPageBreak/>
        <w:drawing>
          <wp:inline distT="114300" distB="114300" distL="114300" distR="114300" wp14:anchorId="1F5B0AD5" wp14:editId="02BB5FA7">
            <wp:extent cx="5943600" cy="4013200"/>
            <wp:effectExtent l="0" t="0" r="0" b="0"/>
            <wp:docPr id="5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a:stretch>
                      <a:fillRect/>
                    </a:stretch>
                  </pic:blipFill>
                  <pic:spPr>
                    <a:xfrm>
                      <a:off x="0" y="0"/>
                      <a:ext cx="5943600" cy="4013200"/>
                    </a:xfrm>
                    <a:prstGeom prst="rect">
                      <a:avLst/>
                    </a:prstGeom>
                    <a:ln/>
                  </pic:spPr>
                </pic:pic>
              </a:graphicData>
            </a:graphic>
          </wp:inline>
        </w:drawing>
      </w:r>
    </w:p>
    <w:p w14:paraId="7D4CFFB2" w14:textId="77777777" w:rsidR="002D4C9D" w:rsidRPr="00CA2940" w:rsidRDefault="002D4C9D" w:rsidP="002D4C9D">
      <w:pPr>
        <w:rPr>
          <w:rFonts w:ascii="Arial" w:eastAsia="Arial" w:hAnsi="Arial" w:cs="Arial"/>
          <w:b/>
          <w:sz w:val="20"/>
          <w:szCs w:val="20"/>
        </w:rPr>
      </w:pPr>
      <w:r w:rsidRPr="00CA2940">
        <w:rPr>
          <w:rFonts w:ascii="Arial" w:eastAsia="Arial" w:hAnsi="Arial" w:cs="Arial"/>
          <w:b/>
          <w:sz w:val="20"/>
          <w:szCs w:val="20"/>
        </w:rPr>
        <w:t>Figure S6</w:t>
      </w:r>
    </w:p>
    <w:p w14:paraId="0DFA49BA" w14:textId="77777777" w:rsidR="002D4C9D" w:rsidRPr="00CA2940" w:rsidRDefault="002D4C9D" w:rsidP="002D4C9D">
      <w:pPr>
        <w:rPr>
          <w:rFonts w:ascii="Arial" w:hAnsi="Arial" w:cs="Arial"/>
          <w:sz w:val="20"/>
          <w:szCs w:val="20"/>
        </w:rPr>
      </w:pPr>
      <w:r w:rsidRPr="00CA2940">
        <w:rPr>
          <w:rFonts w:ascii="Arial" w:hAnsi="Arial" w:cs="Arial"/>
          <w:b/>
          <w:sz w:val="20"/>
          <w:szCs w:val="20"/>
        </w:rPr>
        <w:t xml:space="preserve">A. </w:t>
      </w:r>
      <w:r w:rsidRPr="00CA2940">
        <w:rPr>
          <w:rFonts w:ascii="Arial" w:hAnsi="Arial" w:cs="Arial"/>
          <w:sz w:val="20"/>
          <w:szCs w:val="20"/>
        </w:rPr>
        <w:t>CD8 expression profiles in CD56bright and CD56dimCD16+ subsets of NK cells.</w:t>
      </w:r>
    </w:p>
    <w:p w14:paraId="55EB1400" w14:textId="77777777" w:rsidR="002D4C9D" w:rsidRPr="00CA2940" w:rsidRDefault="002D4C9D" w:rsidP="002D4C9D">
      <w:pPr>
        <w:rPr>
          <w:rFonts w:ascii="Arial" w:hAnsi="Arial" w:cs="Arial"/>
          <w:sz w:val="20"/>
          <w:szCs w:val="20"/>
        </w:rPr>
      </w:pPr>
      <w:r w:rsidRPr="00CA2940">
        <w:rPr>
          <w:rFonts w:ascii="Arial" w:hAnsi="Arial" w:cs="Arial"/>
          <w:b/>
          <w:sz w:val="20"/>
          <w:szCs w:val="20"/>
        </w:rPr>
        <w:t>B.</w:t>
      </w:r>
      <w:r w:rsidRPr="00CA2940">
        <w:rPr>
          <w:rFonts w:ascii="Arial" w:hAnsi="Arial" w:cs="Arial"/>
          <w:sz w:val="20"/>
          <w:szCs w:val="20"/>
        </w:rPr>
        <w:t xml:space="preserve"> CD69 expression in CD56dim CD16+ NK cells of healthy vs BCR-UV patients.</w:t>
      </w:r>
    </w:p>
    <w:p w14:paraId="366B1D04" w14:textId="77777777" w:rsidR="002D4C9D" w:rsidRDefault="002D4C9D" w:rsidP="002D4C9D"/>
    <w:p w14:paraId="4644F433" w14:textId="77777777" w:rsidR="002D4C9D" w:rsidRDefault="002D4C9D" w:rsidP="002D4C9D"/>
    <w:p w14:paraId="5E5928E2" w14:textId="77777777" w:rsidR="002D4C9D" w:rsidRDefault="002D4C9D" w:rsidP="002D4C9D"/>
    <w:p w14:paraId="5E0BFF7D" w14:textId="77777777" w:rsidR="002D4C9D" w:rsidRPr="003F3857" w:rsidRDefault="002D4C9D" w:rsidP="002A611B">
      <w:pPr>
        <w:pBdr>
          <w:top w:val="nil"/>
          <w:left w:val="nil"/>
          <w:bottom w:val="nil"/>
          <w:right w:val="nil"/>
          <w:between w:val="nil"/>
        </w:pBdr>
        <w:rPr>
          <w:rFonts w:ascii="Arial" w:eastAsia="Calibri" w:hAnsi="Arial" w:cs="Arial"/>
          <w:sz w:val="20"/>
          <w:szCs w:val="20"/>
        </w:rPr>
      </w:pPr>
    </w:p>
    <w:sectPr w:rsidR="002D4C9D" w:rsidRPr="003F3857">
      <w:headerReference w:type="default" r:id="rId19"/>
      <w:footerReference w:type="even" r:id="rId20"/>
      <w:footerReference w:type="default" r:id="rId21"/>
      <w:pgSz w:w="12240" w:h="15840"/>
      <w:pgMar w:top="1314" w:right="1440" w:bottom="1332"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7F5E03" w14:textId="77777777" w:rsidR="00E479CB" w:rsidRDefault="00E479CB">
      <w:r>
        <w:separator/>
      </w:r>
    </w:p>
  </w:endnote>
  <w:endnote w:type="continuationSeparator" w:id="0">
    <w:p w14:paraId="7FB188CA" w14:textId="77777777" w:rsidR="00E479CB" w:rsidRDefault="00E47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BD" w14:textId="77777777" w:rsidR="002C1AC7" w:rsidRDefault="00E479CB">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000000BE" w14:textId="77777777" w:rsidR="002C1AC7" w:rsidRDefault="002C1AC7">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BF" w14:textId="6DCBE0DF" w:rsidR="002C1AC7" w:rsidRDefault="00E479CB">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1C0C63">
      <w:rPr>
        <w:noProof/>
        <w:color w:val="000000"/>
      </w:rPr>
      <w:t>1</w:t>
    </w:r>
    <w:r>
      <w:rPr>
        <w:color w:val="000000"/>
      </w:rPr>
      <w:fldChar w:fldCharType="end"/>
    </w:r>
  </w:p>
  <w:p w14:paraId="000000C0" w14:textId="77777777" w:rsidR="002C1AC7" w:rsidRDefault="002C1AC7">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C34A6" w14:textId="77777777" w:rsidR="00E479CB" w:rsidRDefault="00E479CB">
      <w:r>
        <w:separator/>
      </w:r>
    </w:p>
  </w:footnote>
  <w:footnote w:type="continuationSeparator" w:id="0">
    <w:p w14:paraId="1E25AC5B" w14:textId="77777777" w:rsidR="00E479CB" w:rsidRDefault="00E479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BC" w14:textId="77777777" w:rsidR="002C1AC7" w:rsidRDefault="002C1AC7">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AC7"/>
    <w:rsid w:val="000B0E7D"/>
    <w:rsid w:val="000B5B94"/>
    <w:rsid w:val="00167A2E"/>
    <w:rsid w:val="00167DBF"/>
    <w:rsid w:val="001C0C63"/>
    <w:rsid w:val="002A611B"/>
    <w:rsid w:val="002C1AC7"/>
    <w:rsid w:val="002D4C9D"/>
    <w:rsid w:val="00310D7A"/>
    <w:rsid w:val="003F3857"/>
    <w:rsid w:val="0041026D"/>
    <w:rsid w:val="004B12E9"/>
    <w:rsid w:val="005632AB"/>
    <w:rsid w:val="00582A19"/>
    <w:rsid w:val="005A76C0"/>
    <w:rsid w:val="005C1DBD"/>
    <w:rsid w:val="00657E66"/>
    <w:rsid w:val="0066595C"/>
    <w:rsid w:val="00713DE1"/>
    <w:rsid w:val="00723EDD"/>
    <w:rsid w:val="00734DB2"/>
    <w:rsid w:val="00754822"/>
    <w:rsid w:val="007A0F3F"/>
    <w:rsid w:val="00804CB9"/>
    <w:rsid w:val="008841DE"/>
    <w:rsid w:val="00991080"/>
    <w:rsid w:val="009A74CC"/>
    <w:rsid w:val="009B1659"/>
    <w:rsid w:val="00A13580"/>
    <w:rsid w:val="00A20A1F"/>
    <w:rsid w:val="00AD74E1"/>
    <w:rsid w:val="00B311C1"/>
    <w:rsid w:val="00B37C8B"/>
    <w:rsid w:val="00C330C5"/>
    <w:rsid w:val="00C77E99"/>
    <w:rsid w:val="00C80936"/>
    <w:rsid w:val="00D11A98"/>
    <w:rsid w:val="00D45ABB"/>
    <w:rsid w:val="00D75681"/>
    <w:rsid w:val="00D82FE8"/>
    <w:rsid w:val="00DE64A8"/>
    <w:rsid w:val="00E008AC"/>
    <w:rsid w:val="00E479CB"/>
    <w:rsid w:val="00EC1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0F4A8"/>
  <w15:docId w15:val="{2906C5FD-EAD1-A844-9461-B27FB7392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226"/>
  </w:style>
  <w:style w:type="paragraph" w:styleId="Heading1">
    <w:name w:val="heading 1"/>
    <w:basedOn w:val="Normal"/>
    <w:link w:val="Heading1Char"/>
    <w:uiPriority w:val="9"/>
    <w:qFormat/>
    <w:rsid w:val="003245D2"/>
    <w:pPr>
      <w:spacing w:before="100" w:beforeAutospacing="1" w:after="100" w:afterAutospacing="1"/>
      <w:outlineLvl w:val="0"/>
    </w:pPr>
    <w:rPr>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D42F8D"/>
    <w:pPr>
      <w:ind w:left="720"/>
      <w:contextualSpacing/>
    </w:pPr>
  </w:style>
  <w:style w:type="paragraph" w:styleId="NormalWeb">
    <w:name w:val="Normal (Web)"/>
    <w:basedOn w:val="Normal"/>
    <w:uiPriority w:val="99"/>
    <w:unhideWhenUsed/>
    <w:rsid w:val="0027653D"/>
    <w:pPr>
      <w:spacing w:before="100" w:beforeAutospacing="1" w:after="100" w:afterAutospacing="1"/>
    </w:pPr>
  </w:style>
  <w:style w:type="character" w:customStyle="1" w:styleId="id-label">
    <w:name w:val="id-label"/>
    <w:basedOn w:val="DefaultParagraphFont"/>
    <w:rsid w:val="002B4914"/>
  </w:style>
  <w:style w:type="character" w:customStyle="1" w:styleId="apple-converted-space">
    <w:name w:val="apple-converted-space"/>
    <w:basedOn w:val="DefaultParagraphFont"/>
    <w:rsid w:val="002B4914"/>
  </w:style>
  <w:style w:type="character" w:styleId="Strong">
    <w:name w:val="Strong"/>
    <w:basedOn w:val="DefaultParagraphFont"/>
    <w:uiPriority w:val="22"/>
    <w:qFormat/>
    <w:rsid w:val="002B4914"/>
    <w:rPr>
      <w:b/>
      <w:bCs/>
    </w:rPr>
  </w:style>
  <w:style w:type="paragraph" w:styleId="Footer">
    <w:name w:val="footer"/>
    <w:basedOn w:val="Normal"/>
    <w:link w:val="FooterChar"/>
    <w:uiPriority w:val="99"/>
    <w:unhideWhenUsed/>
    <w:rsid w:val="00D41B24"/>
    <w:pPr>
      <w:tabs>
        <w:tab w:val="center" w:pos="4680"/>
        <w:tab w:val="right" w:pos="9360"/>
      </w:tabs>
    </w:pPr>
  </w:style>
  <w:style w:type="character" w:customStyle="1" w:styleId="FooterChar">
    <w:name w:val="Footer Char"/>
    <w:basedOn w:val="DefaultParagraphFont"/>
    <w:link w:val="Footer"/>
    <w:uiPriority w:val="99"/>
    <w:rsid w:val="00D41B24"/>
  </w:style>
  <w:style w:type="character" w:styleId="PageNumber">
    <w:name w:val="page number"/>
    <w:basedOn w:val="DefaultParagraphFont"/>
    <w:uiPriority w:val="99"/>
    <w:semiHidden/>
    <w:unhideWhenUsed/>
    <w:rsid w:val="00D41B24"/>
  </w:style>
  <w:style w:type="character" w:styleId="CommentReference">
    <w:name w:val="annotation reference"/>
    <w:basedOn w:val="DefaultParagraphFont"/>
    <w:uiPriority w:val="99"/>
    <w:semiHidden/>
    <w:unhideWhenUsed/>
    <w:rsid w:val="00E92CCF"/>
    <w:rPr>
      <w:sz w:val="16"/>
      <w:szCs w:val="16"/>
    </w:rPr>
  </w:style>
  <w:style w:type="paragraph" w:styleId="CommentText">
    <w:name w:val="annotation text"/>
    <w:basedOn w:val="Normal"/>
    <w:link w:val="CommentTextChar"/>
    <w:uiPriority w:val="99"/>
    <w:unhideWhenUsed/>
    <w:rsid w:val="00E92CCF"/>
    <w:rPr>
      <w:sz w:val="20"/>
      <w:szCs w:val="20"/>
    </w:rPr>
  </w:style>
  <w:style w:type="character" w:customStyle="1" w:styleId="CommentTextChar">
    <w:name w:val="Comment Text Char"/>
    <w:basedOn w:val="DefaultParagraphFont"/>
    <w:link w:val="CommentText"/>
    <w:uiPriority w:val="99"/>
    <w:rsid w:val="00E92CCF"/>
    <w:rPr>
      <w:rFonts w:ascii="Times New Roman" w:eastAsia="Times New Roman" w:hAnsi="Times New Roman" w:cs="Times New Roman"/>
      <w:sz w:val="20"/>
      <w:szCs w:val="20"/>
    </w:rPr>
  </w:style>
  <w:style w:type="paragraph" w:customStyle="1" w:styleId="default">
    <w:name w:val="default"/>
    <w:basedOn w:val="Normal"/>
    <w:rsid w:val="00E92CCF"/>
    <w:pPr>
      <w:spacing w:before="100" w:beforeAutospacing="1" w:after="100" w:afterAutospacing="1"/>
    </w:pPr>
  </w:style>
  <w:style w:type="paragraph" w:styleId="BalloonText">
    <w:name w:val="Balloon Text"/>
    <w:basedOn w:val="Normal"/>
    <w:link w:val="BalloonTextChar"/>
    <w:uiPriority w:val="99"/>
    <w:semiHidden/>
    <w:unhideWhenUsed/>
    <w:rsid w:val="00CF635E"/>
    <w:rPr>
      <w:sz w:val="18"/>
      <w:szCs w:val="18"/>
    </w:rPr>
  </w:style>
  <w:style w:type="character" w:customStyle="1" w:styleId="BalloonTextChar">
    <w:name w:val="Balloon Text Char"/>
    <w:basedOn w:val="DefaultParagraphFont"/>
    <w:link w:val="BalloonText"/>
    <w:uiPriority w:val="99"/>
    <w:semiHidden/>
    <w:rsid w:val="00CF635E"/>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CF635E"/>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CF635E"/>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CF635E"/>
    <w:rPr>
      <w:color w:val="0563C1" w:themeColor="hyperlink"/>
      <w:u w:val="single"/>
    </w:rPr>
  </w:style>
  <w:style w:type="character" w:styleId="UnresolvedMention">
    <w:name w:val="Unresolved Mention"/>
    <w:basedOn w:val="DefaultParagraphFont"/>
    <w:uiPriority w:val="99"/>
    <w:semiHidden/>
    <w:unhideWhenUsed/>
    <w:rsid w:val="00CF635E"/>
    <w:rPr>
      <w:color w:val="605E5C"/>
      <w:shd w:val="clear" w:color="auto" w:fill="E1DFDD"/>
    </w:rPr>
  </w:style>
  <w:style w:type="paragraph" w:styleId="Revision">
    <w:name w:val="Revision"/>
    <w:hidden/>
    <w:uiPriority w:val="99"/>
    <w:semiHidden/>
    <w:rsid w:val="006E7051"/>
  </w:style>
  <w:style w:type="character" w:customStyle="1" w:styleId="Heading1Char">
    <w:name w:val="Heading 1 Char"/>
    <w:basedOn w:val="DefaultParagraphFont"/>
    <w:link w:val="Heading1"/>
    <w:uiPriority w:val="9"/>
    <w:rsid w:val="003245D2"/>
    <w:rPr>
      <w:rFonts w:ascii="Times New Roman" w:eastAsia="Times New Roman" w:hAnsi="Times New Roman" w:cs="Times New Roman"/>
      <w:b/>
      <w:bCs/>
      <w:kern w:val="36"/>
      <w:sz w:val="48"/>
      <w:szCs w:val="48"/>
    </w:rPr>
  </w:style>
  <w:style w:type="character" w:customStyle="1" w:styleId="highwire-citation-authors">
    <w:name w:val="highwire-citation-authors"/>
    <w:basedOn w:val="DefaultParagraphFont"/>
    <w:rsid w:val="003245D2"/>
  </w:style>
  <w:style w:type="character" w:customStyle="1" w:styleId="highwire-citation-author">
    <w:name w:val="highwire-citation-author"/>
    <w:basedOn w:val="DefaultParagraphFont"/>
    <w:rsid w:val="003245D2"/>
  </w:style>
  <w:style w:type="character" w:customStyle="1" w:styleId="highwire-cite-metadata-journal">
    <w:name w:val="highwire-cite-metadata-journal"/>
    <w:basedOn w:val="DefaultParagraphFont"/>
    <w:rsid w:val="003245D2"/>
  </w:style>
  <w:style w:type="character" w:customStyle="1" w:styleId="highwire-cite-metadata-date">
    <w:name w:val="highwire-cite-metadata-date"/>
    <w:basedOn w:val="DefaultParagraphFont"/>
    <w:rsid w:val="003245D2"/>
  </w:style>
  <w:style w:type="character" w:customStyle="1" w:styleId="highwire-cite-metadata-volume">
    <w:name w:val="highwire-cite-metadata-volume"/>
    <w:basedOn w:val="DefaultParagraphFont"/>
    <w:rsid w:val="003245D2"/>
  </w:style>
  <w:style w:type="character" w:customStyle="1" w:styleId="highwire-cite-metadata-issue">
    <w:name w:val="highwire-cite-metadata-issue"/>
    <w:basedOn w:val="DefaultParagraphFont"/>
    <w:rsid w:val="003245D2"/>
  </w:style>
  <w:style w:type="character" w:customStyle="1" w:styleId="highwire-cite-metadata-pages">
    <w:name w:val="highwire-cite-metadata-pages"/>
    <w:basedOn w:val="DefaultParagraphFont"/>
    <w:rsid w:val="003245D2"/>
  </w:style>
  <w:style w:type="character" w:customStyle="1" w:styleId="highwire-cite-metadata-doi">
    <w:name w:val="highwire-cite-metadata-doi"/>
    <w:basedOn w:val="DefaultParagraphFont"/>
    <w:rsid w:val="003245D2"/>
  </w:style>
  <w:style w:type="character" w:customStyle="1" w:styleId="authors-list-item">
    <w:name w:val="authors-list-item"/>
    <w:basedOn w:val="DefaultParagraphFont"/>
    <w:rsid w:val="003245D2"/>
  </w:style>
  <w:style w:type="character" w:customStyle="1" w:styleId="author-sup-separator">
    <w:name w:val="author-sup-separator"/>
    <w:basedOn w:val="DefaultParagraphFont"/>
    <w:rsid w:val="003245D2"/>
  </w:style>
  <w:style w:type="character" w:customStyle="1" w:styleId="comma">
    <w:name w:val="comma"/>
    <w:basedOn w:val="DefaultParagraphFont"/>
    <w:rsid w:val="003245D2"/>
  </w:style>
  <w:style w:type="character" w:customStyle="1" w:styleId="Title1">
    <w:name w:val="Title1"/>
    <w:basedOn w:val="DefaultParagraphFont"/>
    <w:rsid w:val="003245D2"/>
  </w:style>
  <w:style w:type="character" w:customStyle="1" w:styleId="citation-part">
    <w:name w:val="citation-part"/>
    <w:basedOn w:val="DefaultParagraphFont"/>
    <w:rsid w:val="00A96414"/>
  </w:style>
  <w:style w:type="character" w:customStyle="1" w:styleId="docsum-pmid">
    <w:name w:val="docsum-pmid"/>
    <w:basedOn w:val="DefaultParagraphFont"/>
    <w:rsid w:val="00A96414"/>
  </w:style>
  <w:style w:type="character" w:customStyle="1" w:styleId="period">
    <w:name w:val="period"/>
    <w:basedOn w:val="DefaultParagraphFont"/>
    <w:rsid w:val="004D6714"/>
  </w:style>
  <w:style w:type="character" w:customStyle="1" w:styleId="cit">
    <w:name w:val="cit"/>
    <w:basedOn w:val="DefaultParagraphFont"/>
    <w:rsid w:val="004D6714"/>
  </w:style>
  <w:style w:type="character" w:customStyle="1" w:styleId="citation-doi">
    <w:name w:val="citation-doi"/>
    <w:basedOn w:val="DefaultParagraphFont"/>
    <w:rsid w:val="004D6714"/>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FollowedHyperlink">
    <w:name w:val="FollowedHyperlink"/>
    <w:basedOn w:val="DefaultParagraphFont"/>
    <w:uiPriority w:val="99"/>
    <w:semiHidden/>
    <w:unhideWhenUsed/>
    <w:rsid w:val="00D2731E"/>
    <w:rPr>
      <w:color w:val="954F72" w:themeColor="followedHyperlink"/>
      <w:u w:val="single"/>
    </w:rPr>
  </w:style>
  <w:style w:type="paragraph" w:customStyle="1" w:styleId="EndNoteBibliographyTitle">
    <w:name w:val="EndNote Bibliography Title"/>
    <w:basedOn w:val="Normal"/>
    <w:link w:val="EndNoteBibliographyTitleChar"/>
    <w:rsid w:val="00B20DE6"/>
    <w:pPr>
      <w:jc w:val="center"/>
    </w:pPr>
  </w:style>
  <w:style w:type="character" w:customStyle="1" w:styleId="EndNoteBibliographyTitleChar">
    <w:name w:val="EndNote Bibliography Title Char"/>
    <w:basedOn w:val="DefaultParagraphFont"/>
    <w:link w:val="EndNoteBibliographyTitle"/>
    <w:rsid w:val="00B20DE6"/>
  </w:style>
  <w:style w:type="paragraph" w:customStyle="1" w:styleId="EndNoteBibliography">
    <w:name w:val="EndNote Bibliography"/>
    <w:basedOn w:val="Normal"/>
    <w:link w:val="EndNoteBibliographyChar"/>
    <w:rsid w:val="00B20DE6"/>
  </w:style>
  <w:style w:type="character" w:customStyle="1" w:styleId="EndNoteBibliographyChar">
    <w:name w:val="EndNote Bibliography Char"/>
    <w:basedOn w:val="DefaultParagraphFont"/>
    <w:link w:val="EndNoteBibliography"/>
    <w:rsid w:val="00B20DE6"/>
  </w:style>
  <w:style w:type="table" w:styleId="TableGrid">
    <w:name w:val="Table Grid"/>
    <w:basedOn w:val="TableNormal"/>
    <w:uiPriority w:val="39"/>
    <w:rsid w:val="004C3C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C3CA0"/>
    <w:pPr>
      <w:tabs>
        <w:tab w:val="center" w:pos="4680"/>
        <w:tab w:val="right" w:pos="9360"/>
      </w:tabs>
    </w:pPr>
  </w:style>
  <w:style w:type="character" w:customStyle="1" w:styleId="HeaderChar">
    <w:name w:val="Header Char"/>
    <w:basedOn w:val="DefaultParagraphFont"/>
    <w:link w:val="Header"/>
    <w:uiPriority w:val="99"/>
    <w:rsid w:val="004C3CA0"/>
  </w:style>
  <w:style w:type="character" w:styleId="LineNumber">
    <w:name w:val="line number"/>
    <w:basedOn w:val="DefaultParagraphFont"/>
    <w:uiPriority w:val="99"/>
    <w:semiHidden/>
    <w:unhideWhenUsed/>
    <w:rsid w:val="0050400B"/>
  </w:style>
  <w:style w:type="paragraph" w:customStyle="1" w:styleId="msonormal0">
    <w:name w:val="msonormal"/>
    <w:basedOn w:val="Normal"/>
    <w:rsid w:val="000B5B94"/>
    <w:pPr>
      <w:spacing w:before="100" w:beforeAutospacing="1" w:after="100" w:afterAutospacing="1"/>
    </w:pPr>
  </w:style>
  <w:style w:type="paragraph" w:customStyle="1" w:styleId="xl63">
    <w:name w:val="xl63"/>
    <w:basedOn w:val="Normal"/>
    <w:rsid w:val="000B5B9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64">
    <w:name w:val="xl64"/>
    <w:basedOn w:val="Normal"/>
    <w:rsid w:val="000B5B94"/>
    <w:pPr>
      <w:spacing w:before="100" w:beforeAutospacing="1" w:after="100" w:afterAutospacing="1"/>
    </w:pPr>
    <w:rPr>
      <w:b/>
      <w:bCs/>
    </w:rPr>
  </w:style>
  <w:style w:type="paragraph" w:customStyle="1" w:styleId="xl65">
    <w:name w:val="xl65"/>
    <w:basedOn w:val="Normal"/>
    <w:rsid w:val="000B5B94"/>
    <w:pPr>
      <w:spacing w:before="100" w:beforeAutospacing="1" w:after="100" w:afterAutospacing="1"/>
    </w:pPr>
  </w:style>
  <w:style w:type="paragraph" w:customStyle="1" w:styleId="xl66">
    <w:name w:val="xl66"/>
    <w:basedOn w:val="Normal"/>
    <w:rsid w:val="000B5B94"/>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7">
    <w:name w:val="xl67"/>
    <w:basedOn w:val="Normal"/>
    <w:rsid w:val="000B5B94"/>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8">
    <w:name w:val="xl68"/>
    <w:basedOn w:val="Normal"/>
    <w:rsid w:val="000B5B9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69">
    <w:name w:val="xl69"/>
    <w:basedOn w:val="Normal"/>
    <w:rsid w:val="000B5B94"/>
    <w:pPr>
      <w:spacing w:before="100" w:beforeAutospacing="1" w:after="100" w:afterAutospacing="1"/>
      <w:jc w:val="center"/>
    </w:pPr>
  </w:style>
  <w:style w:type="paragraph" w:customStyle="1" w:styleId="xl70">
    <w:name w:val="xl70"/>
    <w:basedOn w:val="Normal"/>
    <w:rsid w:val="000B5B9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71">
    <w:name w:val="xl71"/>
    <w:basedOn w:val="Normal"/>
    <w:rsid w:val="000B5B94"/>
    <w:pPr>
      <w:spacing w:before="100" w:beforeAutospacing="1" w:after="100" w:afterAutospacing="1"/>
      <w:jc w:val="center"/>
    </w:pPr>
    <w:rPr>
      <w:b/>
      <w:bCs/>
    </w:rPr>
  </w:style>
  <w:style w:type="paragraph" w:customStyle="1" w:styleId="xl72">
    <w:name w:val="xl72"/>
    <w:basedOn w:val="Normal"/>
    <w:rsid w:val="000B5B94"/>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3">
    <w:name w:val="xl73"/>
    <w:basedOn w:val="Normal"/>
    <w:rsid w:val="000B5B9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2"/>
      <w:szCs w:val="22"/>
    </w:rPr>
  </w:style>
  <w:style w:type="paragraph" w:customStyle="1" w:styleId="xl74">
    <w:name w:val="xl74"/>
    <w:basedOn w:val="Normal"/>
    <w:rsid w:val="000B5B94"/>
    <w:pPr>
      <w:spacing w:before="100" w:beforeAutospacing="1" w:after="100" w:afterAutospacing="1"/>
      <w:jc w:val="center"/>
    </w:pPr>
    <w:rPr>
      <w:b/>
      <w:bCs/>
      <w:sz w:val="22"/>
      <w:szCs w:val="22"/>
    </w:rPr>
  </w:style>
  <w:style w:type="paragraph" w:customStyle="1" w:styleId="xl75">
    <w:name w:val="xl75"/>
    <w:basedOn w:val="Normal"/>
    <w:rsid w:val="000B5B94"/>
    <w:pPr>
      <w:pBdr>
        <w:top w:val="single" w:sz="4" w:space="0" w:color="8EA9DB"/>
      </w:pBdr>
      <w:spacing w:before="100" w:beforeAutospacing="1" w:after="100" w:afterAutospacing="1"/>
      <w:jc w:val="center"/>
    </w:pPr>
    <w:rPr>
      <w:b/>
      <w:bCs/>
      <w:sz w:val="22"/>
      <w:szCs w:val="22"/>
    </w:rPr>
  </w:style>
  <w:style w:type="paragraph" w:customStyle="1" w:styleId="mb-25">
    <w:name w:val="mb-2.5"/>
    <w:basedOn w:val="Normal"/>
    <w:rsid w:val="00D45ABB"/>
    <w:pPr>
      <w:spacing w:before="100" w:beforeAutospacing="1" w:after="100" w:afterAutospacing="1"/>
    </w:pPr>
    <w:rPr>
      <w:lang w:val="uz-Cyrl-UZ"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993034">
      <w:bodyDiv w:val="1"/>
      <w:marLeft w:val="0"/>
      <w:marRight w:val="0"/>
      <w:marTop w:val="0"/>
      <w:marBottom w:val="0"/>
      <w:divBdr>
        <w:top w:val="none" w:sz="0" w:space="0" w:color="auto"/>
        <w:left w:val="none" w:sz="0" w:space="0" w:color="auto"/>
        <w:bottom w:val="none" w:sz="0" w:space="0" w:color="auto"/>
        <w:right w:val="none" w:sz="0" w:space="0" w:color="auto"/>
      </w:divBdr>
    </w:div>
    <w:div w:id="385032204">
      <w:bodyDiv w:val="1"/>
      <w:marLeft w:val="0"/>
      <w:marRight w:val="0"/>
      <w:marTop w:val="0"/>
      <w:marBottom w:val="0"/>
      <w:divBdr>
        <w:top w:val="none" w:sz="0" w:space="0" w:color="auto"/>
        <w:left w:val="none" w:sz="0" w:space="0" w:color="auto"/>
        <w:bottom w:val="none" w:sz="0" w:space="0" w:color="auto"/>
        <w:right w:val="none" w:sz="0" w:space="0" w:color="auto"/>
      </w:divBdr>
    </w:div>
    <w:div w:id="862090545">
      <w:bodyDiv w:val="1"/>
      <w:marLeft w:val="0"/>
      <w:marRight w:val="0"/>
      <w:marTop w:val="0"/>
      <w:marBottom w:val="0"/>
      <w:divBdr>
        <w:top w:val="none" w:sz="0" w:space="0" w:color="auto"/>
        <w:left w:val="none" w:sz="0" w:space="0" w:color="auto"/>
        <w:bottom w:val="none" w:sz="0" w:space="0" w:color="auto"/>
        <w:right w:val="none" w:sz="0" w:space="0" w:color="auto"/>
      </w:divBdr>
    </w:div>
    <w:div w:id="879559098">
      <w:bodyDiv w:val="1"/>
      <w:marLeft w:val="0"/>
      <w:marRight w:val="0"/>
      <w:marTop w:val="0"/>
      <w:marBottom w:val="0"/>
      <w:divBdr>
        <w:top w:val="none" w:sz="0" w:space="0" w:color="auto"/>
        <w:left w:val="none" w:sz="0" w:space="0" w:color="auto"/>
        <w:bottom w:val="none" w:sz="0" w:space="0" w:color="auto"/>
        <w:right w:val="none" w:sz="0" w:space="0" w:color="auto"/>
      </w:divBdr>
      <w:divsChild>
        <w:div w:id="340351067">
          <w:marLeft w:val="0"/>
          <w:marRight w:val="0"/>
          <w:marTop w:val="0"/>
          <w:marBottom w:val="0"/>
          <w:divBdr>
            <w:top w:val="none" w:sz="0" w:space="0" w:color="auto"/>
            <w:left w:val="none" w:sz="0" w:space="0" w:color="auto"/>
            <w:bottom w:val="none" w:sz="0" w:space="0" w:color="auto"/>
            <w:right w:val="none" w:sz="0" w:space="0" w:color="auto"/>
          </w:divBdr>
          <w:divsChild>
            <w:div w:id="471338315">
              <w:marLeft w:val="0"/>
              <w:marRight w:val="0"/>
              <w:marTop w:val="0"/>
              <w:marBottom w:val="0"/>
              <w:divBdr>
                <w:top w:val="none" w:sz="0" w:space="0" w:color="auto"/>
                <w:left w:val="none" w:sz="0" w:space="0" w:color="auto"/>
                <w:bottom w:val="none" w:sz="0" w:space="0" w:color="auto"/>
                <w:right w:val="none" w:sz="0" w:space="0" w:color="auto"/>
              </w:divBdr>
              <w:divsChild>
                <w:div w:id="89859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899670">
      <w:bodyDiv w:val="1"/>
      <w:marLeft w:val="0"/>
      <w:marRight w:val="0"/>
      <w:marTop w:val="0"/>
      <w:marBottom w:val="0"/>
      <w:divBdr>
        <w:top w:val="none" w:sz="0" w:space="0" w:color="auto"/>
        <w:left w:val="none" w:sz="0" w:space="0" w:color="auto"/>
        <w:bottom w:val="none" w:sz="0" w:space="0" w:color="auto"/>
        <w:right w:val="none" w:sz="0" w:space="0" w:color="auto"/>
      </w:divBdr>
      <w:divsChild>
        <w:div w:id="519899581">
          <w:marLeft w:val="0"/>
          <w:marRight w:val="0"/>
          <w:marTop w:val="0"/>
          <w:marBottom w:val="0"/>
          <w:divBdr>
            <w:top w:val="none" w:sz="0" w:space="0" w:color="auto"/>
            <w:left w:val="none" w:sz="0" w:space="0" w:color="auto"/>
            <w:bottom w:val="none" w:sz="0" w:space="0" w:color="auto"/>
            <w:right w:val="none" w:sz="0" w:space="0" w:color="auto"/>
          </w:divBdr>
          <w:divsChild>
            <w:div w:id="1943339112">
              <w:marLeft w:val="0"/>
              <w:marRight w:val="0"/>
              <w:marTop w:val="0"/>
              <w:marBottom w:val="0"/>
              <w:divBdr>
                <w:top w:val="none" w:sz="0" w:space="0" w:color="auto"/>
                <w:left w:val="none" w:sz="0" w:space="0" w:color="auto"/>
                <w:bottom w:val="none" w:sz="0" w:space="0" w:color="auto"/>
                <w:right w:val="none" w:sz="0" w:space="0" w:color="auto"/>
              </w:divBdr>
              <w:divsChild>
                <w:div w:id="207233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379975">
      <w:bodyDiv w:val="1"/>
      <w:marLeft w:val="0"/>
      <w:marRight w:val="0"/>
      <w:marTop w:val="0"/>
      <w:marBottom w:val="0"/>
      <w:divBdr>
        <w:top w:val="none" w:sz="0" w:space="0" w:color="auto"/>
        <w:left w:val="none" w:sz="0" w:space="0" w:color="auto"/>
        <w:bottom w:val="none" w:sz="0" w:space="0" w:color="auto"/>
        <w:right w:val="none" w:sz="0" w:space="0" w:color="auto"/>
      </w:divBdr>
    </w:div>
    <w:div w:id="1233852971">
      <w:bodyDiv w:val="1"/>
      <w:marLeft w:val="0"/>
      <w:marRight w:val="0"/>
      <w:marTop w:val="0"/>
      <w:marBottom w:val="0"/>
      <w:divBdr>
        <w:top w:val="none" w:sz="0" w:space="0" w:color="auto"/>
        <w:left w:val="none" w:sz="0" w:space="0" w:color="auto"/>
        <w:bottom w:val="none" w:sz="0" w:space="0" w:color="auto"/>
        <w:right w:val="none" w:sz="0" w:space="0" w:color="auto"/>
      </w:divBdr>
      <w:divsChild>
        <w:div w:id="852111522">
          <w:marLeft w:val="0"/>
          <w:marRight w:val="0"/>
          <w:marTop w:val="0"/>
          <w:marBottom w:val="0"/>
          <w:divBdr>
            <w:top w:val="none" w:sz="0" w:space="0" w:color="auto"/>
            <w:left w:val="none" w:sz="0" w:space="0" w:color="auto"/>
            <w:bottom w:val="none" w:sz="0" w:space="0" w:color="auto"/>
            <w:right w:val="none" w:sz="0" w:space="0" w:color="auto"/>
          </w:divBdr>
          <w:divsChild>
            <w:div w:id="44378760">
              <w:marLeft w:val="0"/>
              <w:marRight w:val="0"/>
              <w:marTop w:val="0"/>
              <w:marBottom w:val="0"/>
              <w:divBdr>
                <w:top w:val="none" w:sz="0" w:space="0" w:color="auto"/>
                <w:left w:val="none" w:sz="0" w:space="0" w:color="auto"/>
                <w:bottom w:val="none" w:sz="0" w:space="0" w:color="auto"/>
                <w:right w:val="none" w:sz="0" w:space="0" w:color="auto"/>
              </w:divBdr>
              <w:divsChild>
                <w:div w:id="208221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25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j.w.kuiper@umcutrecht.nl"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mailto:hellopran2000@gmail.com"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aOYWE7G4big6ZawsiwwyW16vgg==">AMUW2mUs3uKNC02xXrFBMfr6+ZySvHVvHtiRxC2uEAgqaqJLmYEEYK0hY6B9UHCOBqZVwtzlJ8T8F/yR5qvbPgTC3uu/L5l5u4kqxV4QKklwPOq3V9dRApnKXvHyQ3jHVcVY0iGtBSbn8WbOQNtbQI7PKzqymLQevbR4zJR6OHVOD9KBg46Nqcj//itw9XC/7kJu/FXhig9GOOuqUGenq8MzSbMpOVOEqRtfjtZZFb5UzPo52eeFm6zgr0Ob/22nX7IGG9O5TQ98OV2ElxJ2Fmhla3sk6Jbo4K/09U0ZBKUWNmyCyYd0Lr+N89LbOfRLlQW4GyNOlBVx3KRGMBE6G/oyb6RrgZVmH2x/7VeUcaMYNOsUXPwDQwjEAHVCAtbL3+ONl3pNcg0G4oMJ+1Slnkkfdpa9lKqZFs2Jl2gLE9bQHV5iOhFxURyw5CW2I1JIrOhSrL6V1e9RHtMLXT2ztPNyYt7eOGfWK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841</Words>
  <Characters>4795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 Pulak (NIH/NEI) [E]</dc:creator>
  <cp:lastModifiedBy>Poonam Mutha</cp:lastModifiedBy>
  <cp:revision>3</cp:revision>
  <cp:lastPrinted>2022-09-11T10:53:00Z</cp:lastPrinted>
  <dcterms:created xsi:type="dcterms:W3CDTF">2022-11-11T16:42:00Z</dcterms:created>
  <dcterms:modified xsi:type="dcterms:W3CDTF">2022-11-30T08:58:00Z</dcterms:modified>
</cp:coreProperties>
</file>