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C9DC3" w14:textId="77777777" w:rsidR="006553E9" w:rsidRDefault="006553E9" w:rsidP="006553E9">
      <w:pPr>
        <w:spacing w:after="0" w:line="240" w:lineRule="auto"/>
        <w:rPr>
          <w:rFonts w:ascii="Times New Roman" w:eastAsia="Calibri" w:hAnsi="Times New Roman" w:cs="Times New Roman"/>
          <w:b/>
          <w:bCs/>
          <w:color w:val="000000" w:themeColor="text1"/>
        </w:rPr>
      </w:pPr>
      <w:r>
        <w:rPr>
          <w:noProof/>
        </w:rPr>
        <w:drawing>
          <wp:inline distT="0" distB="0" distL="0" distR="0" wp14:anchorId="5C9B692A" wp14:editId="511E53B0">
            <wp:extent cx="4949488" cy="7008126"/>
            <wp:effectExtent l="0" t="0" r="3810" b="2540"/>
            <wp:docPr id="2139236292" name="Imagen 196669790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666979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49488" cy="7008126"/>
                    </a:xfrm>
                    <a:prstGeom prst="rect">
                      <a:avLst/>
                    </a:prstGeom>
                  </pic:spPr>
                </pic:pic>
              </a:graphicData>
            </a:graphic>
          </wp:inline>
        </w:drawing>
      </w:r>
    </w:p>
    <w:p w14:paraId="779CFCCE" w14:textId="38857E01" w:rsidR="006553E9" w:rsidRDefault="006553E9" w:rsidP="006553E9">
      <w:pPr>
        <w:spacing w:after="0" w:line="240" w:lineRule="auto"/>
        <w:jc w:val="both"/>
        <w:rPr>
          <w:color w:val="000000" w:themeColor="text1"/>
        </w:rPr>
      </w:pPr>
      <w:r w:rsidRPr="34AB972C">
        <w:rPr>
          <w:rFonts w:ascii="Times New Roman" w:eastAsia="Calibri" w:hAnsi="Times New Roman" w:cs="Times New Roman"/>
          <w:b/>
          <w:bCs/>
          <w:color w:val="000000" w:themeColor="text1"/>
        </w:rPr>
        <w:t xml:space="preserve">Supplementary Figure </w:t>
      </w:r>
      <w:r w:rsidR="00720837">
        <w:rPr>
          <w:rFonts w:ascii="Times New Roman" w:eastAsia="Calibri" w:hAnsi="Times New Roman" w:cs="Times New Roman"/>
          <w:b/>
          <w:bCs/>
          <w:color w:val="000000" w:themeColor="text1"/>
        </w:rPr>
        <w:t>1</w:t>
      </w:r>
      <w:r w:rsidRPr="34AB972C">
        <w:rPr>
          <w:rFonts w:ascii="Times New Roman" w:eastAsia="Calibri" w:hAnsi="Times New Roman" w:cs="Times New Roman"/>
          <w:b/>
          <w:bCs/>
          <w:color w:val="000000" w:themeColor="text1"/>
        </w:rPr>
        <w:t>. Mechanistic drift modeling</w:t>
      </w:r>
      <w:r w:rsidRPr="34AB972C">
        <w:rPr>
          <w:rFonts w:ascii="Times New Roman" w:eastAsia="Calibri" w:hAnsi="Times New Roman" w:cs="Times New Roman"/>
          <w:color w:val="000000" w:themeColor="text1"/>
        </w:rPr>
        <w:t xml:space="preserve">. The figure depicts example simulations starting with original samples X1 and X4. The approach </w:t>
      </w:r>
      <w:r w:rsidRPr="34AB972C">
        <w:rPr>
          <w:rFonts w:ascii="Times New Roman" w:hAnsi="Times New Roman" w:cs="Times New Roman"/>
          <w:color w:val="000000" w:themeColor="text1"/>
        </w:rPr>
        <w:t>simulates drift in communities undergoing dilution-growth cycles (passages). At each cycle, the community is first randomly subsampled to mimic experimental dilution. Then, the community grows by adding one new individual at each step until the pre-dilution community size is reached. At each growth step, the probability for each population to grow equals its actual relative abundance (“Simulations without percentages”). We also introduced a second scenario where the initial community populations are initially split into different groups, which then suffer the above dilution-growth cycles independently with different pre-set per group community sizes (“Simulations with fixed percentages”).</w:t>
      </w:r>
    </w:p>
    <w:p w14:paraId="42D68725" w14:textId="539BE959" w:rsidR="22F821B0" w:rsidRPr="00EC70A4" w:rsidRDefault="4267DFD6" w:rsidP="4267DFD6">
      <w:pPr>
        <w:jc w:val="both"/>
        <w:rPr>
          <w:rFonts w:ascii="Times New Roman" w:hAnsi="Times New Roman" w:cs="Times New Roman"/>
        </w:rPr>
      </w:pPr>
      <w:r>
        <w:rPr>
          <w:noProof/>
        </w:rPr>
        <w:lastRenderedPageBreak/>
        <w:drawing>
          <wp:inline distT="0" distB="0" distL="0" distR="0" wp14:anchorId="4CCFF8BD" wp14:editId="57596249">
            <wp:extent cx="6864744" cy="4848225"/>
            <wp:effectExtent l="0" t="0" r="0" b="0"/>
            <wp:docPr id="1271510972" name="Imagen 1271510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864744" cy="4848225"/>
                    </a:xfrm>
                    <a:prstGeom prst="rect">
                      <a:avLst/>
                    </a:prstGeom>
                  </pic:spPr>
                </pic:pic>
              </a:graphicData>
            </a:graphic>
          </wp:inline>
        </w:drawing>
      </w:r>
      <w:r w:rsidR="22F821B0" w:rsidRPr="4267DFD6">
        <w:rPr>
          <w:rFonts w:ascii="Times New Roman" w:hAnsi="Times New Roman" w:cs="Times New Roman"/>
          <w:b/>
          <w:bCs/>
        </w:rPr>
        <w:t xml:space="preserve">Supplementary Figure </w:t>
      </w:r>
      <w:r w:rsidR="00812099">
        <w:rPr>
          <w:rFonts w:ascii="Times New Roman" w:hAnsi="Times New Roman" w:cs="Times New Roman"/>
          <w:b/>
          <w:bCs/>
        </w:rPr>
        <w:t>2</w:t>
      </w:r>
      <w:r w:rsidR="22F821B0" w:rsidRPr="4267DFD6">
        <w:rPr>
          <w:rFonts w:ascii="Times New Roman" w:hAnsi="Times New Roman" w:cs="Times New Roman"/>
          <w:b/>
          <w:bCs/>
        </w:rPr>
        <w:t>. Simulated inter-PCG metabolism in citrate.</w:t>
      </w:r>
      <w:r w:rsidR="22F821B0" w:rsidRPr="4267DFD6">
        <w:rPr>
          <w:rFonts w:ascii="Times New Roman" w:hAnsi="Times New Roman" w:cs="Times New Roman"/>
        </w:rPr>
        <w:t xml:space="preserve"> The diagram depicts the simulation scenario w</w:t>
      </w:r>
      <w:r w:rsidR="2E16B4A5" w:rsidRPr="4267DFD6">
        <w:rPr>
          <w:rFonts w:ascii="Times New Roman" w:hAnsi="Times New Roman" w:cs="Times New Roman"/>
        </w:rPr>
        <w:t>h</w:t>
      </w:r>
      <w:r w:rsidR="22F821B0" w:rsidRPr="4267DFD6">
        <w:rPr>
          <w:rFonts w:ascii="Times New Roman" w:hAnsi="Times New Roman" w:cs="Times New Roman"/>
        </w:rPr>
        <w:t xml:space="preserve">ere E grows on M9 + citrate media and P on the spent media of E. Edges represent reactions in the SBML models with absolute flux values &gt;3.5. Red reactions present opposite flux signs in both models. Orange reactions are only active in P, and grey reaction are active and with same flux sign in both models. Metabolic compartments are designated with </w:t>
      </w:r>
      <w:r w:rsidR="2E16B4A5" w:rsidRPr="4267DFD6">
        <w:rPr>
          <w:rFonts w:ascii="Times New Roman" w:hAnsi="Times New Roman" w:cs="Times New Roman"/>
        </w:rPr>
        <w:t>suffixes</w:t>
      </w:r>
      <w:r w:rsidR="22F821B0" w:rsidRPr="4267DFD6">
        <w:rPr>
          <w:rFonts w:ascii="Times New Roman" w:hAnsi="Times New Roman" w:cs="Times New Roman"/>
        </w:rPr>
        <w:t xml:space="preserve"> “_e”, “_p” and “_c” for extracellular, periplasm and cytoplasm, respectively. The diagram shows that P takes </w:t>
      </w:r>
      <w:r w:rsidR="00EE04C2" w:rsidRPr="4267DFD6">
        <w:rPr>
          <w:rFonts w:ascii="Times New Roman" w:hAnsi="Times New Roman" w:cs="Times New Roman"/>
        </w:rPr>
        <w:t>extracellular</w:t>
      </w:r>
      <w:r w:rsidR="22F821B0" w:rsidRPr="4267DFD6">
        <w:rPr>
          <w:rFonts w:ascii="Times New Roman" w:hAnsi="Times New Roman" w:cs="Times New Roman"/>
        </w:rPr>
        <w:t xml:space="preserve"> acetate produced by E, which can then be transformed into acetyl-CoA spending ATP or through a succinyl-CoA:acetyl-CoA transferase. Both acetyl-Coa and succinate can be fed into the Krebs cycle (orange compounds) generating reductive power </w:t>
      </w:r>
      <w:r w:rsidR="00EE04C2" w:rsidRPr="4267DFD6">
        <w:rPr>
          <w:rFonts w:ascii="Times New Roman" w:hAnsi="Times New Roman" w:cs="Times New Roman"/>
        </w:rPr>
        <w:t>and ATP (bold compounds).</w:t>
      </w:r>
    </w:p>
    <w:p w14:paraId="0CC468D6" w14:textId="7082390A" w:rsidR="70BC9519" w:rsidRDefault="70BC9519" w:rsidP="70BC9519"/>
    <w:p w14:paraId="4EB13196" w14:textId="71B0F493" w:rsidR="70BC9519" w:rsidRDefault="70BC9519" w:rsidP="70BC9519"/>
    <w:p w14:paraId="6AC36615" w14:textId="1299B824" w:rsidR="70BC9519" w:rsidRDefault="70BC9519" w:rsidP="70BC9519"/>
    <w:p w14:paraId="106D001F" w14:textId="7BDA51B8" w:rsidR="70BC9519" w:rsidRDefault="70BC9519" w:rsidP="70BC9519"/>
    <w:p w14:paraId="5E87B75E" w14:textId="0DF68FC0" w:rsidR="70BC9519" w:rsidRDefault="70BC9519" w:rsidP="70BC9519"/>
    <w:p w14:paraId="4C642476" w14:textId="2690BCDF" w:rsidR="70BC9519" w:rsidRDefault="70BC9519"/>
    <w:p w14:paraId="5189F8EE" w14:textId="226D0E54" w:rsidR="70BC9519" w:rsidRDefault="70BC9519"/>
    <w:p w14:paraId="21EC8B6E" w14:textId="77777777" w:rsidR="4ED54BF7" w:rsidRDefault="0009193C" w:rsidP="4ED54BF7">
      <w:r>
        <w:rPr>
          <w:noProof/>
        </w:rPr>
        <w:lastRenderedPageBreak/>
        <w:drawing>
          <wp:inline distT="0" distB="0" distL="0" distR="0" wp14:anchorId="4F4F8C7E" wp14:editId="04266C3B">
            <wp:extent cx="2630269" cy="3724275"/>
            <wp:effectExtent l="0" t="0" r="0" b="0"/>
            <wp:docPr id="40147435" name="Imagen 421195634" descr="Gráfico, Diagrama,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11956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0269" cy="3724275"/>
                    </a:xfrm>
                    <a:prstGeom prst="rect">
                      <a:avLst/>
                    </a:prstGeom>
                  </pic:spPr>
                </pic:pic>
              </a:graphicData>
            </a:graphic>
          </wp:inline>
        </w:drawing>
      </w:r>
      <w:r>
        <w:rPr>
          <w:noProof/>
        </w:rPr>
        <w:drawing>
          <wp:inline distT="0" distB="0" distL="0" distR="0" wp14:anchorId="6C35549E" wp14:editId="4B7FD614">
            <wp:extent cx="2619375" cy="3708850"/>
            <wp:effectExtent l="0" t="0" r="0" b="6350"/>
            <wp:docPr id="733210305" name="Imagen 35594491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59449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9375" cy="3708850"/>
                    </a:xfrm>
                    <a:prstGeom prst="rect">
                      <a:avLst/>
                    </a:prstGeom>
                  </pic:spPr>
                </pic:pic>
              </a:graphicData>
            </a:graphic>
          </wp:inline>
        </w:drawing>
      </w:r>
      <w:r>
        <w:rPr>
          <w:noProof/>
        </w:rPr>
        <w:drawing>
          <wp:inline distT="0" distB="0" distL="0" distR="0" wp14:anchorId="2FDA339D" wp14:editId="39BF0DC7">
            <wp:extent cx="2616815" cy="3705225"/>
            <wp:effectExtent l="0" t="0" r="0" b="0"/>
            <wp:docPr id="1253069458" name="Imagen 22143378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143378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16815" cy="3705225"/>
                    </a:xfrm>
                    <a:prstGeom prst="rect">
                      <a:avLst/>
                    </a:prstGeom>
                  </pic:spPr>
                </pic:pic>
              </a:graphicData>
            </a:graphic>
          </wp:inline>
        </w:drawing>
      </w:r>
      <w:r>
        <w:rPr>
          <w:noProof/>
        </w:rPr>
        <w:drawing>
          <wp:inline distT="0" distB="0" distL="0" distR="0" wp14:anchorId="2C1B5039" wp14:editId="49217BCB">
            <wp:extent cx="2610088" cy="3695700"/>
            <wp:effectExtent l="0" t="0" r="0" b="0"/>
            <wp:docPr id="1218636539" name="Imagen 161823206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1823206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0088" cy="3695700"/>
                    </a:xfrm>
                    <a:prstGeom prst="rect">
                      <a:avLst/>
                    </a:prstGeom>
                  </pic:spPr>
                </pic:pic>
              </a:graphicData>
            </a:graphic>
          </wp:inline>
        </w:drawing>
      </w:r>
    </w:p>
    <w:p w14:paraId="54DD2057" w14:textId="3DAEDF27" w:rsidR="4ED54BF7" w:rsidRPr="00EC70A4" w:rsidRDefault="0009193C" w:rsidP="644A6947">
      <w:pPr>
        <w:jc w:val="both"/>
        <w:rPr>
          <w:rFonts w:ascii="Times New Roman" w:eastAsia="Times New Roman" w:hAnsi="Times New Roman" w:cs="Times New Roman"/>
        </w:rPr>
      </w:pPr>
      <w:r w:rsidRPr="644A6947">
        <w:rPr>
          <w:rFonts w:ascii="Times New Roman" w:eastAsia="Calibri" w:hAnsi="Times New Roman" w:cs="Times New Roman"/>
          <w:b/>
          <w:bCs/>
        </w:rPr>
        <w:t xml:space="preserve">Supplementary Figure </w:t>
      </w:r>
      <w:r w:rsidR="00484874">
        <w:rPr>
          <w:rFonts w:ascii="Times New Roman" w:eastAsia="Calibri" w:hAnsi="Times New Roman" w:cs="Times New Roman"/>
          <w:b/>
          <w:bCs/>
        </w:rPr>
        <w:t>3</w:t>
      </w:r>
      <w:r w:rsidRPr="644A6947">
        <w:rPr>
          <w:rFonts w:ascii="Times New Roman" w:eastAsia="Calibri" w:hAnsi="Times New Roman" w:cs="Times New Roman"/>
          <w:b/>
          <w:bCs/>
        </w:rPr>
        <w:t>. Diversity metrics for experimental and simulated communities</w:t>
      </w:r>
      <w:r w:rsidR="00EE04C2" w:rsidRPr="644A6947">
        <w:rPr>
          <w:rFonts w:ascii="Times New Roman" w:eastAsia="Calibri" w:hAnsi="Times New Roman" w:cs="Times New Roman"/>
          <w:b/>
          <w:bCs/>
        </w:rPr>
        <w:t xml:space="preserve"> obtained for each original sample</w:t>
      </w:r>
      <w:r w:rsidRPr="644A6947">
        <w:rPr>
          <w:rFonts w:ascii="Times New Roman" w:eastAsia="Calibri" w:hAnsi="Times New Roman" w:cs="Times New Roman"/>
          <w:b/>
          <w:bCs/>
        </w:rPr>
        <w:t>.</w:t>
      </w:r>
      <w:r w:rsidR="005C3575" w:rsidRPr="644A6947">
        <w:rPr>
          <w:rFonts w:ascii="Times New Roman" w:eastAsia="Calibri" w:hAnsi="Times New Roman" w:cs="Times New Roman"/>
          <w:b/>
          <w:bCs/>
        </w:rPr>
        <w:t xml:space="preserve"> Real;</w:t>
      </w:r>
      <w:r w:rsidR="005C3575" w:rsidRPr="644A6947">
        <w:rPr>
          <w:rFonts w:ascii="Times New Roman" w:eastAsia="Calibri" w:hAnsi="Times New Roman" w:cs="Times New Roman"/>
        </w:rPr>
        <w:t xml:space="preserve"> values for experimental endpoint communities. </w:t>
      </w:r>
      <w:r w:rsidR="005C3575" w:rsidRPr="644A6947">
        <w:rPr>
          <w:rFonts w:ascii="Times New Roman" w:eastAsia="Calibri" w:hAnsi="Times New Roman" w:cs="Times New Roman"/>
          <w:b/>
          <w:bCs/>
        </w:rPr>
        <w:t>Neutral</w:t>
      </w:r>
      <w:r w:rsidR="005C3575" w:rsidRPr="644A6947">
        <w:rPr>
          <w:rFonts w:ascii="Times New Roman" w:eastAsia="Calibri" w:hAnsi="Times New Roman" w:cs="Times New Roman"/>
        </w:rPr>
        <w:t xml:space="preserve">; values for 800 communities simulated under neutral drift. </w:t>
      </w:r>
      <w:r w:rsidR="005C3575" w:rsidRPr="644A6947">
        <w:rPr>
          <w:rFonts w:ascii="Times New Roman" w:eastAsia="Calibri" w:hAnsi="Times New Roman" w:cs="Times New Roman"/>
          <w:b/>
          <w:bCs/>
        </w:rPr>
        <w:t>Const neutral</w:t>
      </w:r>
      <w:r w:rsidR="005C3575" w:rsidRPr="644A6947">
        <w:rPr>
          <w:rFonts w:ascii="Times New Roman" w:eastAsia="Calibri" w:hAnsi="Times New Roman" w:cs="Times New Roman"/>
        </w:rPr>
        <w:t>; values for 800 communities simulated under within</w:t>
      </w:r>
      <w:r w:rsidR="00EE04C2" w:rsidRPr="644A6947">
        <w:rPr>
          <w:rFonts w:ascii="Times New Roman" w:eastAsia="Calibri" w:hAnsi="Times New Roman" w:cs="Times New Roman"/>
        </w:rPr>
        <w:t>-</w:t>
      </w:r>
      <w:r w:rsidR="005C3575" w:rsidRPr="644A6947">
        <w:rPr>
          <w:rFonts w:ascii="Times New Roman" w:eastAsia="Calibri" w:hAnsi="Times New Roman" w:cs="Times New Roman"/>
        </w:rPr>
        <w:t>group neutral drift and fixed per-group community sizes.</w:t>
      </w:r>
      <w:r w:rsidRPr="00EC70A4">
        <w:rPr>
          <w:rFonts w:ascii="Calibri" w:eastAsia="Calibri" w:hAnsi="Calibri" w:cs="Calibri"/>
          <w:b/>
          <w:bCs/>
        </w:rPr>
        <w:t xml:space="preserve"> </w:t>
      </w:r>
    </w:p>
    <w:p w14:paraId="3BFD4BDE" w14:textId="190D39A5" w:rsidR="4ED54BF7" w:rsidRDefault="4ED54BF7" w:rsidP="4ED54BF7"/>
    <w:p w14:paraId="7D25525A" w14:textId="76A3AE6B" w:rsidR="4ED54BF7" w:rsidRDefault="6D7CDECA" w:rsidP="6D7CDECA">
      <w:r>
        <w:rPr>
          <w:noProof/>
        </w:rPr>
        <w:drawing>
          <wp:inline distT="0" distB="0" distL="0" distR="0" wp14:anchorId="12F6C234" wp14:editId="54810E85">
            <wp:extent cx="6816090" cy="4260056"/>
            <wp:effectExtent l="0" t="0" r="0" b="0"/>
            <wp:docPr id="373516463" name="Imagen 373516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16090" cy="4260056"/>
                    </a:xfrm>
                    <a:prstGeom prst="rect">
                      <a:avLst/>
                    </a:prstGeom>
                  </pic:spPr>
                </pic:pic>
              </a:graphicData>
            </a:graphic>
          </wp:inline>
        </w:drawing>
      </w:r>
    </w:p>
    <w:p w14:paraId="11B8309A" w14:textId="6A74F35A" w:rsidR="4ED54BF7" w:rsidRDefault="0F523A75" w:rsidP="4267DFD6">
      <w:pPr>
        <w:jc w:val="both"/>
        <w:rPr>
          <w:rFonts w:ascii="Times New Roman" w:hAnsi="Times New Roman" w:cs="Times New Roman"/>
          <w:color w:val="000000" w:themeColor="text1"/>
          <w:highlight w:val="yellow"/>
        </w:rPr>
      </w:pPr>
      <w:r w:rsidRPr="4267DFD6">
        <w:rPr>
          <w:rFonts w:ascii="Times New Roman" w:hAnsi="Times New Roman" w:cs="Times New Roman"/>
          <w:b/>
          <w:bCs/>
          <w:color w:val="000000" w:themeColor="text1"/>
        </w:rPr>
        <w:t xml:space="preserve">Supplementary Figure </w:t>
      </w:r>
      <w:r w:rsidR="00BB666E">
        <w:rPr>
          <w:rFonts w:ascii="Times New Roman" w:hAnsi="Times New Roman" w:cs="Times New Roman"/>
          <w:b/>
          <w:bCs/>
          <w:color w:val="000000" w:themeColor="text1"/>
        </w:rPr>
        <w:t>4</w:t>
      </w:r>
      <w:r w:rsidRPr="4267DFD6">
        <w:rPr>
          <w:rFonts w:ascii="Times New Roman" w:hAnsi="Times New Roman" w:cs="Times New Roman"/>
          <w:b/>
          <w:bCs/>
          <w:color w:val="000000" w:themeColor="text1"/>
        </w:rPr>
        <w:t>. Comparison of experimental vs. simulated population abundance distributions</w:t>
      </w:r>
      <w:r w:rsidRPr="4267DFD6">
        <w:rPr>
          <w:rFonts w:ascii="Times New Roman" w:hAnsi="Times New Roman" w:cs="Times New Roman"/>
          <w:color w:val="000000" w:themeColor="text1"/>
        </w:rPr>
        <w:t>. Two representative examples are shown, corresponding to original sample</w:t>
      </w:r>
      <w:r w:rsidR="12B53A96" w:rsidRPr="4267DFD6">
        <w:rPr>
          <w:rFonts w:ascii="Times New Roman" w:hAnsi="Times New Roman" w:cs="Times New Roman"/>
          <w:color w:val="000000" w:themeColor="text1"/>
        </w:rPr>
        <w:t>s</w:t>
      </w:r>
      <w:r w:rsidRPr="4267DFD6">
        <w:rPr>
          <w:rFonts w:ascii="Times New Roman" w:hAnsi="Times New Roman" w:cs="Times New Roman"/>
          <w:color w:val="000000" w:themeColor="text1"/>
        </w:rPr>
        <w:t xml:space="preserve"> </w:t>
      </w:r>
      <w:r w:rsidR="12B53A96" w:rsidRPr="4267DFD6">
        <w:rPr>
          <w:rFonts w:ascii="Times New Roman" w:hAnsi="Times New Roman" w:cs="Times New Roman"/>
          <w:color w:val="000000" w:themeColor="text1"/>
        </w:rPr>
        <w:t>X</w:t>
      </w:r>
      <w:r w:rsidRPr="4267DFD6">
        <w:rPr>
          <w:rFonts w:ascii="Times New Roman" w:hAnsi="Times New Roman" w:cs="Times New Roman"/>
          <w:color w:val="000000" w:themeColor="text1"/>
        </w:rPr>
        <w:t xml:space="preserve">8 and </w:t>
      </w:r>
      <w:r w:rsidR="12B53A96" w:rsidRPr="4267DFD6">
        <w:rPr>
          <w:rFonts w:ascii="Times New Roman" w:hAnsi="Times New Roman" w:cs="Times New Roman"/>
          <w:color w:val="000000" w:themeColor="text1"/>
        </w:rPr>
        <w:t>X</w:t>
      </w:r>
      <w:r w:rsidRPr="4267DFD6">
        <w:rPr>
          <w:rFonts w:ascii="Times New Roman" w:hAnsi="Times New Roman" w:cs="Times New Roman"/>
          <w:color w:val="000000" w:themeColor="text1"/>
        </w:rPr>
        <w:t>9</w:t>
      </w:r>
      <w:r w:rsidR="12B53A96" w:rsidRPr="4267DFD6">
        <w:rPr>
          <w:rFonts w:ascii="Times New Roman" w:hAnsi="Times New Roman" w:cs="Times New Roman"/>
          <w:color w:val="000000" w:themeColor="text1"/>
        </w:rPr>
        <w:t xml:space="preserve"> in the glucose dataset</w:t>
      </w:r>
      <w:r w:rsidRPr="4267DFD6">
        <w:rPr>
          <w:rFonts w:ascii="Times New Roman" w:hAnsi="Times New Roman" w:cs="Times New Roman"/>
          <w:color w:val="000000" w:themeColor="text1"/>
        </w:rPr>
        <w:t xml:space="preserve">. </w:t>
      </w:r>
      <w:r w:rsidR="12B53A96" w:rsidRPr="4267DFD6">
        <w:rPr>
          <w:rFonts w:ascii="Times New Roman" w:hAnsi="Times New Roman" w:cs="Times New Roman"/>
          <w:color w:val="000000" w:themeColor="text1"/>
        </w:rPr>
        <w:t>S</w:t>
      </w:r>
      <w:r w:rsidRPr="4267DFD6">
        <w:rPr>
          <w:rFonts w:ascii="Times New Roman" w:hAnsi="Times New Roman" w:cs="Times New Roman"/>
          <w:color w:val="000000" w:themeColor="text1"/>
        </w:rPr>
        <w:t xml:space="preserve">imulations were generated from the original samples abundance data </w:t>
      </w:r>
      <w:r w:rsidR="12B53A96" w:rsidRPr="4267DFD6">
        <w:rPr>
          <w:rFonts w:ascii="Times New Roman" w:hAnsi="Times New Roman" w:cs="Times New Roman"/>
          <w:color w:val="000000" w:themeColor="text1"/>
        </w:rPr>
        <w:t>under the constrained scenario</w:t>
      </w:r>
      <w:r w:rsidRPr="4267DFD6">
        <w:rPr>
          <w:rFonts w:ascii="Times New Roman" w:hAnsi="Times New Roman" w:cs="Times New Roman"/>
          <w:color w:val="000000" w:themeColor="text1"/>
        </w:rPr>
        <w:t>. Each black line represents the final relative abundance of one simulation replicate, while red lines portray the relative abundance of the experimental replicates. Arrows indicate the difference</w:t>
      </w:r>
      <w:r w:rsidR="37573B24" w:rsidRPr="4267DFD6">
        <w:rPr>
          <w:rFonts w:ascii="Times New Roman" w:hAnsi="Times New Roman" w:cs="Times New Roman"/>
          <w:color w:val="000000" w:themeColor="text1"/>
        </w:rPr>
        <w:t>s</w:t>
      </w:r>
      <w:r w:rsidRPr="4267DFD6">
        <w:rPr>
          <w:rFonts w:ascii="Times New Roman" w:hAnsi="Times New Roman" w:cs="Times New Roman"/>
          <w:color w:val="000000" w:themeColor="text1"/>
        </w:rPr>
        <w:t xml:space="preserve"> between mean abundances</w:t>
      </w:r>
      <w:r w:rsidR="12B53A96" w:rsidRPr="4267DFD6">
        <w:rPr>
          <w:rFonts w:ascii="Times New Roman" w:hAnsi="Times New Roman" w:cs="Times New Roman"/>
          <w:color w:val="000000" w:themeColor="text1"/>
        </w:rPr>
        <w:t xml:space="preserve"> (experimental vs. simulated)</w:t>
      </w:r>
      <w:r w:rsidRPr="4267DFD6">
        <w:rPr>
          <w:rFonts w:ascii="Times New Roman" w:hAnsi="Times New Roman" w:cs="Times New Roman"/>
          <w:color w:val="000000" w:themeColor="text1"/>
        </w:rPr>
        <w:t xml:space="preserve">. Black arrows represent cases where that OTU was not detected in the original sample. </w:t>
      </w:r>
    </w:p>
    <w:p w14:paraId="329A8BED" w14:textId="10B960CE" w:rsidR="4ED54BF7" w:rsidRDefault="4ED54BF7" w:rsidP="4ED54BF7">
      <w:r>
        <w:br w:type="page"/>
      </w:r>
      <w:r w:rsidR="43E3050E">
        <w:rPr>
          <w:noProof/>
        </w:rPr>
        <w:lastRenderedPageBreak/>
        <w:drawing>
          <wp:inline distT="0" distB="0" distL="0" distR="0" wp14:anchorId="7ABE10E1" wp14:editId="31DD5904">
            <wp:extent cx="5151245" cy="7047798"/>
            <wp:effectExtent l="0" t="0" r="0" b="0"/>
            <wp:docPr id="860634129" name="Imagen 1" descr="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7">
                      <a:extLst>
                        <a:ext uri="{28A0092B-C50C-407E-A947-70E740481C1C}">
                          <a14:useLocalDpi xmlns:a14="http://schemas.microsoft.com/office/drawing/2010/main" val="0"/>
                        </a:ext>
                      </a:extLst>
                    </a:blip>
                    <a:srcRect t="3272"/>
                    <a:stretch>
                      <a:fillRect/>
                    </a:stretch>
                  </pic:blipFill>
                  <pic:spPr>
                    <a:xfrm>
                      <a:off x="0" y="0"/>
                      <a:ext cx="5151245" cy="7047798"/>
                    </a:xfrm>
                    <a:prstGeom prst="rect">
                      <a:avLst/>
                    </a:prstGeom>
                  </pic:spPr>
                </pic:pic>
              </a:graphicData>
            </a:graphic>
          </wp:inline>
        </w:drawing>
      </w:r>
    </w:p>
    <w:p w14:paraId="4F6608B1" w14:textId="7BBA3B86" w:rsidR="09B57D59" w:rsidRDefault="34AB972C" w:rsidP="4267DFD6">
      <w:pPr>
        <w:jc w:val="both"/>
      </w:pPr>
      <w:r w:rsidRPr="4267DFD6">
        <w:rPr>
          <w:rFonts w:ascii="Times New Roman" w:eastAsia="Times New Roman" w:hAnsi="Times New Roman" w:cs="Times New Roman"/>
          <w:b/>
          <w:bCs/>
        </w:rPr>
        <w:t xml:space="preserve">Supplementary Figure </w:t>
      </w:r>
      <w:r w:rsidR="00567B6A">
        <w:rPr>
          <w:rFonts w:ascii="Times New Roman" w:eastAsia="Times New Roman" w:hAnsi="Times New Roman" w:cs="Times New Roman"/>
          <w:b/>
          <w:bCs/>
        </w:rPr>
        <w:t>5</w:t>
      </w:r>
      <w:r w:rsidRPr="4267DFD6">
        <w:rPr>
          <w:rFonts w:ascii="Times New Roman" w:eastAsia="Times New Roman" w:hAnsi="Times New Roman" w:cs="Times New Roman"/>
          <w:b/>
          <w:bCs/>
        </w:rPr>
        <w:t>. Co-abundance correlations in experimental data</w:t>
      </w:r>
      <w:r w:rsidRPr="4267DFD6">
        <w:rPr>
          <w:rFonts w:ascii="Times New Roman" w:eastAsia="Times New Roman" w:hAnsi="Times New Roman" w:cs="Times New Roman"/>
        </w:rPr>
        <w:t>. Panels represent correlation networks obtained from replicates arising from the same original sample. Only those correlations ranked within the 5% extreme values of the null correlation distribution are depicted. In a few instances there were no significant correlations and thus the network is not present. Red, blue and yellow labels represent populations belonging to E, P, and others, respectively.</w:t>
      </w:r>
    </w:p>
    <w:p w14:paraId="186D927A" w14:textId="38625CBA" w:rsidR="09B57D59" w:rsidRDefault="09B57D59" w:rsidP="34AB972C">
      <w:r>
        <w:br w:type="page"/>
      </w:r>
    </w:p>
    <w:sectPr w:rsidR="09B57D59">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D6CC5" w14:textId="77777777" w:rsidR="00E5463B" w:rsidRDefault="00E5463B">
      <w:pPr>
        <w:spacing w:after="0" w:line="240" w:lineRule="auto"/>
      </w:pPr>
      <w:r>
        <w:separator/>
      </w:r>
    </w:p>
  </w:endnote>
  <w:endnote w:type="continuationSeparator" w:id="0">
    <w:p w14:paraId="140B53E3" w14:textId="77777777" w:rsidR="00E5463B" w:rsidRDefault="00E5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4267DFD6" w14:paraId="23895B7A" w14:textId="77777777" w:rsidTr="4267DFD6">
      <w:tc>
        <w:tcPr>
          <w:tcW w:w="3600" w:type="dxa"/>
        </w:tcPr>
        <w:p w14:paraId="6B83E8D2" w14:textId="3FCA58F0" w:rsidR="4267DFD6" w:rsidRDefault="4267DFD6" w:rsidP="4267DFD6">
          <w:pPr>
            <w:pStyle w:val="Encabezado"/>
            <w:ind w:left="-115"/>
          </w:pPr>
        </w:p>
      </w:tc>
      <w:tc>
        <w:tcPr>
          <w:tcW w:w="3600" w:type="dxa"/>
        </w:tcPr>
        <w:p w14:paraId="486340FE" w14:textId="7A204476" w:rsidR="4267DFD6" w:rsidRDefault="4267DFD6" w:rsidP="4267DFD6">
          <w:pPr>
            <w:pStyle w:val="Encabezado"/>
            <w:jc w:val="center"/>
          </w:pPr>
        </w:p>
      </w:tc>
      <w:tc>
        <w:tcPr>
          <w:tcW w:w="3600" w:type="dxa"/>
        </w:tcPr>
        <w:p w14:paraId="0E0FEA41" w14:textId="5EF47348" w:rsidR="4267DFD6" w:rsidRDefault="4267DFD6" w:rsidP="4267DFD6">
          <w:pPr>
            <w:pStyle w:val="Encabezado"/>
            <w:ind w:right="-115"/>
            <w:jc w:val="right"/>
          </w:pPr>
        </w:p>
      </w:tc>
    </w:tr>
  </w:tbl>
  <w:p w14:paraId="065E61D4" w14:textId="3570CC04" w:rsidR="4267DFD6" w:rsidRDefault="4267DFD6" w:rsidP="4267DF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59274" w14:textId="77777777" w:rsidR="00E5463B" w:rsidRDefault="00E5463B">
      <w:pPr>
        <w:spacing w:after="0" w:line="240" w:lineRule="auto"/>
      </w:pPr>
      <w:r>
        <w:separator/>
      </w:r>
    </w:p>
  </w:footnote>
  <w:footnote w:type="continuationSeparator" w:id="0">
    <w:p w14:paraId="2D9A1B72" w14:textId="77777777" w:rsidR="00E5463B" w:rsidRDefault="00E54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4267DFD6" w14:paraId="5BFEBDEE" w14:textId="77777777" w:rsidTr="4267DFD6">
      <w:tc>
        <w:tcPr>
          <w:tcW w:w="3600" w:type="dxa"/>
        </w:tcPr>
        <w:p w14:paraId="1B10DC7D" w14:textId="55D1162A" w:rsidR="4267DFD6" w:rsidRDefault="4267DFD6" w:rsidP="4267DFD6">
          <w:pPr>
            <w:pStyle w:val="Encabezado"/>
            <w:ind w:left="-115"/>
          </w:pPr>
        </w:p>
      </w:tc>
      <w:tc>
        <w:tcPr>
          <w:tcW w:w="3600" w:type="dxa"/>
        </w:tcPr>
        <w:p w14:paraId="46478603" w14:textId="38F817D9" w:rsidR="4267DFD6" w:rsidRDefault="4267DFD6" w:rsidP="4267DFD6">
          <w:pPr>
            <w:pStyle w:val="Encabezado"/>
            <w:jc w:val="center"/>
          </w:pPr>
        </w:p>
      </w:tc>
      <w:tc>
        <w:tcPr>
          <w:tcW w:w="3600" w:type="dxa"/>
        </w:tcPr>
        <w:p w14:paraId="4FDFC7A1" w14:textId="7F8E1A2F" w:rsidR="4267DFD6" w:rsidRDefault="4267DFD6" w:rsidP="4267DFD6">
          <w:pPr>
            <w:pStyle w:val="Encabezado"/>
            <w:ind w:right="-115"/>
            <w:jc w:val="right"/>
          </w:pPr>
        </w:p>
      </w:tc>
    </w:tr>
  </w:tbl>
  <w:p w14:paraId="4CCE3CFF" w14:textId="3E03B97C" w:rsidR="4267DFD6" w:rsidRDefault="4267DFD6" w:rsidP="4267DF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DB6141"/>
    <w:multiLevelType w:val="hybridMultilevel"/>
    <w:tmpl w:val="77209528"/>
    <w:lvl w:ilvl="0" w:tplc="A3A695A8">
      <w:start w:val="1"/>
      <w:numFmt w:val="bullet"/>
      <w:lvlText w:val="-"/>
      <w:lvlJc w:val="left"/>
      <w:pPr>
        <w:ind w:left="720" w:hanging="360"/>
      </w:pPr>
      <w:rPr>
        <w:rFonts w:ascii="Calibri" w:hAnsi="Calibri" w:hint="default"/>
      </w:rPr>
    </w:lvl>
    <w:lvl w:ilvl="1" w:tplc="CCE04ACA">
      <w:start w:val="1"/>
      <w:numFmt w:val="bullet"/>
      <w:lvlText w:val="o"/>
      <w:lvlJc w:val="left"/>
      <w:pPr>
        <w:ind w:left="1440" w:hanging="360"/>
      </w:pPr>
      <w:rPr>
        <w:rFonts w:ascii="Courier New" w:hAnsi="Courier New" w:hint="default"/>
      </w:rPr>
    </w:lvl>
    <w:lvl w:ilvl="2" w:tplc="ADC03DF6">
      <w:start w:val="1"/>
      <w:numFmt w:val="bullet"/>
      <w:lvlText w:val=""/>
      <w:lvlJc w:val="left"/>
      <w:pPr>
        <w:ind w:left="2160" w:hanging="360"/>
      </w:pPr>
      <w:rPr>
        <w:rFonts w:ascii="Wingdings" w:hAnsi="Wingdings" w:hint="default"/>
      </w:rPr>
    </w:lvl>
    <w:lvl w:ilvl="3" w:tplc="6C381964">
      <w:start w:val="1"/>
      <w:numFmt w:val="bullet"/>
      <w:lvlText w:val=""/>
      <w:lvlJc w:val="left"/>
      <w:pPr>
        <w:ind w:left="2880" w:hanging="360"/>
      </w:pPr>
      <w:rPr>
        <w:rFonts w:ascii="Symbol" w:hAnsi="Symbol" w:hint="default"/>
      </w:rPr>
    </w:lvl>
    <w:lvl w:ilvl="4" w:tplc="869A3292">
      <w:start w:val="1"/>
      <w:numFmt w:val="bullet"/>
      <w:lvlText w:val="o"/>
      <w:lvlJc w:val="left"/>
      <w:pPr>
        <w:ind w:left="3600" w:hanging="360"/>
      </w:pPr>
      <w:rPr>
        <w:rFonts w:ascii="Courier New" w:hAnsi="Courier New" w:hint="default"/>
      </w:rPr>
    </w:lvl>
    <w:lvl w:ilvl="5" w:tplc="72DC0660">
      <w:start w:val="1"/>
      <w:numFmt w:val="bullet"/>
      <w:lvlText w:val=""/>
      <w:lvlJc w:val="left"/>
      <w:pPr>
        <w:ind w:left="4320" w:hanging="360"/>
      </w:pPr>
      <w:rPr>
        <w:rFonts w:ascii="Wingdings" w:hAnsi="Wingdings" w:hint="default"/>
      </w:rPr>
    </w:lvl>
    <w:lvl w:ilvl="6" w:tplc="E55EE65E">
      <w:start w:val="1"/>
      <w:numFmt w:val="bullet"/>
      <w:lvlText w:val=""/>
      <w:lvlJc w:val="left"/>
      <w:pPr>
        <w:ind w:left="5040" w:hanging="360"/>
      </w:pPr>
      <w:rPr>
        <w:rFonts w:ascii="Symbol" w:hAnsi="Symbol" w:hint="default"/>
      </w:rPr>
    </w:lvl>
    <w:lvl w:ilvl="7" w:tplc="43D6E6A0">
      <w:start w:val="1"/>
      <w:numFmt w:val="bullet"/>
      <w:lvlText w:val="o"/>
      <w:lvlJc w:val="left"/>
      <w:pPr>
        <w:ind w:left="5760" w:hanging="360"/>
      </w:pPr>
      <w:rPr>
        <w:rFonts w:ascii="Courier New" w:hAnsi="Courier New" w:hint="default"/>
      </w:rPr>
    </w:lvl>
    <w:lvl w:ilvl="8" w:tplc="3E78CD66">
      <w:start w:val="1"/>
      <w:numFmt w:val="bullet"/>
      <w:lvlText w:val=""/>
      <w:lvlJc w:val="left"/>
      <w:pPr>
        <w:ind w:left="6480" w:hanging="360"/>
      </w:pPr>
      <w:rPr>
        <w:rFonts w:ascii="Wingdings" w:hAnsi="Wingdings" w:hint="default"/>
      </w:rPr>
    </w:lvl>
  </w:abstractNum>
  <w:num w:numId="1" w16cid:durableId="1656489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94403F"/>
    <w:rsid w:val="00063B07"/>
    <w:rsid w:val="0009193C"/>
    <w:rsid w:val="000C1233"/>
    <w:rsid w:val="00190863"/>
    <w:rsid w:val="001960C8"/>
    <w:rsid w:val="002B7640"/>
    <w:rsid w:val="00311D06"/>
    <w:rsid w:val="003E5631"/>
    <w:rsid w:val="00484874"/>
    <w:rsid w:val="004AA8E5"/>
    <w:rsid w:val="00567B6A"/>
    <w:rsid w:val="005C3575"/>
    <w:rsid w:val="006553E9"/>
    <w:rsid w:val="006F75D3"/>
    <w:rsid w:val="00714040"/>
    <w:rsid w:val="00720837"/>
    <w:rsid w:val="007B2416"/>
    <w:rsid w:val="00812099"/>
    <w:rsid w:val="0097724D"/>
    <w:rsid w:val="00B341B9"/>
    <w:rsid w:val="00BA0EC1"/>
    <w:rsid w:val="00BB666E"/>
    <w:rsid w:val="00CC2A3B"/>
    <w:rsid w:val="00DE2E2B"/>
    <w:rsid w:val="00E52E7F"/>
    <w:rsid w:val="00E5463B"/>
    <w:rsid w:val="00EC70A4"/>
    <w:rsid w:val="00EE04C2"/>
    <w:rsid w:val="00F14613"/>
    <w:rsid w:val="00F774A0"/>
    <w:rsid w:val="00FD65EB"/>
    <w:rsid w:val="00FE7E61"/>
    <w:rsid w:val="01AA5601"/>
    <w:rsid w:val="01C746A1"/>
    <w:rsid w:val="045D7BB5"/>
    <w:rsid w:val="04FEE763"/>
    <w:rsid w:val="0694753E"/>
    <w:rsid w:val="07E9C53E"/>
    <w:rsid w:val="0811CA92"/>
    <w:rsid w:val="0946ED0C"/>
    <w:rsid w:val="09B57D59"/>
    <w:rsid w:val="0B3A0828"/>
    <w:rsid w:val="0D1CE4B8"/>
    <w:rsid w:val="0E0DE8B5"/>
    <w:rsid w:val="0F523A75"/>
    <w:rsid w:val="10A14C4E"/>
    <w:rsid w:val="10FF4400"/>
    <w:rsid w:val="11ED02B3"/>
    <w:rsid w:val="129B1461"/>
    <w:rsid w:val="12B53A96"/>
    <w:rsid w:val="13E5C370"/>
    <w:rsid w:val="162D5D9A"/>
    <w:rsid w:val="176E8584"/>
    <w:rsid w:val="17B4CAFB"/>
    <w:rsid w:val="1820B137"/>
    <w:rsid w:val="18BEC0F3"/>
    <w:rsid w:val="1970E26A"/>
    <w:rsid w:val="1A916791"/>
    <w:rsid w:val="1B4289BC"/>
    <w:rsid w:val="1B8C3A37"/>
    <w:rsid w:val="1B9C66B1"/>
    <w:rsid w:val="1F2474F0"/>
    <w:rsid w:val="210F1FD1"/>
    <w:rsid w:val="2142530E"/>
    <w:rsid w:val="221B7FD2"/>
    <w:rsid w:val="22904A9A"/>
    <w:rsid w:val="22DAECAA"/>
    <w:rsid w:val="22F821B0"/>
    <w:rsid w:val="2309C358"/>
    <w:rsid w:val="23414C2C"/>
    <w:rsid w:val="2346445A"/>
    <w:rsid w:val="23C2B806"/>
    <w:rsid w:val="2418C70A"/>
    <w:rsid w:val="2916D7CF"/>
    <w:rsid w:val="2A1C0A85"/>
    <w:rsid w:val="2AE12836"/>
    <w:rsid w:val="2BC85DC2"/>
    <w:rsid w:val="2C0AB092"/>
    <w:rsid w:val="2CBAAB86"/>
    <w:rsid w:val="2D017CFB"/>
    <w:rsid w:val="2E16B4A5"/>
    <w:rsid w:val="2E5747EF"/>
    <w:rsid w:val="2E6080CC"/>
    <w:rsid w:val="2FF24C48"/>
    <w:rsid w:val="300ACCB4"/>
    <w:rsid w:val="30D7CA99"/>
    <w:rsid w:val="31CF2D15"/>
    <w:rsid w:val="31DD5904"/>
    <w:rsid w:val="332FBE06"/>
    <w:rsid w:val="3394403F"/>
    <w:rsid w:val="341BCF63"/>
    <w:rsid w:val="3485794A"/>
    <w:rsid w:val="34AB972C"/>
    <w:rsid w:val="35BF515A"/>
    <w:rsid w:val="3608AEC8"/>
    <w:rsid w:val="36F94AD0"/>
    <w:rsid w:val="37573B24"/>
    <w:rsid w:val="3772E857"/>
    <w:rsid w:val="37CFA5E2"/>
    <w:rsid w:val="390D15A1"/>
    <w:rsid w:val="3998869D"/>
    <w:rsid w:val="3AA8E602"/>
    <w:rsid w:val="3BB1BA9C"/>
    <w:rsid w:val="3E3F193C"/>
    <w:rsid w:val="3EF926E1"/>
    <w:rsid w:val="3F6062A4"/>
    <w:rsid w:val="40C1F9AD"/>
    <w:rsid w:val="40DAEFAC"/>
    <w:rsid w:val="4224377A"/>
    <w:rsid w:val="4267DFD6"/>
    <w:rsid w:val="42A5C338"/>
    <w:rsid w:val="43333614"/>
    <w:rsid w:val="43C007DB"/>
    <w:rsid w:val="43E3050E"/>
    <w:rsid w:val="441AAB6A"/>
    <w:rsid w:val="44B64846"/>
    <w:rsid w:val="44EAB013"/>
    <w:rsid w:val="4510434A"/>
    <w:rsid w:val="451FDE20"/>
    <w:rsid w:val="45438B3B"/>
    <w:rsid w:val="4779345B"/>
    <w:rsid w:val="47EDE908"/>
    <w:rsid w:val="4810AE5D"/>
    <w:rsid w:val="496C17E9"/>
    <w:rsid w:val="4C54E1ED"/>
    <w:rsid w:val="4E32F0C6"/>
    <w:rsid w:val="4E5D2A8C"/>
    <w:rsid w:val="4ED54BF7"/>
    <w:rsid w:val="51616F3A"/>
    <w:rsid w:val="530823B0"/>
    <w:rsid w:val="530AA8E7"/>
    <w:rsid w:val="54B2FE6A"/>
    <w:rsid w:val="57160EA1"/>
    <w:rsid w:val="579B788F"/>
    <w:rsid w:val="5A7A77C9"/>
    <w:rsid w:val="5A80913F"/>
    <w:rsid w:val="5C8C5C57"/>
    <w:rsid w:val="5D3D63DE"/>
    <w:rsid w:val="5F3DBC72"/>
    <w:rsid w:val="5F4DE8EC"/>
    <w:rsid w:val="5FDA5085"/>
    <w:rsid w:val="6124FF94"/>
    <w:rsid w:val="614E3084"/>
    <w:rsid w:val="620C5993"/>
    <w:rsid w:val="6312CCA3"/>
    <w:rsid w:val="642114C6"/>
    <w:rsid w:val="64215A0F"/>
    <w:rsid w:val="644A6947"/>
    <w:rsid w:val="64FBA43B"/>
    <w:rsid w:val="653E19E9"/>
    <w:rsid w:val="6554EF86"/>
    <w:rsid w:val="66826DE9"/>
    <w:rsid w:val="66BD5DF5"/>
    <w:rsid w:val="68F4CB32"/>
    <w:rsid w:val="69DBDB42"/>
    <w:rsid w:val="6A66CC46"/>
    <w:rsid w:val="6A8C659D"/>
    <w:rsid w:val="6A909B93"/>
    <w:rsid w:val="6B1D032C"/>
    <w:rsid w:val="6B77ABA3"/>
    <w:rsid w:val="6D3F65F0"/>
    <w:rsid w:val="6D7CDECA"/>
    <w:rsid w:val="70BC9519"/>
    <w:rsid w:val="72246E66"/>
    <w:rsid w:val="725A1A2D"/>
    <w:rsid w:val="752AFB83"/>
    <w:rsid w:val="753F9EE4"/>
    <w:rsid w:val="77834F3D"/>
    <w:rsid w:val="7A192517"/>
    <w:rsid w:val="7AD9E648"/>
    <w:rsid w:val="7AE5C1FF"/>
    <w:rsid w:val="7BC2CE2C"/>
    <w:rsid w:val="7BEB72A9"/>
    <w:rsid w:val="7C8E04CA"/>
    <w:rsid w:val="7CAD7C4C"/>
    <w:rsid w:val="7E29D52B"/>
    <w:rsid w:val="7E494CAD"/>
    <w:rsid w:val="7EAED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4403F"/>
  <w15:chartTrackingRefBased/>
  <w15:docId w15:val="{5D89B42D-2F2B-4C24-83C1-3F3E1DC3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Pr>
      <w:rFonts w:asciiTheme="majorHAnsi" w:eastAsiaTheme="majorEastAsia" w:hAnsiTheme="majorHAnsi" w:cstheme="majorBidi"/>
      <w:color w:val="2F5496" w:themeColor="accent1" w:themeShade="BF"/>
      <w:sz w:val="26"/>
      <w:szCs w:val="26"/>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71404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uiPriority w:val="1"/>
    <w:rsid w:val="2E5747EF"/>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ce30c2-30d0-4bd6-bad4-95906e1f54b0">
      <Terms xmlns="http://schemas.microsoft.com/office/infopath/2007/PartnerControls"/>
    </lcf76f155ced4ddcb4097134ff3c332f>
    <TaxCatchAll xmlns="0cd5eed6-1364-46d7-9f69-ccf39155b7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B6B410BFFDB32429987DC3E1703F501" ma:contentTypeVersion="14" ma:contentTypeDescription="Crear nuevo documento." ma:contentTypeScope="" ma:versionID="cf8262b87409149fae3471e7b797cbea">
  <xsd:schema xmlns:xsd="http://www.w3.org/2001/XMLSchema" xmlns:xs="http://www.w3.org/2001/XMLSchema" xmlns:p="http://schemas.microsoft.com/office/2006/metadata/properties" xmlns:ns2="45ce30c2-30d0-4bd6-bad4-95906e1f54b0" xmlns:ns3="0cd5eed6-1364-46d7-9f69-ccf39155b7af" targetNamespace="http://schemas.microsoft.com/office/2006/metadata/properties" ma:root="true" ma:fieldsID="df2b0c810be3f719d6a6f2bde3aaf86b" ns2:_="" ns3:_="">
    <xsd:import namespace="45ce30c2-30d0-4bd6-bad4-95906e1f54b0"/>
    <xsd:import namespace="0cd5eed6-1364-46d7-9f69-ccf39155b7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ce30c2-30d0-4bd6-bad4-95906e1f5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8d204fa-6c57-4ed6-bc91-93595ac1d65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d5eed6-1364-46d7-9f69-ccf39155b7a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72ed400e-6f02-4ac6-bd3d-56202632909c}" ma:internalName="TaxCatchAll" ma:showField="CatchAllData" ma:web="0cd5eed6-1364-46d7-9f69-ccf39155b7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A43D1-560A-42F5-BBA0-2E45720E5DE9}">
  <ds:schemaRefs>
    <ds:schemaRef ds:uri="http://schemas.microsoft.com/office/2006/metadata/properties"/>
    <ds:schemaRef ds:uri="http://schemas.microsoft.com/office/infopath/2007/PartnerControls"/>
    <ds:schemaRef ds:uri="45ce30c2-30d0-4bd6-bad4-95906e1f54b0"/>
    <ds:schemaRef ds:uri="0cd5eed6-1364-46d7-9f69-ccf39155b7af"/>
  </ds:schemaRefs>
</ds:datastoreItem>
</file>

<file path=customXml/itemProps2.xml><?xml version="1.0" encoding="utf-8"?>
<ds:datastoreItem xmlns:ds="http://schemas.openxmlformats.org/officeDocument/2006/customXml" ds:itemID="{4CF5AB97-D5E5-46E8-800B-49567542D451}">
  <ds:schemaRefs>
    <ds:schemaRef ds:uri="http://schemas.microsoft.com/sharepoint/v3/contenttype/forms"/>
  </ds:schemaRefs>
</ds:datastoreItem>
</file>

<file path=customXml/itemProps3.xml><?xml version="1.0" encoding="utf-8"?>
<ds:datastoreItem xmlns:ds="http://schemas.openxmlformats.org/officeDocument/2006/customXml" ds:itemID="{7BE40D73-4FF9-4260-83F7-3261C9079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ce30c2-30d0-4bd6-bad4-95906e1f54b0"/>
    <ds:schemaRef ds:uri="0cd5eed6-1364-46d7-9f69-ccf39155b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493</Words>
  <Characters>2717</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Talavera Marcos</dc:creator>
  <cp:keywords/>
  <dc:description/>
  <cp:lastModifiedBy>Daniel Aguirre de Carcer Garcia</cp:lastModifiedBy>
  <cp:revision>40</cp:revision>
  <dcterms:created xsi:type="dcterms:W3CDTF">2022-06-08T09:16:00Z</dcterms:created>
  <dcterms:modified xsi:type="dcterms:W3CDTF">2022-11-10T15:25:00Z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0x010100BB6B410BFFDB32429987DC3E1703F501</vt:lpwstr>
  </property>
  <property fmtid="{D5CDD505-2E9C-101B-9397-08002B2CF9AE}" pid="3" name="MediaServiceImageTags">
    <vt:lpwstr/>
  </property>
</Properties>
</file>