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83D62" w14:textId="139DE64F" w:rsidR="00FB5150" w:rsidRDefault="00FB5150" w:rsidP="00FB515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40B0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  <w:r w:rsidR="00DC3C82">
        <w:rPr>
          <w:rFonts w:ascii="Times New Roman" w:hAnsi="Times New Roman" w:cs="Times New Roman"/>
          <w:b/>
          <w:bCs/>
          <w:sz w:val="24"/>
          <w:szCs w:val="24"/>
        </w:rPr>
        <w:t xml:space="preserve"> figure legends</w:t>
      </w:r>
      <w:r w:rsidR="00C7296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A78244" w14:textId="77777777" w:rsidR="00FB5150" w:rsidRPr="00F67AC0" w:rsidRDefault="00FB5150" w:rsidP="00FB515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AC0">
        <w:rPr>
          <w:rFonts w:ascii="Times New Roman" w:hAnsi="Times New Roman" w:cs="Times New Roman"/>
          <w:b/>
          <w:bCs/>
          <w:sz w:val="24"/>
          <w:szCs w:val="24"/>
        </w:rPr>
        <w:t>Table S1. Primer sequences used in our study.</w:t>
      </w:r>
    </w:p>
    <w:p w14:paraId="053D1DE2" w14:textId="77777777" w:rsidR="00FB5150" w:rsidRPr="00F67AC0" w:rsidRDefault="00FB5150" w:rsidP="00FB515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AC0">
        <w:rPr>
          <w:rFonts w:ascii="Times New Roman" w:hAnsi="Times New Roman" w:cs="Times New Roman"/>
          <w:b/>
          <w:bCs/>
          <w:sz w:val="24"/>
          <w:szCs w:val="24"/>
        </w:rPr>
        <w:t>Table S2. The list of 382 ferroptosis-related genes downloaded from FerrDb database.</w:t>
      </w:r>
    </w:p>
    <w:p w14:paraId="14B01CE7" w14:textId="77777777" w:rsidR="00FB5150" w:rsidRPr="00F67AC0" w:rsidRDefault="00FB5150" w:rsidP="00FB515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AC0">
        <w:rPr>
          <w:rFonts w:ascii="Times New Roman" w:hAnsi="Times New Roman" w:cs="Times New Roman"/>
          <w:b/>
          <w:bCs/>
          <w:sz w:val="24"/>
          <w:szCs w:val="24"/>
        </w:rPr>
        <w:t>Table S3. The list of 787 differentially expressed ferroptosis-related lncRNAs.</w:t>
      </w:r>
    </w:p>
    <w:p w14:paraId="2AAB81B0" w14:textId="77777777" w:rsidR="00FB5150" w:rsidRPr="00D2750D" w:rsidRDefault="00FB5150" w:rsidP="00FB51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7AC0">
        <w:rPr>
          <w:rFonts w:ascii="Times New Roman" w:hAnsi="Times New Roman" w:cs="Times New Roman"/>
          <w:b/>
          <w:bCs/>
          <w:sz w:val="24"/>
          <w:szCs w:val="24"/>
        </w:rPr>
        <w:t>Figure S1. 50 prognostic ferroptosis-related lncRNAs identified by univariate Cox regression analysis.</w:t>
      </w:r>
    </w:p>
    <w:p w14:paraId="4AEF66BD" w14:textId="77777777" w:rsidR="004441A8" w:rsidRPr="00FB5150" w:rsidRDefault="004441A8"/>
    <w:sectPr w:rsidR="004441A8" w:rsidRPr="00FB5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C948" w14:textId="77777777" w:rsidR="00C37309" w:rsidRDefault="00C37309" w:rsidP="00FB5150">
      <w:r>
        <w:separator/>
      </w:r>
    </w:p>
  </w:endnote>
  <w:endnote w:type="continuationSeparator" w:id="0">
    <w:p w14:paraId="3FBA7908" w14:textId="77777777" w:rsidR="00C37309" w:rsidRDefault="00C37309" w:rsidP="00FB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378E6" w14:textId="77777777" w:rsidR="00C37309" w:rsidRDefault="00C37309" w:rsidP="00FB5150">
      <w:r>
        <w:separator/>
      </w:r>
    </w:p>
  </w:footnote>
  <w:footnote w:type="continuationSeparator" w:id="0">
    <w:p w14:paraId="21758AE2" w14:textId="77777777" w:rsidR="00C37309" w:rsidRDefault="00C37309" w:rsidP="00FB5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A8"/>
    <w:rsid w:val="004441A8"/>
    <w:rsid w:val="009340B0"/>
    <w:rsid w:val="00C37309"/>
    <w:rsid w:val="00C72967"/>
    <w:rsid w:val="00DC3C82"/>
    <w:rsid w:val="00F35951"/>
    <w:rsid w:val="00FB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DADA1"/>
  <w15:chartTrackingRefBased/>
  <w15:docId w15:val="{0D8EB804-960B-4475-9BEF-F2C63973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1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1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51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51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51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子杰</dc:creator>
  <cp:keywords/>
  <dc:description/>
  <cp:lastModifiedBy>徐 子杰</cp:lastModifiedBy>
  <cp:revision>5</cp:revision>
  <dcterms:created xsi:type="dcterms:W3CDTF">2022-11-15T07:56:00Z</dcterms:created>
  <dcterms:modified xsi:type="dcterms:W3CDTF">2022-11-15T08:13:00Z</dcterms:modified>
</cp:coreProperties>
</file>