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007D" w14:textId="77777777" w:rsidR="00115751" w:rsidRPr="00115751" w:rsidRDefault="00115751" w:rsidP="00115751">
      <w:pPr>
        <w:widowControl/>
        <w:tabs>
          <w:tab w:val="num" w:pos="567"/>
        </w:tabs>
        <w:adjustRightInd w:val="0"/>
        <w:snapToGrid w:val="0"/>
        <w:spacing w:line="480" w:lineRule="auto"/>
        <w:ind w:left="567" w:hanging="567"/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115751"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>Supplementary material</w:t>
      </w:r>
    </w:p>
    <w:p w14:paraId="50D79613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</w:p>
    <w:p w14:paraId="79A5287F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115751">
        <w:rPr>
          <w:rFonts w:ascii="Times New Roman" w:hAnsi="Times New Roman" w:cs="Times New Roman"/>
          <w:sz w:val="24"/>
          <w:szCs w:val="24"/>
        </w:rPr>
        <w:t>Information of necroptosis-related genes from GeneCards database.</w:t>
      </w:r>
    </w:p>
    <w:p w14:paraId="500F88EC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S2. </w:t>
      </w:r>
      <w:r w:rsidRPr="00115751">
        <w:rPr>
          <w:rFonts w:ascii="Times New Roman" w:hAnsi="Times New Roman" w:cs="Times New Roman"/>
          <w:kern w:val="0"/>
          <w:sz w:val="24"/>
          <w:szCs w:val="24"/>
        </w:rPr>
        <w:t xml:space="preserve">Necroptosis-related </w:t>
      </w:r>
      <w:proofErr w:type="spellStart"/>
      <w:r w:rsidRPr="00115751">
        <w:rPr>
          <w:rFonts w:ascii="Times New Roman" w:hAnsi="Times New Roman" w:cs="Times New Roman"/>
          <w:kern w:val="0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kern w:val="0"/>
          <w:sz w:val="24"/>
          <w:szCs w:val="24"/>
        </w:rPr>
        <w:t xml:space="preserve"> and mRNAs involved in the co-expression network.</w:t>
      </w:r>
    </w:p>
    <w:p w14:paraId="7F049814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r w:rsidRPr="00115751">
        <w:rPr>
          <w:rFonts w:ascii="Times New Roman" w:hAnsi="Times New Roman" w:cs="Times New Roman"/>
          <w:kern w:val="0"/>
          <w:sz w:val="24"/>
          <w:szCs w:val="24"/>
        </w:rPr>
        <w:t xml:space="preserve">Information of differentially-expressed necroptosis-related </w:t>
      </w:r>
      <w:proofErr w:type="spellStart"/>
      <w:r w:rsidRPr="00115751">
        <w:rPr>
          <w:rFonts w:ascii="Times New Roman" w:hAnsi="Times New Roman" w:cs="Times New Roman"/>
          <w:kern w:val="0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E4B2901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S4. </w:t>
      </w:r>
      <w:r w:rsidRPr="00115751">
        <w:rPr>
          <w:rFonts w:ascii="Times New Roman" w:hAnsi="Times New Roman" w:cs="Times New Roman"/>
          <w:kern w:val="0"/>
          <w:sz w:val="24"/>
          <w:szCs w:val="24"/>
        </w:rPr>
        <w:t>Information of patients enrolled in training, test, and overall sets (1 represents dead, and 0 represents alive).</w:t>
      </w:r>
    </w:p>
    <w:p w14:paraId="54710160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S5. </w:t>
      </w:r>
      <w:r w:rsidRPr="00115751">
        <w:rPr>
          <w:rFonts w:ascii="Times New Roman" w:hAnsi="Times New Roman" w:cs="Times New Roman"/>
          <w:sz w:val="24"/>
          <w:szCs w:val="24"/>
        </w:rPr>
        <w:t>Results of univariate Cox regression analysis.</w:t>
      </w:r>
    </w:p>
    <w:p w14:paraId="0E4E9D04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S6. </w:t>
      </w:r>
      <w:r w:rsidRPr="00115751">
        <w:rPr>
          <w:rFonts w:ascii="Times New Roman" w:hAnsi="Times New Roman" w:cs="Times New Roman"/>
          <w:sz w:val="24"/>
          <w:szCs w:val="24"/>
        </w:rPr>
        <w:t xml:space="preserve">Regulation between the four prognostic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and the corresponding genes.</w:t>
      </w:r>
    </w:p>
    <w:p w14:paraId="78EA4D75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S7. </w:t>
      </w:r>
      <w:r w:rsidRPr="00115751">
        <w:rPr>
          <w:rFonts w:ascii="Times New Roman" w:hAnsi="Times New Roman" w:cs="Times New Roman"/>
          <w:sz w:val="24"/>
          <w:szCs w:val="24"/>
        </w:rPr>
        <w:t>Results of GO and KEGG analysis.</w:t>
      </w:r>
    </w:p>
    <w:p w14:paraId="4FAA8BBF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S8. </w:t>
      </w:r>
      <w:r w:rsidRPr="00115751">
        <w:rPr>
          <w:rFonts w:ascii="Times New Roman" w:hAnsi="Times New Roman" w:cs="Times New Roman"/>
          <w:sz w:val="24"/>
          <w:szCs w:val="24"/>
        </w:rPr>
        <w:t>Results of stromal score, immune score, and ESTIMATE score of each sample calculated by the ESTIMATE method.</w:t>
      </w:r>
    </w:p>
    <w:p w14:paraId="5CBFFD2B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>Table S9.</w:t>
      </w:r>
      <w:r w:rsidRPr="00115751">
        <w:rPr>
          <w:rFonts w:ascii="Times New Roman" w:hAnsi="Times New Roman" w:cs="Times New Roman"/>
          <w:sz w:val="24"/>
          <w:szCs w:val="24"/>
        </w:rPr>
        <w:t xml:space="preserve"> The correlation between immune cell infiltration and risk scores through based on XCELL, TIMER, QUANTISEQ, MCPCOUNTER, EPIC, CIBERSORT-ABS, and CIBERSORT. </w:t>
      </w:r>
    </w:p>
    <w:p w14:paraId="4C605235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S10. </w:t>
      </w:r>
      <w:r w:rsidRPr="00115751">
        <w:rPr>
          <w:rFonts w:ascii="Times New Roman" w:hAnsi="Times New Roman" w:cs="Times New Roman"/>
          <w:sz w:val="24"/>
          <w:szCs w:val="24"/>
        </w:rPr>
        <w:t>Count of tumor mutant burden in each sample.</w:t>
      </w:r>
    </w:p>
    <w:p w14:paraId="263E9133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Table S11. </w:t>
      </w:r>
      <w:r w:rsidRPr="00115751">
        <w:rPr>
          <w:rFonts w:ascii="Times New Roman" w:hAnsi="Times New Roman" w:cs="Times New Roman"/>
          <w:sz w:val="24"/>
          <w:szCs w:val="24"/>
        </w:rPr>
        <w:t>Count of total number of somatic gene mutations.</w:t>
      </w:r>
    </w:p>
    <w:p w14:paraId="4955121E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Additional file 2: Figure S1. </w:t>
      </w:r>
      <w:r w:rsidRPr="00115751">
        <w:rPr>
          <w:rFonts w:ascii="Times New Roman" w:hAnsi="Times New Roman" w:cs="Times New Roman"/>
          <w:sz w:val="24"/>
          <w:szCs w:val="24"/>
        </w:rPr>
        <w:t>Construction of the necroptosis-related lncRNA–mRNA co-expression network.</w:t>
      </w:r>
    </w:p>
    <w:p w14:paraId="5FA4D267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Additional file 3: Figure S2. </w:t>
      </w:r>
      <w:r w:rsidRPr="00115751">
        <w:rPr>
          <w:rFonts w:ascii="Times New Roman" w:hAnsi="Times New Roman" w:cs="Times New Roman"/>
          <w:sz w:val="24"/>
          <w:szCs w:val="24"/>
        </w:rPr>
        <w:t xml:space="preserve">Volcano map shows the top 50 differentially expressed necroptosis-related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between normal and tumor tissues. Red dots indicate highly expressed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in tumor tissues, while green dots indicate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with low expression in tumor tissues.</w:t>
      </w:r>
    </w:p>
    <w:p w14:paraId="51289A86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4: Figure S3. </w:t>
      </w:r>
      <w:r w:rsidRPr="00115751">
        <w:rPr>
          <w:rFonts w:ascii="Times New Roman" w:hAnsi="Times New Roman" w:cs="Times New Roman"/>
          <w:sz w:val="24"/>
          <w:szCs w:val="24"/>
        </w:rPr>
        <w:t xml:space="preserve">Heatmap shows the expression level of the necroptosis-related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in normal and tumor tissues.</w:t>
      </w:r>
    </w:p>
    <w:p w14:paraId="1DBCF01B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 xml:space="preserve">Additional file 5: Figure S4. </w:t>
      </w:r>
      <w:r w:rsidRPr="00115751">
        <w:rPr>
          <w:rFonts w:ascii="Times New Roman" w:hAnsi="Times New Roman" w:cs="Times New Roman"/>
          <w:sz w:val="24"/>
          <w:szCs w:val="24"/>
        </w:rPr>
        <w:t xml:space="preserve">Forest plots show the results of the univariate Cox regression analysis between the necroptosis-related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and overall survival.</w:t>
      </w:r>
    </w:p>
    <w:p w14:paraId="74540516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>Additional file 6: Figure S5.</w:t>
      </w:r>
      <w:r w:rsidRPr="00115751">
        <w:rPr>
          <w:rFonts w:ascii="Times New Roman" w:hAnsi="Times New Roman" w:cs="Times New Roman"/>
          <w:sz w:val="24"/>
          <w:szCs w:val="24"/>
        </w:rPr>
        <w:t xml:space="preserve"> Sankey diagram presents the relationship between the necroptosis-related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and genes.</w:t>
      </w:r>
    </w:p>
    <w:p w14:paraId="56540F8E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>Additional file 7: Figure S6.</w:t>
      </w:r>
      <w:r w:rsidRPr="00115751">
        <w:rPr>
          <w:rFonts w:ascii="Times New Roman" w:hAnsi="Times New Roman" w:cs="Times New Roman"/>
          <w:sz w:val="24"/>
          <w:szCs w:val="24"/>
        </w:rPr>
        <w:t xml:space="preserve"> Correlation between the three prognostic necroptosis-related </w:t>
      </w:r>
      <w:proofErr w:type="spellStart"/>
      <w:r w:rsidRPr="00115751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115751">
        <w:rPr>
          <w:rFonts w:ascii="Times New Roman" w:hAnsi="Times New Roman" w:cs="Times New Roman"/>
          <w:sz w:val="24"/>
          <w:szCs w:val="24"/>
        </w:rPr>
        <w:t xml:space="preserve"> and 83 necroptosis-related genes in the TCGA-COAD cohort. The color of each unit shows the degree of correlation (* indicates p &lt; 0.05, ** indicates p &lt; 0.01, and *** indicates p &lt; 0.001).</w:t>
      </w:r>
    </w:p>
    <w:p w14:paraId="71E5B072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>Additional file 8: Figure S7.</w:t>
      </w:r>
      <w:r w:rsidRPr="00115751">
        <w:rPr>
          <w:rFonts w:ascii="Times New Roman" w:hAnsi="Times New Roman" w:cs="Times New Roman"/>
          <w:sz w:val="24"/>
          <w:szCs w:val="24"/>
        </w:rPr>
        <w:t xml:space="preserve"> Bubble diagram shows the correlation between immune cells and risk scores based on XCELL, TIMER, QUANTISEQ, MCPCOUNTER, EPIC, CIBERSORT-ABS, and CIBERSORT.</w:t>
      </w:r>
    </w:p>
    <w:p w14:paraId="13AEFAE8" w14:textId="77777777" w:rsidR="00115751" w:rsidRPr="00115751" w:rsidRDefault="00115751" w:rsidP="0011575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751">
        <w:rPr>
          <w:rFonts w:ascii="Times New Roman" w:hAnsi="Times New Roman" w:cs="Times New Roman"/>
          <w:b/>
          <w:bCs/>
          <w:sz w:val="24"/>
          <w:szCs w:val="24"/>
        </w:rPr>
        <w:t>Additional file 9: Figure S8.</w:t>
      </w:r>
      <w:r w:rsidRPr="00115751">
        <w:rPr>
          <w:rFonts w:ascii="Times New Roman" w:hAnsi="Times New Roman" w:cs="Times New Roman"/>
          <w:sz w:val="24"/>
          <w:szCs w:val="24"/>
        </w:rPr>
        <w:t xml:space="preserve"> Comparison of tumor mutation burden between the high-risk and low-risk groups, and the correlation between tumor mutation burden and risk scores.</w:t>
      </w:r>
    </w:p>
    <w:p w14:paraId="03C670AD" w14:textId="77777777" w:rsidR="00DC3866" w:rsidRPr="00115751" w:rsidRDefault="00DC3866"/>
    <w:sectPr w:rsidR="00DC3866" w:rsidRPr="00115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66"/>
    <w:rsid w:val="00115751"/>
    <w:rsid w:val="00D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4291"/>
  <w15:chartTrackingRefBased/>
  <w15:docId w15:val="{309D9183-F1EE-490E-BBDB-82760B5D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7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子杰</dc:creator>
  <cp:keywords/>
  <dc:description/>
  <cp:lastModifiedBy>徐 子杰</cp:lastModifiedBy>
  <cp:revision>2</cp:revision>
  <dcterms:created xsi:type="dcterms:W3CDTF">2022-12-17T15:44:00Z</dcterms:created>
  <dcterms:modified xsi:type="dcterms:W3CDTF">2022-12-17T15:50:00Z</dcterms:modified>
</cp:coreProperties>
</file>