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6D1F7" w14:textId="77777777" w:rsidR="00EE7DE2" w:rsidRPr="00EE7DE2" w:rsidRDefault="00EE7DE2" w:rsidP="00E4582B">
      <w:pPr>
        <w:spacing w:line="480" w:lineRule="auto"/>
        <w:jc w:val="both"/>
        <w:rPr>
          <w:rFonts w:asciiTheme="minorHAnsi" w:hAnsiTheme="minorHAnsi" w:cstheme="minorBidi"/>
          <w:b/>
          <w:bCs/>
        </w:rPr>
      </w:pPr>
    </w:p>
    <w:p w14:paraId="433E8953" w14:textId="07395E40" w:rsidR="4742BF4D" w:rsidRDefault="4742BF4D" w:rsidP="00E4582B">
      <w:pPr>
        <w:spacing w:line="480" w:lineRule="auto"/>
        <w:jc w:val="both"/>
        <w:rPr>
          <w:b/>
          <w:bCs/>
        </w:rPr>
      </w:pPr>
    </w:p>
    <w:p w14:paraId="418E6C7F" w14:textId="77777777" w:rsidR="005D02B6" w:rsidRPr="00EE7DE2" w:rsidRDefault="005D02B6" w:rsidP="00E4582B">
      <w:pPr>
        <w:autoSpaceDE w:val="0"/>
        <w:autoSpaceDN w:val="0"/>
        <w:adjustRightInd w:val="0"/>
        <w:spacing w:line="480" w:lineRule="auto"/>
        <w:jc w:val="both"/>
        <w:rPr>
          <w:rFonts w:asciiTheme="minorHAnsi" w:eastAsiaTheme="minorHAnsi" w:hAnsiTheme="minorHAnsi" w:cstheme="minorHAnsi"/>
          <w:b/>
          <w:bCs/>
        </w:rPr>
      </w:pPr>
      <w:r w:rsidRPr="00EE7DE2">
        <w:rPr>
          <w:rFonts w:asciiTheme="minorHAnsi" w:eastAsiaTheme="minorHAnsi" w:hAnsiTheme="minorHAnsi" w:cstheme="minorHAnsi"/>
          <w:b/>
          <w:bCs/>
        </w:rPr>
        <w:t>Supplementary Figure 1: Quantification of axon degeneration index.</w:t>
      </w:r>
    </w:p>
    <w:p w14:paraId="0FE52386" w14:textId="77777777" w:rsidR="005D02B6" w:rsidRPr="00EE7DE2" w:rsidRDefault="005D02B6" w:rsidP="00E4582B">
      <w:pPr>
        <w:autoSpaceDE w:val="0"/>
        <w:autoSpaceDN w:val="0"/>
        <w:adjustRightInd w:val="0"/>
        <w:spacing w:line="480" w:lineRule="auto"/>
        <w:jc w:val="both"/>
        <w:rPr>
          <w:rFonts w:asciiTheme="minorHAnsi" w:eastAsiaTheme="minorHAnsi" w:hAnsiTheme="minorHAnsi" w:cstheme="minorHAnsi"/>
        </w:rPr>
      </w:pPr>
    </w:p>
    <w:p w14:paraId="649087EC" w14:textId="77777777" w:rsidR="005D02B6" w:rsidRPr="001D0470" w:rsidRDefault="005D02B6" w:rsidP="00E4582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jc w:val="both"/>
        <w:rPr>
          <w:rFonts w:eastAsiaTheme="minorEastAsia"/>
        </w:rPr>
      </w:pPr>
      <w:r w:rsidRPr="4742BF4D">
        <w:t xml:space="preserve">Representative original images of untreated axons (top) and 5 nM vincristine-treated axons (bottom). </w:t>
      </w:r>
    </w:p>
    <w:p w14:paraId="17BB4413" w14:textId="77777777" w:rsidR="005D02B6" w:rsidRDefault="005D02B6" w:rsidP="00E4582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jc w:val="both"/>
      </w:pPr>
      <w:r w:rsidRPr="4742BF4D">
        <w:t>Original images were binarized and adjusted to a determined threshold in ImageJ that was used for all images across biological and technical replicates. Area (px</w:t>
      </w:r>
      <w:r w:rsidRPr="4742BF4D">
        <w:rPr>
          <w:vertAlign w:val="superscript"/>
        </w:rPr>
        <w:t>2</w:t>
      </w:r>
      <w:r w:rsidRPr="4742BF4D">
        <w:t xml:space="preserve">) of the black pixels in the binarized image is considered total axonal area. </w:t>
      </w:r>
    </w:p>
    <w:p w14:paraId="062F507E" w14:textId="77777777" w:rsidR="005D02B6" w:rsidRDefault="005D02B6" w:rsidP="00E4582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jc w:val="both"/>
      </w:pPr>
      <w:r w:rsidRPr="4742BF4D">
        <w:t>Binarized images are analyzed for particles with pixel units greater than or equal to 2, with a circularity of greater than or equal to 0.2. Total area of these particles is considered the degenerated area (px</w:t>
      </w:r>
      <w:r w:rsidRPr="4742BF4D">
        <w:rPr>
          <w:vertAlign w:val="superscript"/>
        </w:rPr>
        <w:t>2</w:t>
      </w:r>
      <w:r w:rsidRPr="4742BF4D">
        <w:t xml:space="preserve">). </w:t>
      </w:r>
      <w:r>
        <w:tab/>
      </w:r>
    </w:p>
    <w:p w14:paraId="602F9F1A" w14:textId="77777777" w:rsidR="005D02B6" w:rsidRPr="001D0470" w:rsidRDefault="005D02B6" w:rsidP="00E4582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jc w:val="both"/>
      </w:pPr>
      <w:r w:rsidRPr="4742BF4D">
        <w:t>The axon degeneration index = degenerated area/ total axonal area.</w:t>
      </w:r>
    </w:p>
    <w:p w14:paraId="7C227015" w14:textId="77777777" w:rsidR="005D02B6" w:rsidRDefault="005D02B6" w:rsidP="00E4582B">
      <w:pPr>
        <w:spacing w:line="480" w:lineRule="auto"/>
        <w:jc w:val="both"/>
        <w:rPr>
          <w:rFonts w:asciiTheme="minorHAnsi" w:hAnsiTheme="minorHAnsi" w:cstheme="minorBidi"/>
          <w:b/>
          <w:bCs/>
        </w:rPr>
      </w:pPr>
    </w:p>
    <w:p w14:paraId="717C95FB" w14:textId="4E53B3B8" w:rsidR="005D02B6" w:rsidRPr="00EE7DE2" w:rsidRDefault="005D02B6" w:rsidP="00E4582B">
      <w:pPr>
        <w:spacing w:line="480" w:lineRule="auto"/>
        <w:jc w:val="both"/>
        <w:rPr>
          <w:rFonts w:asciiTheme="minorHAnsi" w:hAnsiTheme="minorHAnsi" w:cstheme="minorBidi"/>
          <w:b/>
          <w:bCs/>
        </w:rPr>
      </w:pPr>
      <w:r w:rsidRPr="4742BF4D">
        <w:rPr>
          <w:rFonts w:asciiTheme="minorHAnsi" w:hAnsiTheme="minorHAnsi" w:cstheme="minorBidi"/>
          <w:b/>
          <w:bCs/>
        </w:rPr>
        <w:t>Supplementary Figure 2: Mass spectrometry of i</w:t>
      </w:r>
      <w:r w:rsidRPr="4742BF4D">
        <w:rPr>
          <w:rFonts w:asciiTheme="minorHAnsi" w:hAnsiTheme="minorHAnsi" w:cstheme="minorBidi"/>
          <w:b/>
          <w:bCs/>
          <w:vertAlign w:val="superscript"/>
        </w:rPr>
        <w:t>3</w:t>
      </w:r>
      <w:r w:rsidRPr="4742BF4D">
        <w:rPr>
          <w:rFonts w:asciiTheme="minorHAnsi" w:hAnsiTheme="minorHAnsi" w:cstheme="minorBidi"/>
          <w:b/>
          <w:bCs/>
        </w:rPr>
        <w:t>Neuron cell bodies and axons reveals differences in protein composition.</w:t>
      </w:r>
    </w:p>
    <w:p w14:paraId="5392A2BD" w14:textId="77777777" w:rsidR="005D02B6" w:rsidRPr="00EE7DE2" w:rsidRDefault="005D02B6" w:rsidP="00E4582B">
      <w:pPr>
        <w:spacing w:line="480" w:lineRule="auto"/>
        <w:jc w:val="both"/>
        <w:rPr>
          <w:rFonts w:asciiTheme="minorHAnsi" w:hAnsiTheme="minorHAnsi" w:cstheme="minorHAnsi"/>
          <w:b/>
          <w:bCs/>
        </w:rPr>
      </w:pPr>
    </w:p>
    <w:p w14:paraId="3B79FD82" w14:textId="77777777" w:rsidR="005D02B6" w:rsidRPr="00EE7DE2" w:rsidRDefault="005D02B6" w:rsidP="00E4582B">
      <w:pPr>
        <w:pStyle w:val="ListParagraph"/>
        <w:numPr>
          <w:ilvl w:val="0"/>
          <w:numId w:val="8"/>
        </w:numPr>
        <w:spacing w:line="480" w:lineRule="auto"/>
        <w:jc w:val="both"/>
      </w:pPr>
      <w:r w:rsidRPr="4742BF4D">
        <w:t xml:space="preserve">Volcano plot showing the significant proteins up- and down-regulated in axons versus cell bodies of </w:t>
      </w:r>
      <w:r w:rsidRPr="4742BF4D">
        <w:rPr>
          <w:rFonts w:ascii="Calibri" w:hAnsi="Calibri" w:cs="Calibri"/>
        </w:rPr>
        <w:t>i</w:t>
      </w:r>
      <w:r w:rsidRPr="4742BF4D">
        <w:rPr>
          <w:rFonts w:ascii="Calibri" w:hAnsi="Calibri" w:cs="Calibri"/>
          <w:vertAlign w:val="superscript"/>
        </w:rPr>
        <w:t>3</w:t>
      </w:r>
      <w:r w:rsidRPr="4742BF4D">
        <w:rPr>
          <w:rFonts w:ascii="Calibri" w:hAnsi="Calibri" w:cs="Calibri"/>
        </w:rPr>
        <w:t>Neurons</w:t>
      </w:r>
      <w:r w:rsidRPr="4742BF4D">
        <w:t>. (&gt;2 unique peptides detected, Fold Change (FC) &gt;1.5, p. adj. value &lt;0.05.)</w:t>
      </w:r>
    </w:p>
    <w:p w14:paraId="51FF3DB1" w14:textId="77777777" w:rsidR="005D02B6" w:rsidRPr="00EE7DE2" w:rsidRDefault="005D02B6" w:rsidP="00E4582B">
      <w:pPr>
        <w:pStyle w:val="ListParagraph"/>
        <w:numPr>
          <w:ilvl w:val="0"/>
          <w:numId w:val="8"/>
        </w:numPr>
        <w:spacing w:line="480" w:lineRule="auto"/>
        <w:jc w:val="both"/>
      </w:pPr>
      <w:r w:rsidRPr="4742BF4D">
        <w:t>Dot plot showing top 20 enriched biological process gene ontology analysis categories for proteins enriched in the cell body of i</w:t>
      </w:r>
      <w:r w:rsidRPr="4742BF4D">
        <w:rPr>
          <w:vertAlign w:val="superscript"/>
        </w:rPr>
        <w:t>3</w:t>
      </w:r>
      <w:r w:rsidRPr="4742BF4D">
        <w:t>Neurons ranked by gene ratio.</w:t>
      </w:r>
    </w:p>
    <w:p w14:paraId="47EE847E" w14:textId="77777777" w:rsidR="005D02B6" w:rsidRPr="00EE7DE2" w:rsidRDefault="005D02B6" w:rsidP="00E4582B">
      <w:pPr>
        <w:pStyle w:val="ListParagraph"/>
        <w:numPr>
          <w:ilvl w:val="0"/>
          <w:numId w:val="8"/>
        </w:numPr>
        <w:spacing w:line="480" w:lineRule="auto"/>
        <w:jc w:val="both"/>
      </w:pPr>
      <w:r w:rsidRPr="4742BF4D">
        <w:lastRenderedPageBreak/>
        <w:t xml:space="preserve">Dot plot showing top 20 enriched biological process gene ontology analysis categories for proteins enriched in the axons of </w:t>
      </w:r>
      <w:r w:rsidRPr="4742BF4D">
        <w:rPr>
          <w:rFonts w:ascii="Calibri" w:hAnsi="Calibri" w:cs="Calibri"/>
        </w:rPr>
        <w:t>i</w:t>
      </w:r>
      <w:r w:rsidRPr="4742BF4D">
        <w:rPr>
          <w:rFonts w:ascii="Calibri" w:hAnsi="Calibri" w:cs="Calibri"/>
          <w:vertAlign w:val="superscript"/>
        </w:rPr>
        <w:t>3</w:t>
      </w:r>
      <w:r w:rsidRPr="4742BF4D">
        <w:rPr>
          <w:rFonts w:ascii="Calibri" w:hAnsi="Calibri" w:cs="Calibri"/>
        </w:rPr>
        <w:t>Neurons ranked by gene ratio</w:t>
      </w:r>
      <w:r w:rsidRPr="4742BF4D">
        <w:t>.</w:t>
      </w:r>
    </w:p>
    <w:p w14:paraId="4163FFD9" w14:textId="77777777" w:rsidR="005D02B6" w:rsidRDefault="005D02B6" w:rsidP="00E4582B">
      <w:pPr>
        <w:spacing w:line="480" w:lineRule="auto"/>
        <w:jc w:val="both"/>
        <w:rPr>
          <w:rFonts w:asciiTheme="minorHAnsi" w:hAnsiTheme="minorHAnsi" w:cstheme="minorBidi"/>
          <w:b/>
          <w:bCs/>
        </w:rPr>
      </w:pPr>
    </w:p>
    <w:p w14:paraId="76DD6FF1" w14:textId="7D806307" w:rsidR="005D02B6" w:rsidRPr="00EE7DE2" w:rsidRDefault="005D02B6" w:rsidP="00E4582B">
      <w:pPr>
        <w:spacing w:line="480" w:lineRule="auto"/>
        <w:jc w:val="both"/>
        <w:rPr>
          <w:rFonts w:asciiTheme="minorHAnsi" w:hAnsiTheme="minorHAnsi" w:cstheme="minorBidi"/>
          <w:b/>
          <w:bCs/>
        </w:rPr>
      </w:pPr>
      <w:r w:rsidRPr="4742BF4D">
        <w:rPr>
          <w:rFonts w:asciiTheme="minorHAnsi" w:hAnsiTheme="minorHAnsi" w:cstheme="minorBidi"/>
          <w:b/>
          <w:bCs/>
        </w:rPr>
        <w:t>Supplementary Figure 3: Vincristine does not induce mitochondrial fission in i</w:t>
      </w:r>
      <w:r w:rsidRPr="4742BF4D">
        <w:rPr>
          <w:rFonts w:asciiTheme="minorHAnsi" w:hAnsiTheme="minorHAnsi" w:cstheme="minorBidi"/>
          <w:b/>
          <w:bCs/>
          <w:vertAlign w:val="superscript"/>
        </w:rPr>
        <w:t>3</w:t>
      </w:r>
      <w:r w:rsidRPr="4742BF4D">
        <w:rPr>
          <w:rFonts w:asciiTheme="minorHAnsi" w:hAnsiTheme="minorHAnsi" w:cstheme="minorBidi"/>
          <w:b/>
          <w:bCs/>
        </w:rPr>
        <w:t>Neurons.</w:t>
      </w:r>
    </w:p>
    <w:p w14:paraId="281C6F2E" w14:textId="77777777" w:rsidR="005D02B6" w:rsidRPr="00EE7DE2" w:rsidRDefault="005D02B6" w:rsidP="00E4582B">
      <w:pPr>
        <w:spacing w:line="480" w:lineRule="auto"/>
        <w:jc w:val="both"/>
        <w:rPr>
          <w:rFonts w:asciiTheme="minorHAnsi" w:hAnsiTheme="minorHAnsi" w:cstheme="minorHAnsi"/>
          <w:b/>
          <w:bCs/>
        </w:rPr>
      </w:pPr>
    </w:p>
    <w:p w14:paraId="65E210A6" w14:textId="13762EA0" w:rsidR="005D02B6" w:rsidRPr="00EE7DE2" w:rsidRDefault="005D02B6" w:rsidP="00E4582B">
      <w:pPr>
        <w:pStyle w:val="ListParagraph"/>
        <w:numPr>
          <w:ilvl w:val="0"/>
          <w:numId w:val="4"/>
        </w:numPr>
        <w:spacing w:line="480" w:lineRule="auto"/>
        <w:jc w:val="both"/>
      </w:pPr>
      <w:r w:rsidRPr="4742BF4D">
        <w:t xml:space="preserve">Representative western blots of </w:t>
      </w:r>
      <w:r w:rsidRPr="4742BF4D">
        <w:rPr>
          <w:rFonts w:ascii="Calibri" w:hAnsi="Calibri" w:cs="Calibri"/>
        </w:rPr>
        <w:t>i</w:t>
      </w:r>
      <w:r w:rsidRPr="4742BF4D">
        <w:rPr>
          <w:rFonts w:ascii="Calibri" w:hAnsi="Calibri" w:cs="Calibri"/>
          <w:vertAlign w:val="superscript"/>
        </w:rPr>
        <w:t>3</w:t>
      </w:r>
      <w:r w:rsidRPr="4742BF4D">
        <w:rPr>
          <w:rFonts w:ascii="Calibri" w:hAnsi="Calibri" w:cs="Calibri"/>
        </w:rPr>
        <w:t xml:space="preserve">Neurons </w:t>
      </w:r>
      <w:r w:rsidRPr="4742BF4D">
        <w:t xml:space="preserve">treated with 5 nM vincristine for 2, 4, 8, and 24 hours. Immunoblot for p-S616 DRP1, total DRP1 and loading control </w:t>
      </w:r>
      <w:r w:rsidRPr="4742BF4D">
        <w:rPr>
          <w:rFonts w:ascii="Symbol" w:eastAsia="Symbol" w:hAnsi="Symbol"/>
        </w:rPr>
        <w:t>b</w:t>
      </w:r>
      <w:r w:rsidRPr="4742BF4D">
        <w:t xml:space="preserve"> actin.</w:t>
      </w:r>
      <w:r>
        <w:t xml:space="preserve"> Uncropped western blots presented in Sup Fig 5.</w:t>
      </w:r>
    </w:p>
    <w:p w14:paraId="2CA5A173" w14:textId="77777777" w:rsidR="005D02B6" w:rsidRPr="00EE7DE2" w:rsidRDefault="005D02B6" w:rsidP="00E4582B">
      <w:pPr>
        <w:pStyle w:val="ListParagraph"/>
        <w:numPr>
          <w:ilvl w:val="0"/>
          <w:numId w:val="4"/>
        </w:numPr>
        <w:spacing w:line="480" w:lineRule="auto"/>
        <w:jc w:val="both"/>
      </w:pPr>
      <w:r w:rsidRPr="4742BF4D">
        <w:t>Quantification of pDRP1 (S616)/ total DRP1 levels in 5 nM i</w:t>
      </w:r>
      <w:r w:rsidRPr="4742BF4D">
        <w:rPr>
          <w:vertAlign w:val="superscript"/>
        </w:rPr>
        <w:t>3</w:t>
      </w:r>
      <w:r w:rsidRPr="4742BF4D">
        <w:t xml:space="preserve">Neurons treated with 5 nM vincristine for 2, 4, 8, and 24 hours. Results normalized to UT. Results are represented as mean ± SEM. N=4 independent differentiations. One-way ANOVA. No significant changes observed. </w:t>
      </w:r>
    </w:p>
    <w:p w14:paraId="692F76E4" w14:textId="77777777" w:rsidR="005D02B6" w:rsidRPr="00EE7DE2" w:rsidRDefault="005D02B6" w:rsidP="00E4582B">
      <w:pPr>
        <w:pStyle w:val="ListParagraph"/>
        <w:numPr>
          <w:ilvl w:val="0"/>
          <w:numId w:val="4"/>
        </w:numPr>
        <w:spacing w:line="480" w:lineRule="auto"/>
        <w:jc w:val="both"/>
      </w:pPr>
      <w:r w:rsidRPr="4742BF4D">
        <w:t>Representative images of mitoGFP transduced neurons treated with 5 nM vincristine for 0, 2,4 and 8 hours. Dotted line represents the axon. Scale bar = 10 µm.</w:t>
      </w:r>
    </w:p>
    <w:p w14:paraId="5CF0F8EB" w14:textId="77777777" w:rsidR="005D02B6" w:rsidRPr="00EE7DE2" w:rsidRDefault="005D02B6" w:rsidP="00E4582B">
      <w:pPr>
        <w:pStyle w:val="ListParagraph"/>
        <w:numPr>
          <w:ilvl w:val="0"/>
          <w:numId w:val="4"/>
        </w:numPr>
        <w:spacing w:line="480" w:lineRule="auto"/>
        <w:jc w:val="both"/>
      </w:pPr>
      <w:r w:rsidRPr="00EE7DE2">
        <w:t xml:space="preserve">Quantification of the number of axonal mitochondrial particles per 100 </w:t>
      </w:r>
      <w:commentRangeStart w:id="0"/>
      <w:commentRangeStart w:id="1"/>
      <w:r w:rsidRPr="00EE7DE2">
        <w:t>µm</w:t>
      </w:r>
      <w:commentRangeEnd w:id="0"/>
      <w:r w:rsidRPr="00EE7DE2">
        <w:rPr>
          <w:rStyle w:val="CommentReference"/>
          <w:sz w:val="24"/>
          <w:szCs w:val="24"/>
        </w:rPr>
        <w:commentReference w:id="0"/>
      </w:r>
      <w:commentRangeEnd w:id="1"/>
      <w:r w:rsidRPr="00EE7DE2">
        <w:rPr>
          <w:rStyle w:val="CommentReference"/>
          <w:sz w:val="24"/>
          <w:szCs w:val="24"/>
        </w:rPr>
        <w:commentReference w:id="1"/>
      </w:r>
      <w:r w:rsidRPr="00EE7DE2">
        <w:t xml:space="preserve"> 0, 1, 4 and 8 hours after 5 nM vincristine. N= 28 axons from 3 different differentiations.</w:t>
      </w:r>
    </w:p>
    <w:p w14:paraId="48C2EA17" w14:textId="77777777" w:rsidR="005D02B6" w:rsidRDefault="005D02B6" w:rsidP="00E4582B">
      <w:pPr>
        <w:spacing w:line="480" w:lineRule="auto"/>
        <w:jc w:val="both"/>
        <w:rPr>
          <w:rFonts w:asciiTheme="minorHAnsi" w:hAnsiTheme="minorHAnsi" w:cstheme="minorHAnsi"/>
          <w:b/>
          <w:bCs/>
        </w:rPr>
      </w:pPr>
    </w:p>
    <w:p w14:paraId="3079BE87" w14:textId="1B05CE2A" w:rsidR="00EE7DE2" w:rsidRPr="00EE7DE2" w:rsidRDefault="00EE7DE2" w:rsidP="00E4582B">
      <w:pPr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EE7DE2">
        <w:rPr>
          <w:rFonts w:asciiTheme="minorHAnsi" w:hAnsiTheme="minorHAnsi" w:cstheme="minorHAnsi"/>
          <w:b/>
          <w:bCs/>
        </w:rPr>
        <w:t>Supplementary Figure 4: SARM1 knockout generation</w:t>
      </w:r>
    </w:p>
    <w:p w14:paraId="498F1B42" w14:textId="77777777" w:rsidR="00EE7DE2" w:rsidRPr="00D105F3" w:rsidRDefault="00EE7DE2" w:rsidP="00D105F3">
      <w:pPr>
        <w:spacing w:line="480" w:lineRule="auto"/>
        <w:jc w:val="both"/>
        <w:rPr>
          <w:rFonts w:ascii="Calibri" w:hAnsi="Calibri" w:cs="Calibri"/>
          <w:b/>
          <w:bCs/>
        </w:rPr>
      </w:pPr>
    </w:p>
    <w:p w14:paraId="2F89E20A" w14:textId="77777777" w:rsidR="00D105F3" w:rsidRPr="00D105F3" w:rsidRDefault="00EE7DE2" w:rsidP="00D105F3">
      <w:pPr>
        <w:pStyle w:val="ListParagraph"/>
        <w:numPr>
          <w:ilvl w:val="0"/>
          <w:numId w:val="18"/>
        </w:numPr>
        <w:spacing w:line="480" w:lineRule="auto"/>
        <w:jc w:val="both"/>
        <w:rPr>
          <w:rFonts w:cstheme="minorHAnsi"/>
          <w:b/>
          <w:bCs/>
        </w:rPr>
      </w:pPr>
      <w:r w:rsidRPr="00D105F3">
        <w:rPr>
          <w:rFonts w:cstheme="minorHAnsi"/>
        </w:rPr>
        <w:t>Schematic representation of SARM1 knockout (KO) generation strategy. WT i</w:t>
      </w:r>
      <w:r w:rsidRPr="00D105F3">
        <w:rPr>
          <w:rFonts w:cstheme="minorHAnsi"/>
          <w:vertAlign w:val="superscript"/>
        </w:rPr>
        <w:t xml:space="preserve">3 </w:t>
      </w:r>
      <w:r w:rsidRPr="00D105F3">
        <w:rPr>
          <w:rFonts w:cstheme="minorHAnsi"/>
        </w:rPr>
        <w:t xml:space="preserve">iPSCs were transfected with two gRNAs targeting </w:t>
      </w:r>
      <w:r w:rsidRPr="00D105F3">
        <w:rPr>
          <w:rFonts w:cstheme="minorHAnsi"/>
          <w:i/>
          <w:iCs/>
        </w:rPr>
        <w:t xml:space="preserve">SARM1 </w:t>
      </w:r>
      <w:r w:rsidRPr="00D105F3">
        <w:rPr>
          <w:rFonts w:cstheme="minorHAnsi"/>
        </w:rPr>
        <w:t xml:space="preserve">exon 2. Primers used for knockout validation flanking </w:t>
      </w:r>
      <w:r w:rsidRPr="00D105F3">
        <w:rPr>
          <w:rFonts w:cstheme="minorHAnsi"/>
          <w:i/>
          <w:iCs/>
        </w:rPr>
        <w:t xml:space="preserve">SARM1 </w:t>
      </w:r>
      <w:r w:rsidRPr="00D105F3">
        <w:rPr>
          <w:rFonts w:cstheme="minorHAnsi"/>
        </w:rPr>
        <w:t xml:space="preserve">exon 2 are shown in red. </w:t>
      </w:r>
    </w:p>
    <w:p w14:paraId="25D9C072" w14:textId="77777777" w:rsidR="00D105F3" w:rsidRPr="00D105F3" w:rsidRDefault="00EE7DE2" w:rsidP="00D105F3">
      <w:pPr>
        <w:pStyle w:val="ListParagraph"/>
        <w:numPr>
          <w:ilvl w:val="0"/>
          <w:numId w:val="18"/>
        </w:numPr>
        <w:spacing w:line="480" w:lineRule="auto"/>
        <w:jc w:val="both"/>
        <w:rPr>
          <w:rFonts w:cstheme="minorHAnsi"/>
          <w:b/>
          <w:bCs/>
        </w:rPr>
      </w:pPr>
      <w:r w:rsidRPr="00D105F3">
        <w:rPr>
          <w:rFonts w:cstheme="minorHAnsi"/>
        </w:rPr>
        <w:lastRenderedPageBreak/>
        <w:t xml:space="preserve">PCR of WT and SARM1 KOs using KO primers. SARM1 KOs contain a 161 base pair deletion in exon 2 of the </w:t>
      </w:r>
      <w:r w:rsidRPr="00D105F3">
        <w:rPr>
          <w:rFonts w:cstheme="minorHAnsi"/>
          <w:i/>
          <w:iCs/>
        </w:rPr>
        <w:t xml:space="preserve">SARM1 </w:t>
      </w:r>
      <w:r w:rsidRPr="00D105F3">
        <w:rPr>
          <w:rFonts w:cstheme="minorHAnsi"/>
        </w:rPr>
        <w:t>gene, producing a shorter gene product on the agarose gel.</w:t>
      </w:r>
    </w:p>
    <w:p w14:paraId="1FD1D752" w14:textId="6920AEAB" w:rsidR="0026780B" w:rsidRPr="00D105F3" w:rsidRDefault="00EE7DE2" w:rsidP="00D105F3">
      <w:pPr>
        <w:pStyle w:val="ListParagraph"/>
        <w:numPr>
          <w:ilvl w:val="0"/>
          <w:numId w:val="18"/>
        </w:numPr>
        <w:spacing w:line="480" w:lineRule="auto"/>
        <w:jc w:val="both"/>
        <w:rPr>
          <w:rFonts w:cstheme="minorHAnsi"/>
          <w:b/>
          <w:bCs/>
        </w:rPr>
      </w:pPr>
      <w:r w:rsidRPr="00D105F3">
        <w:rPr>
          <w:rFonts w:cstheme="minorHAnsi"/>
        </w:rPr>
        <w:t xml:space="preserve">Sanger sequencing of the </w:t>
      </w:r>
      <w:r w:rsidRPr="00D105F3">
        <w:rPr>
          <w:rFonts w:cstheme="minorHAnsi"/>
          <w:i/>
          <w:iCs/>
        </w:rPr>
        <w:t>SARM1</w:t>
      </w:r>
      <w:r w:rsidRPr="00D105F3">
        <w:rPr>
          <w:rFonts w:cstheme="minorHAnsi"/>
        </w:rPr>
        <w:t xml:space="preserve"> deleted allele confirms a 161 base pair deletion resulting in a premature stop codon.</w:t>
      </w:r>
    </w:p>
    <w:p w14:paraId="7483A940" w14:textId="7978898D" w:rsidR="005D02B6" w:rsidRDefault="005D02B6" w:rsidP="00E4582B">
      <w:pPr>
        <w:spacing w:line="480" w:lineRule="auto"/>
        <w:jc w:val="both"/>
        <w:rPr>
          <w:rFonts w:cstheme="minorHAnsi"/>
          <w:b/>
          <w:bCs/>
        </w:rPr>
      </w:pPr>
    </w:p>
    <w:p w14:paraId="2041E7DA" w14:textId="5AD04037" w:rsidR="005D02B6" w:rsidRPr="00295D35" w:rsidRDefault="005D02B6" w:rsidP="00E4582B">
      <w:pPr>
        <w:spacing w:line="480" w:lineRule="auto"/>
        <w:jc w:val="both"/>
        <w:rPr>
          <w:rFonts w:cstheme="minorHAnsi"/>
          <w:b/>
          <w:bCs/>
        </w:rPr>
      </w:pPr>
      <w:r w:rsidRPr="00EE7DE2">
        <w:rPr>
          <w:rFonts w:asciiTheme="minorHAnsi" w:hAnsiTheme="minorHAnsi" w:cstheme="minorHAnsi"/>
          <w:b/>
          <w:bCs/>
        </w:rPr>
        <w:t xml:space="preserve">Supplementary Figure </w:t>
      </w:r>
      <w:r>
        <w:rPr>
          <w:rFonts w:asciiTheme="minorHAnsi" w:hAnsiTheme="minorHAnsi" w:cstheme="minorHAnsi"/>
          <w:b/>
          <w:bCs/>
        </w:rPr>
        <w:t xml:space="preserve">5: Uncropped </w:t>
      </w:r>
      <w:r w:rsidR="00F54871">
        <w:rPr>
          <w:rFonts w:asciiTheme="minorHAnsi" w:hAnsiTheme="minorHAnsi" w:cstheme="minorHAnsi"/>
          <w:b/>
          <w:bCs/>
        </w:rPr>
        <w:t>W</w:t>
      </w:r>
      <w:r>
        <w:rPr>
          <w:rFonts w:asciiTheme="minorHAnsi" w:hAnsiTheme="minorHAnsi" w:cstheme="minorHAnsi"/>
          <w:b/>
          <w:bCs/>
        </w:rPr>
        <w:t>estern blots</w:t>
      </w:r>
    </w:p>
    <w:sectPr w:rsidR="005D02B6" w:rsidRPr="00295D35" w:rsidSect="00DF6CC9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Claire Le Pichon" w:date="2022-07-19T23:11:00Z" w:initials="CP">
    <w:p w14:paraId="238A4563" w14:textId="77777777" w:rsidR="0026780B" w:rsidRDefault="0026780B" w:rsidP="005D02B6">
      <w:pPr>
        <w:pStyle w:val="CommentText"/>
      </w:pPr>
      <w:r>
        <w:t>at some point (doesn't need to be now) can you correct the y axis label from u to µ</w:t>
      </w:r>
      <w:r>
        <w:rPr>
          <w:rStyle w:val="CommentReference"/>
        </w:rPr>
        <w:annotationRef/>
      </w:r>
    </w:p>
  </w:comment>
  <w:comment w:id="1" w:author="Gomez-Deza, Jorge (NIH/NICHD) [F]" w:date="2022-07-20T13:02:00Z" w:initials="GDJ([">
    <w:p w14:paraId="0A949DAB" w14:textId="77777777" w:rsidR="0026780B" w:rsidRDefault="0026780B" w:rsidP="005D02B6">
      <w:r>
        <w:rPr>
          <w:rStyle w:val="CommentReference"/>
        </w:rPr>
        <w:annotationRef/>
      </w:r>
      <w:r>
        <w:rPr>
          <w:rFonts w:asciiTheme="minorHAnsi" w:eastAsiaTheme="minorHAnsi" w:hAnsiTheme="minorHAnsi" w:cstheme="minorBidi"/>
          <w:sz w:val="20"/>
          <w:szCs w:val="20"/>
        </w:rPr>
        <w:t>Done :)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38A4563" w15:done="1"/>
  <w15:commentEx w15:paraId="0A949DAB" w15:paraIdParent="238A456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18E712" w16cex:dateUtc="2022-07-20T03:11:00Z"/>
  <w16cex:commentExtensible w16cex:durableId="2718E711" w16cex:dateUtc="2022-07-20T1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8A4563" w16cid:durableId="2718E712"/>
  <w16cid:commentId w16cid:paraId="0A949DAB" w16cid:durableId="2718E7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AD96B" w14:textId="77777777" w:rsidR="002D5AD4" w:rsidRDefault="002D5AD4" w:rsidP="00295D35">
      <w:r>
        <w:separator/>
      </w:r>
    </w:p>
  </w:endnote>
  <w:endnote w:type="continuationSeparator" w:id="0">
    <w:p w14:paraId="66CE1D8A" w14:textId="77777777" w:rsidR="002D5AD4" w:rsidRDefault="002D5AD4" w:rsidP="0029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60826443"/>
      <w:docPartObj>
        <w:docPartGallery w:val="Page Numbers (Bottom of Page)"/>
        <w:docPartUnique/>
      </w:docPartObj>
    </w:sdtPr>
    <w:sdtContent>
      <w:p w14:paraId="6910761E" w14:textId="15E39059" w:rsidR="0026780B" w:rsidRDefault="0026780B" w:rsidP="0026780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366E0852" w14:textId="77777777" w:rsidR="0026780B" w:rsidRDefault="00267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3091463"/>
      <w:docPartObj>
        <w:docPartGallery w:val="Page Numbers (Bottom of Page)"/>
        <w:docPartUnique/>
      </w:docPartObj>
    </w:sdtPr>
    <w:sdtContent>
      <w:p w14:paraId="6E897B10" w14:textId="3BDB51F0" w:rsidR="0026780B" w:rsidRDefault="0026780B" w:rsidP="0026780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1A933721" w14:textId="5A220B2B" w:rsidR="0026780B" w:rsidRDefault="0026780B" w:rsidP="00DF6CC9">
    <w:pPr>
      <w:pStyle w:val="Footer"/>
      <w:tabs>
        <w:tab w:val="clear" w:pos="4680"/>
        <w:tab w:val="clear" w:pos="9360"/>
        <w:tab w:val="left" w:pos="4080"/>
      </w:tabs>
    </w:pP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5B966" w14:textId="77777777" w:rsidR="002D5AD4" w:rsidRDefault="002D5AD4" w:rsidP="00295D35">
      <w:r>
        <w:separator/>
      </w:r>
    </w:p>
  </w:footnote>
  <w:footnote w:type="continuationSeparator" w:id="0">
    <w:p w14:paraId="28399355" w14:textId="77777777" w:rsidR="002D5AD4" w:rsidRDefault="002D5AD4" w:rsidP="00295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5F74"/>
    <w:multiLevelType w:val="hybridMultilevel"/>
    <w:tmpl w:val="33189FEC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16B54"/>
    <w:multiLevelType w:val="hybridMultilevel"/>
    <w:tmpl w:val="33189FEC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D26480"/>
    <w:multiLevelType w:val="hybridMultilevel"/>
    <w:tmpl w:val="1AD25CBC"/>
    <w:lvl w:ilvl="0" w:tplc="0B10CD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E33E3"/>
    <w:multiLevelType w:val="hybridMultilevel"/>
    <w:tmpl w:val="444208CE"/>
    <w:lvl w:ilvl="0" w:tplc="E3D286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04C66"/>
    <w:multiLevelType w:val="hybridMultilevel"/>
    <w:tmpl w:val="12D0045E"/>
    <w:lvl w:ilvl="0" w:tplc="086A102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639FE"/>
    <w:multiLevelType w:val="hybridMultilevel"/>
    <w:tmpl w:val="15FCC06E"/>
    <w:lvl w:ilvl="0" w:tplc="FC6C867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904DF"/>
    <w:multiLevelType w:val="hybridMultilevel"/>
    <w:tmpl w:val="7CC4EA8E"/>
    <w:lvl w:ilvl="0" w:tplc="0AEE936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93670"/>
    <w:multiLevelType w:val="hybridMultilevel"/>
    <w:tmpl w:val="E7344612"/>
    <w:lvl w:ilvl="0" w:tplc="7ADA5F38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E8189A"/>
    <w:multiLevelType w:val="hybridMultilevel"/>
    <w:tmpl w:val="EE9EA8D8"/>
    <w:lvl w:ilvl="0" w:tplc="1598F16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3816D3"/>
    <w:multiLevelType w:val="hybridMultilevel"/>
    <w:tmpl w:val="3EF0D2D2"/>
    <w:lvl w:ilvl="0" w:tplc="8C786A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FC65F7"/>
    <w:multiLevelType w:val="hybridMultilevel"/>
    <w:tmpl w:val="8294D4A8"/>
    <w:lvl w:ilvl="0" w:tplc="724C722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467167"/>
    <w:multiLevelType w:val="hybridMultilevel"/>
    <w:tmpl w:val="64EC3E54"/>
    <w:lvl w:ilvl="0" w:tplc="C3B68E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5BBB"/>
    <w:multiLevelType w:val="hybridMultilevel"/>
    <w:tmpl w:val="3A401A92"/>
    <w:lvl w:ilvl="0" w:tplc="26C6BE2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840FC"/>
    <w:multiLevelType w:val="hybridMultilevel"/>
    <w:tmpl w:val="5A84D62A"/>
    <w:lvl w:ilvl="0" w:tplc="926CCC78">
      <w:start w:val="1"/>
      <w:numFmt w:val="upp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C108E6"/>
    <w:multiLevelType w:val="hybridMultilevel"/>
    <w:tmpl w:val="32E03C1A"/>
    <w:lvl w:ilvl="0" w:tplc="00E6E424">
      <w:start w:val="1"/>
      <w:numFmt w:val="upperLetter"/>
      <w:lvlText w:val="%1)"/>
      <w:lvlJc w:val="left"/>
      <w:pPr>
        <w:ind w:left="1080" w:hanging="360"/>
      </w:pPr>
      <w:rPr>
        <w:rFonts w:ascii="Calibri" w:eastAsia="Times New Roman" w:hAnsi="Calibri" w:cs="Calibr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6809FA"/>
    <w:multiLevelType w:val="hybridMultilevel"/>
    <w:tmpl w:val="746A8C9C"/>
    <w:lvl w:ilvl="0" w:tplc="8BA6FB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793C0D"/>
    <w:multiLevelType w:val="hybridMultilevel"/>
    <w:tmpl w:val="18B66D6E"/>
    <w:lvl w:ilvl="0" w:tplc="80388B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77DCF"/>
    <w:multiLevelType w:val="hybridMultilevel"/>
    <w:tmpl w:val="3F58A0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5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16"/>
  </w:num>
  <w:num w:numId="11">
    <w:abstractNumId w:val="11"/>
  </w:num>
  <w:num w:numId="12">
    <w:abstractNumId w:val="17"/>
  </w:num>
  <w:num w:numId="13">
    <w:abstractNumId w:val="3"/>
  </w:num>
  <w:num w:numId="14">
    <w:abstractNumId w:val="14"/>
  </w:num>
  <w:num w:numId="15">
    <w:abstractNumId w:val="2"/>
  </w:num>
  <w:num w:numId="16">
    <w:abstractNumId w:val="4"/>
  </w:num>
  <w:num w:numId="17">
    <w:abstractNumId w:val="15"/>
  </w:num>
  <w:num w:numId="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Gomez-Deza, Jorge (NIH/NICHD) [F]">
    <w15:presenceInfo w15:providerId="AD" w15:userId="S::gomezdezaj2@nih.gov::9e414c05-b813-4d00-ac8a-bf7fe17469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Jorge Library&lt;record-ids&gt;&lt;item&gt;2470&lt;/item&gt;&lt;item&gt;2506&lt;/item&gt;&lt;item&gt;2547&lt;/item&gt;&lt;item&gt;2594&lt;/item&gt;&lt;item&gt;2600&lt;/item&gt;&lt;item&gt;2653&lt;/item&gt;&lt;item&gt;2925&lt;/item&gt;&lt;item&gt;2937&lt;/item&gt;&lt;item&gt;2971&lt;/item&gt;&lt;item&gt;2972&lt;/item&gt;&lt;item&gt;2974&lt;/item&gt;&lt;item&gt;2975&lt;/item&gt;&lt;item&gt;2976&lt;/item&gt;&lt;item&gt;2977&lt;/item&gt;&lt;item&gt;2978&lt;/item&gt;&lt;item&gt;2979&lt;/item&gt;&lt;item&gt;2981&lt;/item&gt;&lt;item&gt;2982&lt;/item&gt;&lt;item&gt;2983&lt;/item&gt;&lt;item&gt;2985&lt;/item&gt;&lt;item&gt;2992&lt;/item&gt;&lt;item&gt;2994&lt;/item&gt;&lt;item&gt;2995&lt;/item&gt;&lt;item&gt;2996&lt;/item&gt;&lt;item&gt;2997&lt;/item&gt;&lt;item&gt;2998&lt;/item&gt;&lt;item&gt;2999&lt;/item&gt;&lt;item&gt;3002&lt;/item&gt;&lt;item&gt;3003&lt;/item&gt;&lt;item&gt;3005&lt;/item&gt;&lt;item&gt;3006&lt;/item&gt;&lt;item&gt;3007&lt;/item&gt;&lt;item&gt;3009&lt;/item&gt;&lt;item&gt;3013&lt;/item&gt;&lt;item&gt;3015&lt;/item&gt;&lt;item&gt;3016&lt;/item&gt;&lt;item&gt;3017&lt;/item&gt;&lt;item&gt;3019&lt;/item&gt;&lt;item&gt;3020&lt;/item&gt;&lt;item&gt;3021&lt;/item&gt;&lt;item&gt;3022&lt;/item&gt;&lt;item&gt;3023&lt;/item&gt;&lt;item&gt;3024&lt;/item&gt;&lt;item&gt;3025&lt;/item&gt;&lt;item&gt;3026&lt;/item&gt;&lt;item&gt;3027&lt;/item&gt;&lt;item&gt;3029&lt;/item&gt;&lt;item&gt;3031&lt;/item&gt;&lt;item&gt;3034&lt;/item&gt;&lt;item&gt;3035&lt;/item&gt;&lt;/record-ids&gt;&lt;/item&gt;&lt;/Libraries&gt;"/>
  </w:docVars>
  <w:rsids>
    <w:rsidRoot w:val="00EE7DE2"/>
    <w:rsid w:val="00016686"/>
    <w:rsid w:val="00023DE7"/>
    <w:rsid w:val="00040BB2"/>
    <w:rsid w:val="00066006"/>
    <w:rsid w:val="00073AE6"/>
    <w:rsid w:val="000D0A79"/>
    <w:rsid w:val="000F67B2"/>
    <w:rsid w:val="001132C1"/>
    <w:rsid w:val="00155E67"/>
    <w:rsid w:val="001A0C67"/>
    <w:rsid w:val="001D0470"/>
    <w:rsid w:val="00253000"/>
    <w:rsid w:val="0026780B"/>
    <w:rsid w:val="00286B0F"/>
    <w:rsid w:val="00295D35"/>
    <w:rsid w:val="002A4CCF"/>
    <w:rsid w:val="002B60F8"/>
    <w:rsid w:val="002C2237"/>
    <w:rsid w:val="002D5AD4"/>
    <w:rsid w:val="00324068"/>
    <w:rsid w:val="00354A75"/>
    <w:rsid w:val="003908D6"/>
    <w:rsid w:val="0039518F"/>
    <w:rsid w:val="003D5BC8"/>
    <w:rsid w:val="003D7D30"/>
    <w:rsid w:val="00400A69"/>
    <w:rsid w:val="0043518D"/>
    <w:rsid w:val="004715C5"/>
    <w:rsid w:val="004D2AF5"/>
    <w:rsid w:val="005D02B6"/>
    <w:rsid w:val="006121B9"/>
    <w:rsid w:val="006639B4"/>
    <w:rsid w:val="00694746"/>
    <w:rsid w:val="006A7DE5"/>
    <w:rsid w:val="006D0E82"/>
    <w:rsid w:val="006E399B"/>
    <w:rsid w:val="006F2976"/>
    <w:rsid w:val="00763620"/>
    <w:rsid w:val="007D0661"/>
    <w:rsid w:val="00806165"/>
    <w:rsid w:val="0085408F"/>
    <w:rsid w:val="008926D2"/>
    <w:rsid w:val="008D3C52"/>
    <w:rsid w:val="008F7D98"/>
    <w:rsid w:val="00922576"/>
    <w:rsid w:val="00927A02"/>
    <w:rsid w:val="00935045"/>
    <w:rsid w:val="00960D30"/>
    <w:rsid w:val="009A035D"/>
    <w:rsid w:val="009B55F1"/>
    <w:rsid w:val="009C69F3"/>
    <w:rsid w:val="00A00B61"/>
    <w:rsid w:val="00A31AAF"/>
    <w:rsid w:val="00A45270"/>
    <w:rsid w:val="00A66853"/>
    <w:rsid w:val="00AA7864"/>
    <w:rsid w:val="00AC4613"/>
    <w:rsid w:val="00B155B9"/>
    <w:rsid w:val="00B15EBB"/>
    <w:rsid w:val="00B678E6"/>
    <w:rsid w:val="00B97A6F"/>
    <w:rsid w:val="00BF524B"/>
    <w:rsid w:val="00C61E33"/>
    <w:rsid w:val="00CB56EF"/>
    <w:rsid w:val="00CB7AF1"/>
    <w:rsid w:val="00CF537A"/>
    <w:rsid w:val="00D105F3"/>
    <w:rsid w:val="00D56D51"/>
    <w:rsid w:val="00D74EAD"/>
    <w:rsid w:val="00DB5B60"/>
    <w:rsid w:val="00DC6F78"/>
    <w:rsid w:val="00DF6CC9"/>
    <w:rsid w:val="00E37FE3"/>
    <w:rsid w:val="00E4582B"/>
    <w:rsid w:val="00E6120E"/>
    <w:rsid w:val="00E97A32"/>
    <w:rsid w:val="00EE7DE2"/>
    <w:rsid w:val="00F54871"/>
    <w:rsid w:val="00F57951"/>
    <w:rsid w:val="00F93204"/>
    <w:rsid w:val="00FC00E2"/>
    <w:rsid w:val="00FE461A"/>
    <w:rsid w:val="283E8A5A"/>
    <w:rsid w:val="4742BF4D"/>
    <w:rsid w:val="5AF6E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3B84D"/>
  <w15:chartTrackingRefBased/>
  <w15:docId w15:val="{A99D6B42-32F0-9544-BFE9-519CB70A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DE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D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DE2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EE7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7DE2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7DE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E7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DE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E7D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D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7DE2"/>
  </w:style>
  <w:style w:type="character" w:styleId="FollowedHyperlink">
    <w:name w:val="FollowedHyperlink"/>
    <w:basedOn w:val="DefaultParagraphFont"/>
    <w:uiPriority w:val="99"/>
    <w:semiHidden/>
    <w:unhideWhenUsed/>
    <w:rsid w:val="00EE7DE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E7DE2"/>
    <w:pPr>
      <w:jc w:val="center"/>
    </w:pPr>
    <w:rPr>
      <w:rFonts w:ascii="Calibri" w:eastAsiaTheme="minorHAns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7DE2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EE7DE2"/>
    <w:pPr>
      <w:jc w:val="both"/>
    </w:pPr>
    <w:rPr>
      <w:rFonts w:ascii="Calibri" w:eastAsiaTheme="minorHAns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E7DE2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E7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D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D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7D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DE2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EE7DE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E7DE2"/>
    <w:rPr>
      <w:rFonts w:ascii="Arial" w:eastAsia="Arial" w:hAnsi="Arial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EE7DE2"/>
  </w:style>
  <w:style w:type="character" w:styleId="LineNumber">
    <w:name w:val="line number"/>
    <w:basedOn w:val="DefaultParagraphFont"/>
    <w:uiPriority w:val="99"/>
    <w:semiHidden/>
    <w:unhideWhenUsed/>
    <w:rsid w:val="00EE7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Gomez-Deza, Jorge (NIH/NICHD) [F]</dc:creator>
  <cp:keywords/>
  <dc:description/>
  <cp:lastModifiedBy>Trupti Sudge</cp:lastModifiedBy>
  <cp:revision>2</cp:revision>
  <dcterms:created xsi:type="dcterms:W3CDTF">2022-12-08T19:24:00Z</dcterms:created>
  <dcterms:modified xsi:type="dcterms:W3CDTF">2022-12-08T19:24:00Z</dcterms:modified>
</cp:coreProperties>
</file>