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8010B" w14:textId="77777777" w:rsidR="002A61D7" w:rsidRDefault="002A61D7" w:rsidP="004A308D">
      <w:pPr>
        <w:spacing w:line="240" w:lineRule="auto"/>
        <w:jc w:val="center"/>
        <w:rPr>
          <w:rFonts w:ascii="Times New Roman" w:hAnsi="Times New Roman" w:cs="Times New Roman"/>
          <w:b/>
          <w:lang w:eastAsia="en-GB"/>
        </w:rPr>
      </w:pPr>
    </w:p>
    <w:p w14:paraId="55620059" w14:textId="77777777" w:rsidR="002A61D7" w:rsidRPr="0047718D" w:rsidRDefault="002A61D7" w:rsidP="002A61D7">
      <w:pPr>
        <w:spacing w:after="0" w:line="360" w:lineRule="auto"/>
        <w:rPr>
          <w:rFonts w:ascii="Times New Roman" w:hAnsi="Times New Roman" w:cs="Times New Roman"/>
          <w:b/>
          <w:bCs/>
          <w:sz w:val="24"/>
          <w:szCs w:val="24"/>
        </w:rPr>
      </w:pPr>
      <w:r w:rsidRPr="0047718D">
        <w:rPr>
          <w:rFonts w:ascii="Times New Roman" w:hAnsi="Times New Roman" w:cs="Times New Roman"/>
          <w:b/>
          <w:bCs/>
          <w:sz w:val="24"/>
          <w:szCs w:val="24"/>
        </w:rPr>
        <w:t xml:space="preserve">Hydrogel capsules as new delivery system for </w:t>
      </w:r>
      <w:r w:rsidRPr="0047718D">
        <w:rPr>
          <w:rFonts w:ascii="Times New Roman" w:hAnsi="Times New Roman" w:cs="Times New Roman"/>
          <w:b/>
          <w:bCs/>
          <w:i/>
          <w:iCs/>
          <w:sz w:val="24"/>
          <w:szCs w:val="24"/>
        </w:rPr>
        <w:t>Trichoderma koningiopsis</w:t>
      </w:r>
      <w:r w:rsidRPr="0047718D">
        <w:rPr>
          <w:rFonts w:ascii="Times New Roman" w:hAnsi="Times New Roman" w:cs="Times New Roman"/>
          <w:b/>
          <w:bCs/>
          <w:sz w:val="24"/>
          <w:szCs w:val="24"/>
        </w:rPr>
        <w:t xml:space="preserve"> Th003 to control </w:t>
      </w:r>
      <w:r w:rsidRPr="0047718D">
        <w:rPr>
          <w:rFonts w:ascii="Times New Roman" w:hAnsi="Times New Roman" w:cs="Times New Roman"/>
          <w:b/>
          <w:bCs/>
          <w:i/>
          <w:iCs/>
          <w:sz w:val="24"/>
          <w:szCs w:val="24"/>
        </w:rPr>
        <w:t xml:space="preserve">Rhizoctonia solani </w:t>
      </w:r>
      <w:r w:rsidRPr="0047718D">
        <w:rPr>
          <w:rFonts w:ascii="Times New Roman" w:hAnsi="Times New Roman" w:cs="Times New Roman"/>
          <w:b/>
          <w:bCs/>
          <w:sz w:val="24"/>
          <w:szCs w:val="24"/>
        </w:rPr>
        <w:t>in rice (</w:t>
      </w:r>
      <w:r w:rsidRPr="0047718D">
        <w:rPr>
          <w:rFonts w:ascii="Times New Roman" w:hAnsi="Times New Roman" w:cs="Times New Roman"/>
          <w:b/>
          <w:bCs/>
          <w:i/>
          <w:iCs/>
          <w:sz w:val="24"/>
          <w:szCs w:val="24"/>
        </w:rPr>
        <w:t>Oryza sativa</w:t>
      </w:r>
      <w:r w:rsidRPr="0047718D">
        <w:rPr>
          <w:rFonts w:ascii="Times New Roman" w:hAnsi="Times New Roman" w:cs="Times New Roman"/>
          <w:b/>
          <w:bCs/>
          <w:sz w:val="24"/>
          <w:szCs w:val="24"/>
        </w:rPr>
        <w:t>)</w:t>
      </w:r>
    </w:p>
    <w:p w14:paraId="456F2EC4" w14:textId="77777777" w:rsidR="002A61D7" w:rsidRPr="002D1580" w:rsidRDefault="002A61D7" w:rsidP="002A61D7">
      <w:pPr>
        <w:spacing w:line="240" w:lineRule="auto"/>
        <w:rPr>
          <w:rFonts w:ascii="Times New Roman" w:hAnsi="Times New Roman" w:cs="Times New Roman"/>
          <w:b/>
          <w:sz w:val="24"/>
          <w:szCs w:val="24"/>
          <w:lang w:eastAsia="en-GB"/>
        </w:rPr>
      </w:pPr>
    </w:p>
    <w:p w14:paraId="760AB6B2" w14:textId="6003A13A" w:rsidR="004A308D" w:rsidRPr="0047718D" w:rsidRDefault="004A308D" w:rsidP="002A61D7">
      <w:pPr>
        <w:spacing w:line="240" w:lineRule="auto"/>
        <w:jc w:val="center"/>
        <w:rPr>
          <w:rFonts w:ascii="Times New Roman" w:hAnsi="Times New Roman" w:cs="Times New Roman"/>
          <w:b/>
          <w:sz w:val="24"/>
          <w:szCs w:val="24"/>
          <w:lang w:eastAsia="en-GB"/>
        </w:rPr>
      </w:pPr>
      <w:r w:rsidRPr="0047718D">
        <w:rPr>
          <w:rFonts w:ascii="Times New Roman" w:hAnsi="Times New Roman" w:cs="Times New Roman"/>
          <w:b/>
          <w:sz w:val="24"/>
          <w:szCs w:val="24"/>
          <w:lang w:eastAsia="en-GB"/>
        </w:rPr>
        <w:t>SUPPLEMENTARY MATERIAL</w:t>
      </w:r>
    </w:p>
    <w:p w14:paraId="140FB943" w14:textId="77777777" w:rsidR="004A308D" w:rsidRPr="0047718D" w:rsidRDefault="004A308D" w:rsidP="004A308D">
      <w:pPr>
        <w:rPr>
          <w:rFonts w:ascii="Times New Roman" w:hAnsi="Times New Roman"/>
          <w:b/>
          <w:bCs/>
          <w:sz w:val="24"/>
          <w:szCs w:val="24"/>
        </w:rPr>
      </w:pPr>
      <w:r w:rsidRPr="0047718D">
        <w:rPr>
          <w:rFonts w:ascii="Times New Roman" w:hAnsi="Times New Roman"/>
          <w:b/>
          <w:bCs/>
          <w:sz w:val="24"/>
          <w:szCs w:val="24"/>
        </w:rPr>
        <w:t>Fig. 1S.</w:t>
      </w:r>
      <w:r w:rsidRPr="0047718D">
        <w:rPr>
          <w:rFonts w:ascii="Times New Roman" w:hAnsi="Times New Roman"/>
          <w:sz w:val="24"/>
          <w:szCs w:val="24"/>
        </w:rPr>
        <w:t xml:space="preserve"> Prototypes of hydrogel capsules P1 and P2 before (Wet) and after fluid bed drying operation (Dry)</w:t>
      </w:r>
    </w:p>
    <w:p w14:paraId="091DFB4F" w14:textId="77777777" w:rsidR="002A61D7" w:rsidRDefault="002A61D7" w:rsidP="002A61D7">
      <w:pPr>
        <w:rPr>
          <w:noProof/>
        </w:rPr>
      </w:pPr>
    </w:p>
    <w:p w14:paraId="3B8D7F5A" w14:textId="1BFB0C92" w:rsidR="004A308D" w:rsidRPr="002A61D7" w:rsidRDefault="004A308D" w:rsidP="002A61D7">
      <w:pPr>
        <w:rPr>
          <w:rFonts w:ascii="Times New Roman" w:hAnsi="Times New Roman" w:cs="Times New Roman"/>
          <w:b/>
          <w:sz w:val="24"/>
          <w:szCs w:val="24"/>
          <w:lang w:eastAsia="en-GB"/>
        </w:rPr>
      </w:pPr>
      <w:r>
        <w:rPr>
          <w:noProof/>
        </w:rPr>
        <w:drawing>
          <wp:inline distT="0" distB="0" distL="0" distR="0" wp14:anchorId="14B145F3" wp14:editId="6FD53FAF">
            <wp:extent cx="5612130" cy="4209415"/>
            <wp:effectExtent l="0" t="0" r="7620" b="635"/>
            <wp:docPr id="6" name="Imagen 6"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26FF68C6" w14:textId="07EC5460" w:rsidR="002A61D7" w:rsidRDefault="002A61D7" w:rsidP="004A308D">
      <w:pPr>
        <w:spacing w:after="0" w:line="240" w:lineRule="auto"/>
        <w:jc w:val="center"/>
        <w:rPr>
          <w:rFonts w:ascii="Times New Roman" w:hAnsi="Times New Roman"/>
          <w:b/>
          <w:bCs/>
          <w:sz w:val="24"/>
          <w:szCs w:val="24"/>
        </w:rPr>
      </w:pPr>
    </w:p>
    <w:p w14:paraId="106DA37F" w14:textId="5925F097" w:rsidR="00032198" w:rsidRDefault="00032198" w:rsidP="004A308D">
      <w:pPr>
        <w:spacing w:after="0" w:line="240" w:lineRule="auto"/>
        <w:jc w:val="center"/>
        <w:rPr>
          <w:rFonts w:ascii="Times New Roman" w:hAnsi="Times New Roman"/>
          <w:b/>
          <w:bCs/>
          <w:sz w:val="24"/>
          <w:szCs w:val="24"/>
        </w:rPr>
      </w:pPr>
    </w:p>
    <w:p w14:paraId="1F8BA633" w14:textId="4B73C818" w:rsidR="00032198" w:rsidRDefault="00032198" w:rsidP="004A308D">
      <w:pPr>
        <w:spacing w:after="0" w:line="240" w:lineRule="auto"/>
        <w:jc w:val="center"/>
        <w:rPr>
          <w:rFonts w:ascii="Times New Roman" w:hAnsi="Times New Roman"/>
          <w:b/>
          <w:bCs/>
          <w:sz w:val="24"/>
          <w:szCs w:val="24"/>
        </w:rPr>
      </w:pPr>
    </w:p>
    <w:p w14:paraId="33D02B31" w14:textId="5415D4E9" w:rsidR="00032198" w:rsidRDefault="00032198" w:rsidP="004A308D">
      <w:pPr>
        <w:spacing w:after="0" w:line="240" w:lineRule="auto"/>
        <w:jc w:val="center"/>
        <w:rPr>
          <w:rFonts w:ascii="Times New Roman" w:hAnsi="Times New Roman"/>
          <w:b/>
          <w:bCs/>
          <w:sz w:val="24"/>
          <w:szCs w:val="24"/>
        </w:rPr>
      </w:pPr>
    </w:p>
    <w:p w14:paraId="6495CDE0" w14:textId="62080568" w:rsidR="00032198" w:rsidRDefault="00032198" w:rsidP="004A308D">
      <w:pPr>
        <w:spacing w:after="0" w:line="240" w:lineRule="auto"/>
        <w:jc w:val="center"/>
        <w:rPr>
          <w:rFonts w:ascii="Times New Roman" w:hAnsi="Times New Roman"/>
          <w:b/>
          <w:bCs/>
          <w:sz w:val="24"/>
          <w:szCs w:val="24"/>
        </w:rPr>
      </w:pPr>
    </w:p>
    <w:p w14:paraId="68C44A5C" w14:textId="4D65949F" w:rsidR="00032198" w:rsidRDefault="00032198" w:rsidP="004A308D">
      <w:pPr>
        <w:spacing w:after="0" w:line="240" w:lineRule="auto"/>
        <w:jc w:val="center"/>
        <w:rPr>
          <w:rFonts w:ascii="Times New Roman" w:hAnsi="Times New Roman"/>
          <w:b/>
          <w:bCs/>
          <w:sz w:val="24"/>
          <w:szCs w:val="24"/>
        </w:rPr>
      </w:pPr>
    </w:p>
    <w:p w14:paraId="4D037280" w14:textId="184C7111" w:rsidR="00032198" w:rsidRDefault="00032198" w:rsidP="004A308D">
      <w:pPr>
        <w:spacing w:after="0" w:line="240" w:lineRule="auto"/>
        <w:jc w:val="center"/>
        <w:rPr>
          <w:rFonts w:ascii="Times New Roman" w:hAnsi="Times New Roman"/>
          <w:b/>
          <w:bCs/>
          <w:sz w:val="24"/>
          <w:szCs w:val="24"/>
        </w:rPr>
      </w:pPr>
    </w:p>
    <w:p w14:paraId="479A677A" w14:textId="77777777" w:rsidR="00032198" w:rsidRDefault="00032198" w:rsidP="004A308D">
      <w:pPr>
        <w:spacing w:after="0" w:line="240" w:lineRule="auto"/>
        <w:jc w:val="center"/>
        <w:rPr>
          <w:rFonts w:ascii="Times New Roman" w:hAnsi="Times New Roman"/>
          <w:b/>
          <w:bCs/>
          <w:sz w:val="24"/>
          <w:szCs w:val="24"/>
        </w:rPr>
      </w:pPr>
    </w:p>
    <w:p w14:paraId="0A83EB9A" w14:textId="77777777" w:rsidR="002A61D7" w:rsidRDefault="002A61D7" w:rsidP="004A308D">
      <w:pPr>
        <w:spacing w:after="0" w:line="240" w:lineRule="auto"/>
        <w:jc w:val="center"/>
        <w:rPr>
          <w:rFonts w:ascii="Times New Roman" w:hAnsi="Times New Roman"/>
          <w:b/>
          <w:bCs/>
          <w:sz w:val="24"/>
          <w:szCs w:val="24"/>
        </w:rPr>
      </w:pPr>
    </w:p>
    <w:p w14:paraId="3E5B8586" w14:textId="2F632B61" w:rsidR="004A308D" w:rsidRDefault="004A308D" w:rsidP="004A308D">
      <w:pPr>
        <w:spacing w:after="0" w:line="240" w:lineRule="auto"/>
        <w:jc w:val="center"/>
        <w:rPr>
          <w:rFonts w:ascii="Times New Roman" w:hAnsi="Times New Roman"/>
          <w:sz w:val="24"/>
          <w:szCs w:val="24"/>
        </w:rPr>
      </w:pPr>
      <w:r w:rsidRPr="41550C52">
        <w:rPr>
          <w:rFonts w:ascii="Times New Roman" w:hAnsi="Times New Roman"/>
          <w:b/>
          <w:bCs/>
          <w:sz w:val="24"/>
          <w:szCs w:val="24"/>
        </w:rPr>
        <w:lastRenderedPageBreak/>
        <w:t>Table 1S.</w:t>
      </w:r>
      <w:r w:rsidRPr="41550C52">
        <w:rPr>
          <w:rFonts w:ascii="Times New Roman" w:hAnsi="Times New Roman"/>
          <w:sz w:val="24"/>
          <w:szCs w:val="24"/>
        </w:rPr>
        <w:t xml:space="preserve"> Scale of sheath blight disease severity in rice plants</w:t>
      </w:r>
    </w:p>
    <w:p w14:paraId="581E39C0" w14:textId="77777777" w:rsidR="004A308D" w:rsidRPr="000F7AA4" w:rsidRDefault="004A308D" w:rsidP="004A308D">
      <w:pPr>
        <w:spacing w:after="0" w:line="240" w:lineRule="auto"/>
        <w:jc w:val="both"/>
        <w:rPr>
          <w:rFonts w:ascii="Times New Roman" w:hAnsi="Times New Roman"/>
          <w:b/>
          <w:sz w:val="24"/>
          <w:szCs w:val="24"/>
        </w:rPr>
      </w:pPr>
    </w:p>
    <w:tbl>
      <w:tblPr>
        <w:tblStyle w:val="Tablanormal2"/>
        <w:tblW w:w="0" w:type="auto"/>
        <w:jc w:val="center"/>
        <w:tblLook w:val="04A0" w:firstRow="1" w:lastRow="0" w:firstColumn="1" w:lastColumn="0" w:noHBand="0" w:noVBand="1"/>
      </w:tblPr>
      <w:tblGrid>
        <w:gridCol w:w="988"/>
        <w:gridCol w:w="7840"/>
      </w:tblGrid>
      <w:tr w:rsidR="004A308D" w:rsidRPr="00FF7067" w14:paraId="490F4196" w14:textId="77777777" w:rsidTr="009B1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bottom w:val="single" w:sz="4" w:space="0" w:color="auto"/>
            </w:tcBorders>
            <w:shd w:val="clear" w:color="auto" w:fill="F2F2F2" w:themeFill="background1" w:themeFillShade="F2"/>
          </w:tcPr>
          <w:p w14:paraId="1A9A4CF3" w14:textId="77777777" w:rsidR="004A308D" w:rsidRPr="00FF7067" w:rsidRDefault="004A308D" w:rsidP="009B1AC2">
            <w:pPr>
              <w:jc w:val="center"/>
              <w:rPr>
                <w:rFonts w:ascii="Times New Roman" w:hAnsi="Times New Roman" w:cs="Times New Roman"/>
                <w:b w:val="0"/>
                <w:sz w:val="24"/>
                <w:szCs w:val="24"/>
              </w:rPr>
            </w:pPr>
            <w:proofErr w:type="spellStart"/>
            <w:r>
              <w:rPr>
                <w:rFonts w:ascii="Times New Roman" w:hAnsi="Times New Roman" w:cs="Times New Roman"/>
                <w:sz w:val="24"/>
                <w:szCs w:val="24"/>
              </w:rPr>
              <w:t>Level</w:t>
            </w:r>
            <w:proofErr w:type="spellEnd"/>
          </w:p>
        </w:tc>
        <w:tc>
          <w:tcPr>
            <w:tcW w:w="7840" w:type="dxa"/>
            <w:tcBorders>
              <w:top w:val="single" w:sz="4" w:space="0" w:color="auto"/>
              <w:bottom w:val="single" w:sz="4" w:space="0" w:color="auto"/>
            </w:tcBorders>
            <w:shd w:val="clear" w:color="auto" w:fill="F2F2F2" w:themeFill="background1" w:themeFillShade="F2"/>
          </w:tcPr>
          <w:p w14:paraId="2C86C3B8" w14:textId="77777777" w:rsidR="004A308D" w:rsidRPr="00FF7067" w:rsidRDefault="004A308D" w:rsidP="009B1AC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41550C52">
              <w:rPr>
                <w:rFonts w:ascii="Times New Roman" w:hAnsi="Times New Roman" w:cs="Times New Roman"/>
                <w:sz w:val="24"/>
                <w:szCs w:val="24"/>
              </w:rPr>
              <w:t>Symptoms</w:t>
            </w:r>
            <w:proofErr w:type="spellEnd"/>
            <w:r w:rsidRPr="41550C52">
              <w:rPr>
                <w:rFonts w:ascii="Times New Roman" w:hAnsi="Times New Roman" w:cs="Times New Roman"/>
                <w:sz w:val="24"/>
                <w:szCs w:val="24"/>
              </w:rPr>
              <w:t xml:space="preserve"> </w:t>
            </w:r>
            <w:proofErr w:type="spellStart"/>
            <w:r w:rsidRPr="41550C52">
              <w:rPr>
                <w:rFonts w:ascii="Times New Roman" w:hAnsi="Times New Roman" w:cs="Times New Roman"/>
                <w:sz w:val="24"/>
                <w:szCs w:val="24"/>
              </w:rPr>
              <w:t>description</w:t>
            </w:r>
            <w:proofErr w:type="spellEnd"/>
          </w:p>
        </w:tc>
      </w:tr>
      <w:tr w:rsidR="004A308D" w:rsidRPr="005E315E" w14:paraId="513E8057" w14:textId="77777777" w:rsidTr="009B1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bottom w:val="nil"/>
            </w:tcBorders>
          </w:tcPr>
          <w:p w14:paraId="6953E5DD"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0</w:t>
            </w:r>
          </w:p>
        </w:tc>
        <w:tc>
          <w:tcPr>
            <w:tcW w:w="7840" w:type="dxa"/>
            <w:tcBorders>
              <w:top w:val="single" w:sz="4" w:space="0" w:color="auto"/>
              <w:bottom w:val="nil"/>
            </w:tcBorders>
          </w:tcPr>
          <w:p w14:paraId="52A64F56" w14:textId="77777777" w:rsidR="004A308D" w:rsidRPr="004A308D" w:rsidRDefault="004A308D" w:rsidP="009B1AC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Healthy plants, no symptoms of the disease are observed.</w:t>
            </w:r>
          </w:p>
        </w:tc>
      </w:tr>
      <w:tr w:rsidR="004A308D" w:rsidRPr="005E315E" w14:paraId="5CF4D002" w14:textId="77777777" w:rsidTr="009B1AC2">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65CE6B3C"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1</w:t>
            </w:r>
          </w:p>
        </w:tc>
        <w:tc>
          <w:tcPr>
            <w:tcW w:w="7840" w:type="dxa"/>
            <w:tcBorders>
              <w:top w:val="nil"/>
              <w:bottom w:val="nil"/>
            </w:tcBorders>
          </w:tcPr>
          <w:p w14:paraId="3AF4D0A3" w14:textId="77777777" w:rsidR="004A308D" w:rsidRPr="004A308D" w:rsidRDefault="004A308D" w:rsidP="009B1AC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Dark brown oval lesions restricted to the level of the water line or site of infection.</w:t>
            </w:r>
          </w:p>
        </w:tc>
      </w:tr>
      <w:tr w:rsidR="004A308D" w:rsidRPr="005E315E" w14:paraId="217CEBD1" w14:textId="77777777" w:rsidTr="009B1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36DCD1EA"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2</w:t>
            </w:r>
          </w:p>
        </w:tc>
        <w:tc>
          <w:tcPr>
            <w:tcW w:w="7840" w:type="dxa"/>
            <w:tcBorders>
              <w:top w:val="nil"/>
              <w:bottom w:val="nil"/>
            </w:tcBorders>
          </w:tcPr>
          <w:p w14:paraId="506DDB25" w14:textId="77777777" w:rsidR="004A308D" w:rsidRPr="004A308D" w:rsidRDefault="004A308D" w:rsidP="009B1AC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Few oval lesions or joints with wide edges on the lower leaf sheath or at the sites of infection, 5% of tissue affected.</w:t>
            </w:r>
          </w:p>
        </w:tc>
      </w:tr>
      <w:tr w:rsidR="004A308D" w:rsidRPr="005E315E" w14:paraId="5F1EDA18" w14:textId="77777777" w:rsidTr="009B1AC2">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506F6E71"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3</w:t>
            </w:r>
          </w:p>
        </w:tc>
        <w:tc>
          <w:tcPr>
            <w:tcW w:w="7840" w:type="dxa"/>
            <w:tcBorders>
              <w:top w:val="nil"/>
              <w:bottom w:val="nil"/>
            </w:tcBorders>
          </w:tcPr>
          <w:p w14:paraId="5DECC3C2" w14:textId="77777777" w:rsidR="004A308D" w:rsidRPr="004A308D" w:rsidRDefault="004A308D" w:rsidP="009B1AC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on the lower sheath of the leaf or at the points of infection, joint lesions, less than 10% of the affected tissue.</w:t>
            </w:r>
          </w:p>
        </w:tc>
      </w:tr>
      <w:tr w:rsidR="004A308D" w:rsidRPr="005E315E" w14:paraId="6CC091D2" w14:textId="77777777" w:rsidTr="009B1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3DA1A4C8"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4</w:t>
            </w:r>
          </w:p>
        </w:tc>
        <w:tc>
          <w:tcPr>
            <w:tcW w:w="7840" w:type="dxa"/>
            <w:tcBorders>
              <w:top w:val="nil"/>
              <w:bottom w:val="nil"/>
            </w:tcBorders>
          </w:tcPr>
          <w:p w14:paraId="7D3B733B" w14:textId="77777777" w:rsidR="004A308D" w:rsidRPr="004A308D" w:rsidRDefault="004A308D" w:rsidP="009B1AC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restricted mainly to the sheath on the lower third of the plant, low leaves or other infection points, discrete lesions or joints with narrow red-brown borders, 10 to 15% of the leaf and envelope tissue affected.</w:t>
            </w:r>
          </w:p>
        </w:tc>
      </w:tr>
      <w:tr w:rsidR="004A308D" w:rsidRPr="005E315E" w14:paraId="2241F9FC" w14:textId="77777777" w:rsidTr="009B1AC2">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32A71B01"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5</w:t>
            </w:r>
          </w:p>
        </w:tc>
        <w:tc>
          <w:tcPr>
            <w:tcW w:w="7840" w:type="dxa"/>
            <w:tcBorders>
              <w:top w:val="nil"/>
              <w:bottom w:val="nil"/>
            </w:tcBorders>
          </w:tcPr>
          <w:p w14:paraId="4FC3B6A0" w14:textId="77777777" w:rsidR="004A308D" w:rsidRPr="004A308D" w:rsidRDefault="004A308D" w:rsidP="009B1AC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mainly restricted to the sheath and leaves of the lower half of the plant, lesions usually close together with long necrotic centers and narrow red-brown borders, 15 to 25% of affected tissue.</w:t>
            </w:r>
          </w:p>
        </w:tc>
      </w:tr>
      <w:tr w:rsidR="004A308D" w:rsidRPr="005E315E" w14:paraId="69FA731E" w14:textId="77777777" w:rsidTr="009B1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581FF490"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6</w:t>
            </w:r>
          </w:p>
        </w:tc>
        <w:tc>
          <w:tcPr>
            <w:tcW w:w="7840" w:type="dxa"/>
            <w:tcBorders>
              <w:top w:val="nil"/>
              <w:bottom w:val="nil"/>
            </w:tcBorders>
          </w:tcPr>
          <w:p w14:paraId="5CF6251B" w14:textId="77777777" w:rsidR="004A308D" w:rsidRPr="004A308D" w:rsidRDefault="004A308D" w:rsidP="009B1AC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 xml:space="preserve">Lesions usually together and affecting the lower two-thirds of the area of the plant sheath, lesions extended to the lower part of the leaf or lower leaves dead due to injury to the sheath, 25 to 40% of tissues affected. </w:t>
            </w:r>
          </w:p>
        </w:tc>
      </w:tr>
      <w:tr w:rsidR="004A308D" w:rsidRPr="005E315E" w14:paraId="13DBA9E6" w14:textId="77777777" w:rsidTr="009B1AC2">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481F3ED5"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7</w:t>
            </w:r>
          </w:p>
        </w:tc>
        <w:tc>
          <w:tcPr>
            <w:tcW w:w="7840" w:type="dxa"/>
            <w:tcBorders>
              <w:top w:val="nil"/>
              <w:bottom w:val="nil"/>
            </w:tcBorders>
          </w:tcPr>
          <w:p w14:paraId="71BA51A9" w14:textId="77777777" w:rsidR="004A308D" w:rsidRPr="004A308D" w:rsidRDefault="004A308D" w:rsidP="009B1AC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usually together and affecting three-quarters of the area of the plant sheath, lesions extended to the leaves of two-thirds of the plant, 40 to 60% of affected tissue.</w:t>
            </w:r>
          </w:p>
        </w:tc>
      </w:tr>
      <w:tr w:rsidR="004A308D" w:rsidRPr="005E315E" w14:paraId="6AB7994C" w14:textId="77777777" w:rsidTr="009B1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nil"/>
            </w:tcBorders>
          </w:tcPr>
          <w:p w14:paraId="6D118670"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8</w:t>
            </w:r>
          </w:p>
        </w:tc>
        <w:tc>
          <w:tcPr>
            <w:tcW w:w="7840" w:type="dxa"/>
            <w:tcBorders>
              <w:top w:val="nil"/>
              <w:bottom w:val="nil"/>
            </w:tcBorders>
          </w:tcPr>
          <w:p w14:paraId="545F6522" w14:textId="77777777" w:rsidR="004A308D" w:rsidRPr="004A308D" w:rsidRDefault="004A308D" w:rsidP="009B1AC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reaching the flag leaf, low sheath with joint lesions covering most of the tissue, lower and middle leaves dead, 60 to 80% of tissues affected.</w:t>
            </w:r>
          </w:p>
        </w:tc>
      </w:tr>
      <w:tr w:rsidR="004A308D" w:rsidRPr="005E315E" w14:paraId="7D4B58CA" w14:textId="77777777" w:rsidTr="009B1AC2">
        <w:trPr>
          <w:jc w:val="center"/>
        </w:trPr>
        <w:tc>
          <w:tcPr>
            <w:cnfStyle w:val="001000000000" w:firstRow="0" w:lastRow="0" w:firstColumn="1" w:lastColumn="0" w:oddVBand="0" w:evenVBand="0" w:oddHBand="0" w:evenHBand="0" w:firstRowFirstColumn="0" w:firstRowLastColumn="0" w:lastRowFirstColumn="0" w:lastRowLastColumn="0"/>
            <w:tcW w:w="988" w:type="dxa"/>
            <w:tcBorders>
              <w:top w:val="nil"/>
              <w:bottom w:val="single" w:sz="4" w:space="0" w:color="auto"/>
            </w:tcBorders>
          </w:tcPr>
          <w:p w14:paraId="2080F18C" w14:textId="77777777" w:rsidR="004A308D" w:rsidRPr="00E42034" w:rsidRDefault="004A308D" w:rsidP="009B1AC2">
            <w:pPr>
              <w:spacing w:line="240" w:lineRule="auto"/>
              <w:jc w:val="both"/>
              <w:rPr>
                <w:rFonts w:ascii="Times New Roman" w:hAnsi="Times New Roman" w:cs="Times New Roman"/>
              </w:rPr>
            </w:pPr>
            <w:r w:rsidRPr="00E42034">
              <w:rPr>
                <w:rFonts w:ascii="Times New Roman" w:hAnsi="Times New Roman" w:cs="Times New Roman"/>
              </w:rPr>
              <w:t>9</w:t>
            </w:r>
          </w:p>
        </w:tc>
        <w:tc>
          <w:tcPr>
            <w:tcW w:w="7840" w:type="dxa"/>
            <w:tcBorders>
              <w:top w:val="nil"/>
              <w:bottom w:val="single" w:sz="4" w:space="0" w:color="auto"/>
            </w:tcBorders>
          </w:tcPr>
          <w:p w14:paraId="0DBF41C8" w14:textId="77777777" w:rsidR="004A308D" w:rsidRPr="004A308D" w:rsidRDefault="004A308D" w:rsidP="009B1AC2">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308D">
              <w:rPr>
                <w:rFonts w:ascii="Times New Roman" w:hAnsi="Times New Roman" w:cs="Times New Roman"/>
                <w:lang w:val="en-US"/>
              </w:rPr>
              <w:t>Lesions reaching the flag leaf, most of the lower leaves dead, dry sheath, brown stem, collapse, 80 to 100% of affected tissue.</w:t>
            </w:r>
          </w:p>
        </w:tc>
      </w:tr>
    </w:tbl>
    <w:p w14:paraId="4E9A33FE" w14:textId="77777777" w:rsidR="004A308D" w:rsidRDefault="004A308D" w:rsidP="004A308D">
      <w:pPr>
        <w:spacing w:line="240" w:lineRule="auto"/>
        <w:jc w:val="both"/>
        <w:rPr>
          <w:rFonts w:ascii="Times New Roman" w:hAnsi="Times New Roman"/>
          <w:b/>
          <w:bCs/>
          <w:sz w:val="24"/>
          <w:szCs w:val="24"/>
        </w:rPr>
      </w:pPr>
    </w:p>
    <w:p w14:paraId="0CC985CC" w14:textId="77777777" w:rsidR="004A308D" w:rsidRDefault="004A308D" w:rsidP="004A308D">
      <w:pPr>
        <w:spacing w:line="240" w:lineRule="auto"/>
        <w:jc w:val="both"/>
        <w:rPr>
          <w:rFonts w:ascii="Times New Roman" w:hAnsi="Times New Roman"/>
          <w:b/>
          <w:bCs/>
          <w:sz w:val="24"/>
          <w:szCs w:val="24"/>
        </w:rPr>
      </w:pPr>
    </w:p>
    <w:p w14:paraId="2A1E9384" w14:textId="77777777" w:rsidR="004A308D" w:rsidRDefault="004A308D" w:rsidP="004A308D">
      <w:pPr>
        <w:spacing w:line="240" w:lineRule="auto"/>
        <w:jc w:val="both"/>
        <w:rPr>
          <w:rFonts w:ascii="Times New Roman" w:hAnsi="Times New Roman"/>
          <w:b/>
          <w:bCs/>
          <w:sz w:val="24"/>
          <w:szCs w:val="24"/>
        </w:rPr>
      </w:pPr>
    </w:p>
    <w:p w14:paraId="720DEF77" w14:textId="77777777" w:rsidR="004A308D" w:rsidRDefault="004A308D" w:rsidP="004A308D">
      <w:pPr>
        <w:spacing w:line="240" w:lineRule="auto"/>
        <w:jc w:val="both"/>
        <w:rPr>
          <w:rFonts w:ascii="Times New Roman" w:hAnsi="Times New Roman"/>
          <w:b/>
          <w:bCs/>
          <w:sz w:val="24"/>
          <w:szCs w:val="24"/>
        </w:rPr>
      </w:pPr>
    </w:p>
    <w:p w14:paraId="1BA89122" w14:textId="77777777" w:rsidR="004A308D" w:rsidRDefault="004A308D" w:rsidP="004A308D">
      <w:pPr>
        <w:spacing w:line="240" w:lineRule="auto"/>
        <w:jc w:val="both"/>
        <w:rPr>
          <w:rFonts w:ascii="Times New Roman" w:hAnsi="Times New Roman"/>
          <w:b/>
          <w:bCs/>
          <w:sz w:val="24"/>
          <w:szCs w:val="24"/>
        </w:rPr>
      </w:pPr>
    </w:p>
    <w:p w14:paraId="2CD48438" w14:textId="77777777" w:rsidR="004A308D" w:rsidRDefault="004A308D" w:rsidP="004A308D">
      <w:pPr>
        <w:spacing w:line="240" w:lineRule="auto"/>
        <w:jc w:val="both"/>
        <w:rPr>
          <w:rFonts w:ascii="Times New Roman" w:hAnsi="Times New Roman"/>
          <w:b/>
          <w:bCs/>
          <w:sz w:val="24"/>
          <w:szCs w:val="24"/>
        </w:rPr>
      </w:pPr>
    </w:p>
    <w:p w14:paraId="6FE11B07" w14:textId="77777777" w:rsidR="004A308D" w:rsidRDefault="004A308D" w:rsidP="004A308D">
      <w:pPr>
        <w:spacing w:line="240" w:lineRule="auto"/>
        <w:jc w:val="both"/>
        <w:rPr>
          <w:rFonts w:ascii="Times New Roman" w:hAnsi="Times New Roman"/>
          <w:b/>
          <w:bCs/>
          <w:sz w:val="24"/>
          <w:szCs w:val="24"/>
        </w:rPr>
      </w:pPr>
    </w:p>
    <w:p w14:paraId="29D6CEB6" w14:textId="77777777" w:rsidR="004A308D" w:rsidRDefault="004A308D" w:rsidP="004A308D">
      <w:pPr>
        <w:jc w:val="both"/>
        <w:rPr>
          <w:rFonts w:ascii="Times New Roman" w:hAnsi="Times New Roman" w:cs="Times New Roman"/>
          <w:b/>
          <w:sz w:val="24"/>
          <w:szCs w:val="24"/>
          <w:lang w:eastAsia="en-GB"/>
        </w:rPr>
        <w:sectPr w:rsidR="004A308D">
          <w:pgSz w:w="12240" w:h="15840"/>
          <w:pgMar w:top="1417" w:right="1701" w:bottom="1417" w:left="1701" w:header="708" w:footer="708" w:gutter="0"/>
          <w:cols w:space="708"/>
          <w:docGrid w:linePitch="360"/>
        </w:sectPr>
      </w:pPr>
    </w:p>
    <w:p w14:paraId="30C4D6A3" w14:textId="77777777" w:rsidR="004A308D" w:rsidRDefault="004A308D" w:rsidP="004A308D">
      <w:pPr>
        <w:jc w:val="both"/>
        <w:rPr>
          <w:rFonts w:ascii="Times New Roman" w:hAnsi="Times New Roman" w:cs="Times New Roman"/>
          <w:sz w:val="24"/>
          <w:szCs w:val="24"/>
          <w:lang w:eastAsia="en-GB"/>
        </w:rPr>
      </w:pPr>
      <w:r w:rsidRPr="41550C52">
        <w:rPr>
          <w:rFonts w:ascii="Times New Roman" w:hAnsi="Times New Roman" w:cs="Times New Roman"/>
          <w:b/>
          <w:bCs/>
          <w:sz w:val="24"/>
          <w:szCs w:val="24"/>
          <w:lang w:eastAsia="en-GB"/>
        </w:rPr>
        <w:lastRenderedPageBreak/>
        <w:t xml:space="preserve">Table 2S. </w:t>
      </w:r>
      <w:r w:rsidRPr="41550C52">
        <w:rPr>
          <w:rFonts w:ascii="Times New Roman" w:hAnsi="Times New Roman" w:cs="Times New Roman"/>
          <w:sz w:val="24"/>
          <w:szCs w:val="24"/>
          <w:lang w:eastAsia="en-GB"/>
        </w:rPr>
        <w:t xml:space="preserve">Mathematical models used to correlate viability </w:t>
      </w:r>
      <w:r w:rsidRPr="41550C52">
        <w:rPr>
          <w:rFonts w:ascii="Times New Roman" w:hAnsi="Times New Roman" w:cs="Times New Roman"/>
          <w:i/>
          <w:iCs/>
          <w:sz w:val="24"/>
          <w:szCs w:val="24"/>
          <w:lang w:eastAsia="en-GB"/>
        </w:rPr>
        <w:t>vs.</w:t>
      </w:r>
      <w:r w:rsidRPr="41550C52">
        <w:rPr>
          <w:rFonts w:ascii="Times New Roman" w:hAnsi="Times New Roman" w:cs="Times New Roman"/>
          <w:sz w:val="24"/>
          <w:szCs w:val="24"/>
          <w:lang w:eastAsia="en-GB"/>
        </w:rPr>
        <w:t xml:space="preserve"> storage time and corresponding squared correlation coefficients (R2) and polynomial model equation.</w:t>
      </w:r>
    </w:p>
    <w:tbl>
      <w:tblPr>
        <w:tblW w:w="5000" w:type="pct"/>
        <w:jc w:val="center"/>
        <w:tblCellMar>
          <w:left w:w="70" w:type="dxa"/>
          <w:right w:w="70" w:type="dxa"/>
        </w:tblCellMar>
        <w:tblLook w:val="04A0" w:firstRow="1" w:lastRow="0" w:firstColumn="1" w:lastColumn="0" w:noHBand="0" w:noVBand="1"/>
      </w:tblPr>
      <w:tblGrid>
        <w:gridCol w:w="985"/>
        <w:gridCol w:w="1311"/>
        <w:gridCol w:w="845"/>
        <w:gridCol w:w="848"/>
        <w:gridCol w:w="850"/>
        <w:gridCol w:w="1007"/>
        <w:gridCol w:w="843"/>
        <w:gridCol w:w="1108"/>
        <w:gridCol w:w="5207"/>
      </w:tblGrid>
      <w:tr w:rsidR="004A308D" w:rsidRPr="00BB778B" w14:paraId="52E05601" w14:textId="77777777" w:rsidTr="009B1AC2">
        <w:trPr>
          <w:trHeight w:val="315"/>
          <w:jc w:val="center"/>
        </w:trPr>
        <w:tc>
          <w:tcPr>
            <w:tcW w:w="379" w:type="pct"/>
            <w:vMerge w:val="restart"/>
            <w:tcBorders>
              <w:top w:val="single" w:sz="4" w:space="0" w:color="auto"/>
              <w:left w:val="nil"/>
              <w:bottom w:val="single" w:sz="4" w:space="0" w:color="000000"/>
              <w:right w:val="nil"/>
            </w:tcBorders>
            <w:shd w:val="clear" w:color="000000" w:fill="E7E6E6"/>
            <w:vAlign w:val="center"/>
            <w:hideMark/>
          </w:tcPr>
          <w:p w14:paraId="0A6AFFBD"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Prototype</w:t>
            </w:r>
          </w:p>
        </w:tc>
        <w:tc>
          <w:tcPr>
            <w:tcW w:w="504" w:type="pct"/>
            <w:vMerge w:val="restart"/>
            <w:tcBorders>
              <w:top w:val="single" w:sz="4" w:space="0" w:color="auto"/>
              <w:left w:val="nil"/>
              <w:bottom w:val="single" w:sz="4" w:space="0" w:color="000000"/>
              <w:right w:val="nil"/>
            </w:tcBorders>
            <w:shd w:val="clear" w:color="000000" w:fill="E7E6E6"/>
            <w:vAlign w:val="center"/>
            <w:hideMark/>
          </w:tcPr>
          <w:p w14:paraId="45E1A4F1"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Storage temperature (ºC)</w:t>
            </w:r>
          </w:p>
        </w:tc>
        <w:tc>
          <w:tcPr>
            <w:tcW w:w="2115" w:type="pct"/>
            <w:gridSpan w:val="6"/>
            <w:tcBorders>
              <w:top w:val="single" w:sz="4" w:space="0" w:color="auto"/>
              <w:left w:val="nil"/>
              <w:bottom w:val="nil"/>
              <w:right w:val="nil"/>
            </w:tcBorders>
            <w:shd w:val="clear" w:color="000000" w:fill="E7E6E6"/>
            <w:vAlign w:val="center"/>
            <w:hideMark/>
          </w:tcPr>
          <w:p w14:paraId="7C817CA0"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 xml:space="preserve">Mathematical models </w:t>
            </w:r>
            <w:r>
              <w:rPr>
                <w:rFonts w:ascii="Times New Roman" w:eastAsia="Times New Roman" w:hAnsi="Times New Roman" w:cs="Times New Roman"/>
                <w:b/>
                <w:bCs/>
                <w:color w:val="000000"/>
                <w:sz w:val="20"/>
                <w:szCs w:val="20"/>
                <w:lang w:eastAsia="es-CO"/>
              </w:rPr>
              <w:t>(R2)</w:t>
            </w:r>
          </w:p>
        </w:tc>
        <w:tc>
          <w:tcPr>
            <w:tcW w:w="2002" w:type="pct"/>
            <w:vMerge w:val="restart"/>
            <w:tcBorders>
              <w:top w:val="single" w:sz="4" w:space="0" w:color="auto"/>
              <w:left w:val="nil"/>
              <w:right w:val="nil"/>
            </w:tcBorders>
            <w:shd w:val="clear" w:color="000000" w:fill="E7E6E6"/>
            <w:vAlign w:val="center"/>
          </w:tcPr>
          <w:p w14:paraId="0E97067B" w14:textId="77777777" w:rsidR="004A308D" w:rsidRPr="2F666345" w:rsidRDefault="004A308D" w:rsidP="009B1AC2">
            <w:pPr>
              <w:spacing w:after="0" w:line="240" w:lineRule="auto"/>
              <w:jc w:val="center"/>
              <w:rPr>
                <w:rFonts w:ascii="Times New Roman" w:hAnsi="Times New Roman"/>
                <w:b/>
                <w:color w:val="000000" w:themeColor="text1"/>
              </w:rPr>
            </w:pPr>
            <w:r w:rsidRPr="2F666345">
              <w:rPr>
                <w:rFonts w:ascii="Times New Roman" w:hAnsi="Times New Roman"/>
                <w:b/>
                <w:bCs/>
                <w:color w:val="000000" w:themeColor="text1"/>
              </w:rPr>
              <w:t>Equation</w:t>
            </w:r>
          </w:p>
        </w:tc>
      </w:tr>
      <w:tr w:rsidR="004A308D" w:rsidRPr="00BB778B" w14:paraId="32D6CB7C" w14:textId="77777777" w:rsidTr="009B1AC2">
        <w:trPr>
          <w:trHeight w:val="525"/>
          <w:jc w:val="center"/>
        </w:trPr>
        <w:tc>
          <w:tcPr>
            <w:tcW w:w="379" w:type="pct"/>
            <w:vMerge/>
            <w:tcBorders>
              <w:top w:val="single" w:sz="4" w:space="0" w:color="auto"/>
              <w:left w:val="nil"/>
              <w:bottom w:val="single" w:sz="4" w:space="0" w:color="000000"/>
              <w:right w:val="nil"/>
            </w:tcBorders>
            <w:vAlign w:val="center"/>
            <w:hideMark/>
          </w:tcPr>
          <w:p w14:paraId="03503C7C"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504" w:type="pct"/>
            <w:vMerge/>
            <w:tcBorders>
              <w:top w:val="single" w:sz="4" w:space="0" w:color="auto"/>
              <w:left w:val="nil"/>
              <w:bottom w:val="single" w:sz="4" w:space="0" w:color="000000"/>
              <w:right w:val="nil"/>
            </w:tcBorders>
            <w:vAlign w:val="center"/>
            <w:hideMark/>
          </w:tcPr>
          <w:p w14:paraId="382D058A"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325" w:type="pct"/>
            <w:tcBorders>
              <w:top w:val="nil"/>
              <w:left w:val="nil"/>
              <w:bottom w:val="single" w:sz="4" w:space="0" w:color="auto"/>
              <w:right w:val="nil"/>
            </w:tcBorders>
            <w:shd w:val="clear" w:color="000000" w:fill="E7E6E6"/>
            <w:vAlign w:val="center"/>
            <w:hideMark/>
          </w:tcPr>
          <w:p w14:paraId="323A4438"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 xml:space="preserve">Zero </w:t>
            </w:r>
            <w:proofErr w:type="spellStart"/>
            <w:r w:rsidRPr="00BB778B">
              <w:rPr>
                <w:rFonts w:ascii="Times New Roman" w:eastAsia="Times New Roman" w:hAnsi="Times New Roman" w:cs="Times New Roman"/>
                <w:b/>
                <w:bCs/>
                <w:color w:val="000000"/>
                <w:sz w:val="20"/>
                <w:szCs w:val="20"/>
                <w:lang w:eastAsia="es-CO"/>
              </w:rPr>
              <w:t>orden</w:t>
            </w:r>
            <w:proofErr w:type="spellEnd"/>
          </w:p>
        </w:tc>
        <w:tc>
          <w:tcPr>
            <w:tcW w:w="326" w:type="pct"/>
            <w:tcBorders>
              <w:top w:val="nil"/>
              <w:left w:val="nil"/>
              <w:bottom w:val="single" w:sz="4" w:space="0" w:color="auto"/>
              <w:right w:val="nil"/>
            </w:tcBorders>
            <w:shd w:val="clear" w:color="000000" w:fill="E7E6E6"/>
            <w:vAlign w:val="center"/>
            <w:hideMark/>
          </w:tcPr>
          <w:p w14:paraId="0057F4F6"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 xml:space="preserve">First </w:t>
            </w:r>
            <w:proofErr w:type="spellStart"/>
            <w:r w:rsidRPr="00BB778B">
              <w:rPr>
                <w:rFonts w:ascii="Times New Roman" w:eastAsia="Times New Roman" w:hAnsi="Times New Roman" w:cs="Times New Roman"/>
                <w:b/>
                <w:bCs/>
                <w:color w:val="000000"/>
                <w:sz w:val="20"/>
                <w:szCs w:val="20"/>
                <w:lang w:eastAsia="es-CO"/>
              </w:rPr>
              <w:t>orden</w:t>
            </w:r>
            <w:proofErr w:type="spellEnd"/>
          </w:p>
        </w:tc>
        <w:tc>
          <w:tcPr>
            <w:tcW w:w="327" w:type="pct"/>
            <w:tcBorders>
              <w:top w:val="nil"/>
              <w:left w:val="nil"/>
              <w:bottom w:val="single" w:sz="4" w:space="0" w:color="auto"/>
              <w:right w:val="nil"/>
            </w:tcBorders>
            <w:shd w:val="clear" w:color="000000" w:fill="E7E6E6"/>
            <w:vAlign w:val="center"/>
            <w:hideMark/>
          </w:tcPr>
          <w:p w14:paraId="495D21F6"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Higuchi</w:t>
            </w:r>
          </w:p>
        </w:tc>
        <w:tc>
          <w:tcPr>
            <w:tcW w:w="387" w:type="pct"/>
            <w:tcBorders>
              <w:top w:val="nil"/>
              <w:left w:val="nil"/>
              <w:bottom w:val="single" w:sz="4" w:space="0" w:color="auto"/>
              <w:right w:val="nil"/>
            </w:tcBorders>
            <w:shd w:val="clear" w:color="000000" w:fill="E7E6E6"/>
            <w:vAlign w:val="center"/>
            <w:hideMark/>
          </w:tcPr>
          <w:p w14:paraId="14ECB4BC"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roofErr w:type="spellStart"/>
            <w:r w:rsidRPr="00BB778B">
              <w:rPr>
                <w:rFonts w:ascii="Times New Roman" w:eastAsia="Times New Roman" w:hAnsi="Times New Roman" w:cs="Times New Roman"/>
                <w:b/>
                <w:bCs/>
                <w:color w:val="000000"/>
                <w:sz w:val="20"/>
                <w:szCs w:val="20"/>
                <w:lang w:eastAsia="es-CO"/>
              </w:rPr>
              <w:t>Kosmeyer</w:t>
            </w:r>
            <w:proofErr w:type="spellEnd"/>
            <w:r w:rsidRPr="00BB778B">
              <w:rPr>
                <w:rFonts w:ascii="Times New Roman" w:eastAsia="Times New Roman" w:hAnsi="Times New Roman" w:cs="Times New Roman"/>
                <w:b/>
                <w:bCs/>
                <w:color w:val="000000"/>
                <w:sz w:val="20"/>
                <w:szCs w:val="20"/>
                <w:lang w:eastAsia="es-CO"/>
              </w:rPr>
              <w:t xml:space="preserve"> </w:t>
            </w:r>
            <w:proofErr w:type="spellStart"/>
            <w:r w:rsidRPr="00BB778B">
              <w:rPr>
                <w:rFonts w:ascii="Times New Roman" w:eastAsia="Times New Roman" w:hAnsi="Times New Roman" w:cs="Times New Roman"/>
                <w:b/>
                <w:bCs/>
                <w:color w:val="000000"/>
                <w:sz w:val="20"/>
                <w:szCs w:val="20"/>
                <w:lang w:eastAsia="es-CO"/>
              </w:rPr>
              <w:t>pepar</w:t>
            </w:r>
            <w:proofErr w:type="spellEnd"/>
          </w:p>
        </w:tc>
        <w:tc>
          <w:tcPr>
            <w:tcW w:w="324" w:type="pct"/>
            <w:tcBorders>
              <w:top w:val="nil"/>
              <w:left w:val="nil"/>
              <w:bottom w:val="single" w:sz="4" w:space="0" w:color="auto"/>
              <w:right w:val="nil"/>
            </w:tcBorders>
            <w:shd w:val="clear" w:color="000000" w:fill="E7E6E6"/>
            <w:vAlign w:val="center"/>
            <w:hideMark/>
          </w:tcPr>
          <w:p w14:paraId="57DE5468"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roofErr w:type="spellStart"/>
            <w:r w:rsidRPr="00BB778B">
              <w:rPr>
                <w:rFonts w:ascii="Times New Roman" w:eastAsia="Times New Roman" w:hAnsi="Times New Roman" w:cs="Times New Roman"/>
                <w:b/>
                <w:bCs/>
                <w:color w:val="000000"/>
                <w:sz w:val="20"/>
                <w:szCs w:val="20"/>
                <w:lang w:eastAsia="es-CO"/>
              </w:rPr>
              <w:t>Hisson</w:t>
            </w:r>
            <w:proofErr w:type="spellEnd"/>
            <w:r w:rsidRPr="00BB778B">
              <w:rPr>
                <w:rFonts w:ascii="Times New Roman" w:eastAsia="Times New Roman" w:hAnsi="Times New Roman" w:cs="Times New Roman"/>
                <w:b/>
                <w:bCs/>
                <w:color w:val="000000"/>
                <w:sz w:val="20"/>
                <w:szCs w:val="20"/>
                <w:lang w:eastAsia="es-CO"/>
              </w:rPr>
              <w:t xml:space="preserve">- </w:t>
            </w:r>
            <w:proofErr w:type="spellStart"/>
            <w:r w:rsidRPr="00BB778B">
              <w:rPr>
                <w:rFonts w:ascii="Times New Roman" w:eastAsia="Times New Roman" w:hAnsi="Times New Roman" w:cs="Times New Roman"/>
                <w:b/>
                <w:bCs/>
                <w:color w:val="000000"/>
                <w:sz w:val="20"/>
                <w:szCs w:val="20"/>
                <w:lang w:eastAsia="es-CO"/>
              </w:rPr>
              <w:t>Crowel</w:t>
            </w:r>
            <w:proofErr w:type="spellEnd"/>
          </w:p>
        </w:tc>
        <w:tc>
          <w:tcPr>
            <w:tcW w:w="426" w:type="pct"/>
            <w:tcBorders>
              <w:top w:val="nil"/>
              <w:left w:val="nil"/>
              <w:bottom w:val="single" w:sz="4" w:space="0" w:color="auto"/>
              <w:right w:val="nil"/>
            </w:tcBorders>
            <w:shd w:val="clear" w:color="000000" w:fill="E7E6E6"/>
            <w:vAlign w:val="center"/>
            <w:hideMark/>
          </w:tcPr>
          <w:p w14:paraId="0758F7E5"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Polynomial</w:t>
            </w:r>
          </w:p>
        </w:tc>
        <w:tc>
          <w:tcPr>
            <w:tcW w:w="2002" w:type="pct"/>
            <w:vMerge/>
            <w:tcBorders>
              <w:left w:val="nil"/>
              <w:bottom w:val="single" w:sz="4" w:space="0" w:color="auto"/>
              <w:right w:val="nil"/>
            </w:tcBorders>
            <w:shd w:val="clear" w:color="000000" w:fill="E7E6E6"/>
            <w:vAlign w:val="center"/>
          </w:tcPr>
          <w:p w14:paraId="7B2AC50F" w14:textId="77777777" w:rsidR="004A308D" w:rsidRPr="00BB778B" w:rsidRDefault="004A308D" w:rsidP="009B1AC2">
            <w:pPr>
              <w:spacing w:after="0" w:line="240" w:lineRule="auto"/>
              <w:jc w:val="center"/>
              <w:rPr>
                <w:rFonts w:ascii="Times New Roman" w:eastAsia="Times New Roman" w:hAnsi="Times New Roman" w:cs="Times New Roman"/>
                <w:b/>
                <w:color w:val="000000"/>
                <w:sz w:val="20"/>
                <w:szCs w:val="20"/>
                <w:lang w:eastAsia="es-CO"/>
              </w:rPr>
            </w:pPr>
          </w:p>
        </w:tc>
      </w:tr>
      <w:tr w:rsidR="004A308D" w:rsidRPr="00BB778B" w14:paraId="40C1DF85" w14:textId="77777777" w:rsidTr="009B1AC2">
        <w:trPr>
          <w:trHeight w:val="300"/>
          <w:jc w:val="center"/>
        </w:trPr>
        <w:tc>
          <w:tcPr>
            <w:tcW w:w="379" w:type="pct"/>
            <w:vMerge w:val="restart"/>
            <w:tcBorders>
              <w:top w:val="nil"/>
              <w:left w:val="nil"/>
              <w:bottom w:val="single" w:sz="4" w:space="0" w:color="000000"/>
              <w:right w:val="nil"/>
            </w:tcBorders>
            <w:shd w:val="clear" w:color="auto" w:fill="auto"/>
            <w:noWrap/>
            <w:vAlign w:val="center"/>
            <w:hideMark/>
          </w:tcPr>
          <w:p w14:paraId="75491169"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P1</w:t>
            </w:r>
          </w:p>
        </w:tc>
        <w:tc>
          <w:tcPr>
            <w:tcW w:w="504" w:type="pct"/>
            <w:tcBorders>
              <w:top w:val="single" w:sz="4" w:space="0" w:color="auto"/>
              <w:left w:val="nil"/>
              <w:bottom w:val="nil"/>
              <w:right w:val="nil"/>
            </w:tcBorders>
            <w:shd w:val="clear" w:color="auto" w:fill="auto"/>
            <w:noWrap/>
            <w:vAlign w:val="center"/>
            <w:hideMark/>
          </w:tcPr>
          <w:p w14:paraId="0F2DE049"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8°C</w:t>
            </w:r>
          </w:p>
        </w:tc>
        <w:tc>
          <w:tcPr>
            <w:tcW w:w="325" w:type="pct"/>
            <w:tcBorders>
              <w:top w:val="nil"/>
              <w:left w:val="nil"/>
              <w:bottom w:val="nil"/>
              <w:right w:val="nil"/>
            </w:tcBorders>
            <w:shd w:val="clear" w:color="auto" w:fill="auto"/>
            <w:noWrap/>
            <w:vAlign w:val="center"/>
            <w:hideMark/>
          </w:tcPr>
          <w:p w14:paraId="6E01FCCD"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3721</w:t>
            </w:r>
          </w:p>
        </w:tc>
        <w:tc>
          <w:tcPr>
            <w:tcW w:w="326" w:type="pct"/>
            <w:tcBorders>
              <w:top w:val="nil"/>
              <w:left w:val="nil"/>
              <w:bottom w:val="nil"/>
              <w:right w:val="nil"/>
            </w:tcBorders>
            <w:shd w:val="clear" w:color="auto" w:fill="auto"/>
            <w:noWrap/>
            <w:vAlign w:val="center"/>
            <w:hideMark/>
          </w:tcPr>
          <w:p w14:paraId="5D4C2BB9"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3708</w:t>
            </w:r>
          </w:p>
        </w:tc>
        <w:tc>
          <w:tcPr>
            <w:tcW w:w="327" w:type="pct"/>
            <w:tcBorders>
              <w:top w:val="nil"/>
              <w:left w:val="nil"/>
              <w:bottom w:val="nil"/>
              <w:right w:val="nil"/>
            </w:tcBorders>
            <w:shd w:val="clear" w:color="auto" w:fill="auto"/>
            <w:noWrap/>
            <w:vAlign w:val="center"/>
            <w:hideMark/>
          </w:tcPr>
          <w:p w14:paraId="4E363DBC"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3363</w:t>
            </w:r>
          </w:p>
        </w:tc>
        <w:tc>
          <w:tcPr>
            <w:tcW w:w="387" w:type="pct"/>
            <w:tcBorders>
              <w:top w:val="nil"/>
              <w:left w:val="nil"/>
              <w:bottom w:val="nil"/>
              <w:right w:val="nil"/>
            </w:tcBorders>
            <w:shd w:val="clear" w:color="auto" w:fill="auto"/>
            <w:noWrap/>
            <w:vAlign w:val="center"/>
            <w:hideMark/>
          </w:tcPr>
          <w:p w14:paraId="11EB33DC"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3465</w:t>
            </w:r>
          </w:p>
        </w:tc>
        <w:tc>
          <w:tcPr>
            <w:tcW w:w="324" w:type="pct"/>
            <w:tcBorders>
              <w:top w:val="nil"/>
              <w:left w:val="nil"/>
              <w:bottom w:val="nil"/>
              <w:right w:val="nil"/>
            </w:tcBorders>
            <w:shd w:val="clear" w:color="auto" w:fill="auto"/>
            <w:noWrap/>
            <w:vAlign w:val="center"/>
            <w:hideMark/>
          </w:tcPr>
          <w:p w14:paraId="07313B3E"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3714</w:t>
            </w:r>
          </w:p>
        </w:tc>
        <w:tc>
          <w:tcPr>
            <w:tcW w:w="426" w:type="pct"/>
            <w:tcBorders>
              <w:top w:val="nil"/>
              <w:left w:val="nil"/>
              <w:bottom w:val="nil"/>
              <w:right w:val="nil"/>
            </w:tcBorders>
            <w:shd w:val="clear" w:color="auto" w:fill="auto"/>
            <w:noWrap/>
            <w:vAlign w:val="center"/>
            <w:hideMark/>
          </w:tcPr>
          <w:p w14:paraId="06BA7578"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6260</w:t>
            </w:r>
          </w:p>
        </w:tc>
        <w:tc>
          <w:tcPr>
            <w:tcW w:w="2002" w:type="pct"/>
            <w:tcBorders>
              <w:top w:val="nil"/>
              <w:left w:val="nil"/>
              <w:bottom w:val="nil"/>
              <w:right w:val="nil"/>
            </w:tcBorders>
            <w:vAlign w:val="center"/>
          </w:tcPr>
          <w:p w14:paraId="3A393C0F"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 xml:space="preserve">y= </m:t>
                </m:r>
                <m:r>
                  <m:rPr>
                    <m:sty m:val="p"/>
                  </m:rPr>
                  <w:rPr>
                    <w:rFonts w:ascii="Cambria Math" w:hAnsi="Cambria Math"/>
                    <w:color w:val="000000" w:themeColor="text1"/>
                  </w:rPr>
                  <m:t>0.0261</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3</m:t>
                    </m:r>
                  </m:sup>
                </m:sSup>
                <m:r>
                  <w:rPr>
                    <w:rFonts w:ascii="Cambria Math" w:hAnsi="Cambria Math"/>
                    <w:color w:val="000000" w:themeColor="text1"/>
                  </w:rPr>
                  <m:t xml:space="preserve">- </m:t>
                </m:r>
                <m:r>
                  <m:rPr>
                    <m:sty m:val="p"/>
                  </m:rPr>
                  <w:rPr>
                    <w:rFonts w:ascii="Cambria Math" w:hAnsi="Cambria Math"/>
                    <w:color w:val="000000" w:themeColor="text1"/>
                  </w:rPr>
                  <m:t>0.2152</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 xml:space="preserve"> </m:t>
                </m:r>
                <m:r>
                  <m:rPr>
                    <m:sty m:val="p"/>
                  </m:rPr>
                  <w:rPr>
                    <w:rFonts w:ascii="Cambria Math" w:hAnsi="Cambria Math"/>
                    <w:color w:val="000000" w:themeColor="text1"/>
                  </w:rPr>
                  <m:t>+ 0.2648</m:t>
                </m:r>
                <m:r>
                  <m:rPr>
                    <m:scr m:val="script"/>
                    <m:sty m:val="p"/>
                  </m:rPr>
                  <w:rPr>
                    <w:rFonts w:ascii="Cambria Math" w:hAnsi="Cambria Math"/>
                    <w:color w:val="000000" w:themeColor="text1"/>
                  </w:rPr>
                  <m:t>x</m:t>
                </m:r>
                <m:r>
                  <m:rPr>
                    <m:sty m:val="p"/>
                  </m:rPr>
                  <w:rPr>
                    <w:rFonts w:ascii="Cambria Math" w:hAnsi="Cambria Math"/>
                    <w:color w:val="000000" w:themeColor="text1"/>
                  </w:rPr>
                  <m:t>+ 6.4594</m:t>
                </m:r>
              </m:oMath>
            </m:oMathPara>
          </w:p>
        </w:tc>
      </w:tr>
      <w:tr w:rsidR="004A308D" w:rsidRPr="00BB778B" w14:paraId="38538E75" w14:textId="77777777" w:rsidTr="009B1AC2">
        <w:trPr>
          <w:trHeight w:val="300"/>
          <w:jc w:val="center"/>
        </w:trPr>
        <w:tc>
          <w:tcPr>
            <w:tcW w:w="379" w:type="pct"/>
            <w:vMerge/>
            <w:tcBorders>
              <w:top w:val="nil"/>
              <w:left w:val="nil"/>
              <w:bottom w:val="single" w:sz="4" w:space="0" w:color="000000"/>
              <w:right w:val="nil"/>
            </w:tcBorders>
            <w:vAlign w:val="center"/>
            <w:hideMark/>
          </w:tcPr>
          <w:p w14:paraId="68A8C383"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504" w:type="pct"/>
            <w:tcBorders>
              <w:top w:val="nil"/>
              <w:left w:val="nil"/>
              <w:bottom w:val="nil"/>
              <w:right w:val="nil"/>
            </w:tcBorders>
            <w:shd w:val="clear" w:color="auto" w:fill="auto"/>
            <w:noWrap/>
            <w:vAlign w:val="center"/>
            <w:hideMark/>
          </w:tcPr>
          <w:p w14:paraId="2D615C65"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18°C</w:t>
            </w:r>
          </w:p>
        </w:tc>
        <w:tc>
          <w:tcPr>
            <w:tcW w:w="325" w:type="pct"/>
            <w:tcBorders>
              <w:top w:val="nil"/>
              <w:left w:val="nil"/>
              <w:bottom w:val="nil"/>
              <w:right w:val="nil"/>
            </w:tcBorders>
            <w:shd w:val="clear" w:color="auto" w:fill="auto"/>
            <w:noWrap/>
            <w:vAlign w:val="center"/>
            <w:hideMark/>
          </w:tcPr>
          <w:p w14:paraId="0B226670"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5920</w:t>
            </w:r>
          </w:p>
        </w:tc>
        <w:tc>
          <w:tcPr>
            <w:tcW w:w="326" w:type="pct"/>
            <w:tcBorders>
              <w:top w:val="nil"/>
              <w:left w:val="nil"/>
              <w:bottom w:val="nil"/>
              <w:right w:val="nil"/>
            </w:tcBorders>
            <w:shd w:val="clear" w:color="auto" w:fill="auto"/>
            <w:noWrap/>
            <w:vAlign w:val="center"/>
            <w:hideMark/>
          </w:tcPr>
          <w:p w14:paraId="41C07EB3"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5781</w:t>
            </w:r>
          </w:p>
        </w:tc>
        <w:tc>
          <w:tcPr>
            <w:tcW w:w="327" w:type="pct"/>
            <w:tcBorders>
              <w:top w:val="nil"/>
              <w:left w:val="nil"/>
              <w:bottom w:val="nil"/>
              <w:right w:val="nil"/>
            </w:tcBorders>
            <w:shd w:val="clear" w:color="auto" w:fill="auto"/>
            <w:noWrap/>
            <w:vAlign w:val="center"/>
            <w:hideMark/>
          </w:tcPr>
          <w:p w14:paraId="10C972B8"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6390</w:t>
            </w:r>
          </w:p>
        </w:tc>
        <w:tc>
          <w:tcPr>
            <w:tcW w:w="387" w:type="pct"/>
            <w:tcBorders>
              <w:top w:val="nil"/>
              <w:left w:val="nil"/>
              <w:bottom w:val="nil"/>
              <w:right w:val="nil"/>
            </w:tcBorders>
            <w:shd w:val="clear" w:color="auto" w:fill="auto"/>
            <w:noWrap/>
            <w:vAlign w:val="center"/>
            <w:hideMark/>
          </w:tcPr>
          <w:p w14:paraId="1B42C095"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6369</w:t>
            </w:r>
          </w:p>
        </w:tc>
        <w:tc>
          <w:tcPr>
            <w:tcW w:w="324" w:type="pct"/>
            <w:tcBorders>
              <w:top w:val="nil"/>
              <w:left w:val="nil"/>
              <w:bottom w:val="nil"/>
              <w:right w:val="nil"/>
            </w:tcBorders>
            <w:shd w:val="clear" w:color="auto" w:fill="auto"/>
            <w:noWrap/>
            <w:vAlign w:val="center"/>
            <w:hideMark/>
          </w:tcPr>
          <w:p w14:paraId="6AE2CF65"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5829</w:t>
            </w:r>
          </w:p>
        </w:tc>
        <w:tc>
          <w:tcPr>
            <w:tcW w:w="426" w:type="pct"/>
            <w:tcBorders>
              <w:top w:val="nil"/>
              <w:left w:val="nil"/>
              <w:bottom w:val="nil"/>
              <w:right w:val="nil"/>
            </w:tcBorders>
            <w:shd w:val="clear" w:color="auto" w:fill="auto"/>
            <w:noWrap/>
            <w:vAlign w:val="center"/>
            <w:hideMark/>
          </w:tcPr>
          <w:p w14:paraId="1A3B4988"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9861</w:t>
            </w:r>
          </w:p>
        </w:tc>
        <w:tc>
          <w:tcPr>
            <w:tcW w:w="2002" w:type="pct"/>
            <w:tcBorders>
              <w:top w:val="nil"/>
              <w:left w:val="nil"/>
              <w:bottom w:val="nil"/>
              <w:right w:val="nil"/>
            </w:tcBorders>
            <w:vAlign w:val="center"/>
          </w:tcPr>
          <w:p w14:paraId="6F80B959"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 xml:space="preserve">y= </m:t>
                </m:r>
                <m:r>
                  <m:rPr>
                    <m:sty m:val="p"/>
                  </m:rPr>
                  <w:rPr>
                    <w:rFonts w:ascii="Cambria Math" w:hAnsi="Cambria Math"/>
                    <w:color w:val="000000" w:themeColor="text1"/>
                  </w:rPr>
                  <m:t>0.0246</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3</m:t>
                    </m:r>
                  </m:sup>
                </m:sSup>
                <m:r>
                  <w:rPr>
                    <w:rFonts w:ascii="Cambria Math" w:hAnsi="Cambria Math"/>
                    <w:color w:val="000000" w:themeColor="text1"/>
                  </w:rPr>
                  <m:t xml:space="preserve">- </m:t>
                </m:r>
                <m:r>
                  <m:rPr>
                    <m:sty m:val="p"/>
                  </m:rPr>
                  <w:rPr>
                    <w:rFonts w:ascii="Cambria Math" w:hAnsi="Cambria Math"/>
                    <w:color w:val="000000" w:themeColor="text1"/>
                  </w:rPr>
                  <m:t>0.1693</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 xml:space="preserve"> </m:t>
                </m:r>
                <m:r>
                  <m:rPr>
                    <m:sty m:val="p"/>
                  </m:rPr>
                  <w:rPr>
                    <w:rFonts w:ascii="Cambria Math" w:hAnsi="Cambria Math"/>
                    <w:color w:val="000000" w:themeColor="text1"/>
                  </w:rPr>
                  <m:t>+ 0.0192</m:t>
                </m:r>
                <m:r>
                  <m:rPr>
                    <m:scr m:val="script"/>
                    <m:sty m:val="p"/>
                  </m:rPr>
                  <w:rPr>
                    <w:rFonts w:ascii="Cambria Math" w:hAnsi="Cambria Math"/>
                    <w:color w:val="000000" w:themeColor="text1"/>
                  </w:rPr>
                  <m:t>x</m:t>
                </m:r>
                <m:r>
                  <m:rPr>
                    <m:sty m:val="p"/>
                  </m:rPr>
                  <w:rPr>
                    <w:rFonts w:ascii="Cambria Math" w:hAnsi="Cambria Math"/>
                    <w:color w:val="000000" w:themeColor="text1"/>
                  </w:rPr>
                  <m:t>+ 6.5121</m:t>
                </m:r>
              </m:oMath>
            </m:oMathPara>
          </w:p>
        </w:tc>
      </w:tr>
      <w:tr w:rsidR="004A308D" w:rsidRPr="00BB778B" w14:paraId="7AC13948" w14:textId="77777777" w:rsidTr="009B1AC2">
        <w:trPr>
          <w:trHeight w:val="300"/>
          <w:jc w:val="center"/>
        </w:trPr>
        <w:tc>
          <w:tcPr>
            <w:tcW w:w="379" w:type="pct"/>
            <w:vMerge/>
            <w:tcBorders>
              <w:top w:val="nil"/>
              <w:left w:val="nil"/>
              <w:bottom w:val="single" w:sz="4" w:space="0" w:color="000000"/>
              <w:right w:val="nil"/>
            </w:tcBorders>
            <w:vAlign w:val="center"/>
            <w:hideMark/>
          </w:tcPr>
          <w:p w14:paraId="788CF38B"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504" w:type="pct"/>
            <w:tcBorders>
              <w:top w:val="nil"/>
              <w:left w:val="nil"/>
              <w:bottom w:val="single" w:sz="4" w:space="0" w:color="auto"/>
              <w:right w:val="nil"/>
            </w:tcBorders>
            <w:shd w:val="clear" w:color="auto" w:fill="auto"/>
            <w:noWrap/>
            <w:vAlign w:val="center"/>
            <w:hideMark/>
          </w:tcPr>
          <w:p w14:paraId="526821EB"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28°C</w:t>
            </w:r>
          </w:p>
        </w:tc>
        <w:tc>
          <w:tcPr>
            <w:tcW w:w="325" w:type="pct"/>
            <w:tcBorders>
              <w:top w:val="nil"/>
              <w:left w:val="nil"/>
              <w:bottom w:val="single" w:sz="4" w:space="0" w:color="auto"/>
              <w:right w:val="nil"/>
            </w:tcBorders>
            <w:shd w:val="clear" w:color="auto" w:fill="auto"/>
            <w:noWrap/>
            <w:vAlign w:val="center"/>
            <w:hideMark/>
          </w:tcPr>
          <w:p w14:paraId="7FEA091D"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4897</w:t>
            </w:r>
          </w:p>
        </w:tc>
        <w:tc>
          <w:tcPr>
            <w:tcW w:w="326" w:type="pct"/>
            <w:tcBorders>
              <w:top w:val="nil"/>
              <w:left w:val="nil"/>
              <w:bottom w:val="single" w:sz="4" w:space="0" w:color="auto"/>
              <w:right w:val="nil"/>
            </w:tcBorders>
            <w:shd w:val="clear" w:color="auto" w:fill="auto"/>
            <w:noWrap/>
            <w:vAlign w:val="center"/>
            <w:hideMark/>
          </w:tcPr>
          <w:p w14:paraId="506C8815"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4795</w:t>
            </w:r>
          </w:p>
        </w:tc>
        <w:tc>
          <w:tcPr>
            <w:tcW w:w="327" w:type="pct"/>
            <w:tcBorders>
              <w:top w:val="nil"/>
              <w:left w:val="nil"/>
              <w:bottom w:val="single" w:sz="4" w:space="0" w:color="auto"/>
              <w:right w:val="nil"/>
            </w:tcBorders>
            <w:shd w:val="clear" w:color="auto" w:fill="auto"/>
            <w:noWrap/>
            <w:vAlign w:val="center"/>
            <w:hideMark/>
          </w:tcPr>
          <w:p w14:paraId="6EAD72DB"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6727</w:t>
            </w:r>
          </w:p>
        </w:tc>
        <w:tc>
          <w:tcPr>
            <w:tcW w:w="387" w:type="pct"/>
            <w:tcBorders>
              <w:top w:val="nil"/>
              <w:left w:val="nil"/>
              <w:bottom w:val="single" w:sz="4" w:space="0" w:color="auto"/>
              <w:right w:val="nil"/>
            </w:tcBorders>
            <w:shd w:val="clear" w:color="auto" w:fill="auto"/>
            <w:noWrap/>
            <w:vAlign w:val="center"/>
            <w:hideMark/>
          </w:tcPr>
          <w:p w14:paraId="0F1C249D"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5965</w:t>
            </w:r>
          </w:p>
        </w:tc>
        <w:tc>
          <w:tcPr>
            <w:tcW w:w="324" w:type="pct"/>
            <w:tcBorders>
              <w:top w:val="nil"/>
              <w:left w:val="nil"/>
              <w:bottom w:val="single" w:sz="4" w:space="0" w:color="auto"/>
              <w:right w:val="nil"/>
            </w:tcBorders>
            <w:shd w:val="clear" w:color="auto" w:fill="auto"/>
            <w:noWrap/>
            <w:vAlign w:val="center"/>
            <w:hideMark/>
          </w:tcPr>
          <w:p w14:paraId="45B541A0"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4831</w:t>
            </w:r>
          </w:p>
        </w:tc>
        <w:tc>
          <w:tcPr>
            <w:tcW w:w="426" w:type="pct"/>
            <w:tcBorders>
              <w:top w:val="nil"/>
              <w:left w:val="nil"/>
              <w:bottom w:val="single" w:sz="4" w:space="0" w:color="auto"/>
              <w:right w:val="nil"/>
            </w:tcBorders>
            <w:shd w:val="clear" w:color="auto" w:fill="auto"/>
            <w:noWrap/>
            <w:vAlign w:val="center"/>
            <w:hideMark/>
          </w:tcPr>
          <w:p w14:paraId="55A35F81"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8718</w:t>
            </w:r>
          </w:p>
        </w:tc>
        <w:tc>
          <w:tcPr>
            <w:tcW w:w="2002" w:type="pct"/>
            <w:tcBorders>
              <w:top w:val="nil"/>
              <w:left w:val="nil"/>
              <w:bottom w:val="single" w:sz="4" w:space="0" w:color="auto"/>
              <w:right w:val="nil"/>
            </w:tcBorders>
            <w:vAlign w:val="center"/>
          </w:tcPr>
          <w:p w14:paraId="7793C388"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 xml:space="preserve">y= </m:t>
                </m:r>
                <m:r>
                  <m:rPr>
                    <m:sty m:val="p"/>
                  </m:rPr>
                  <w:rPr>
                    <w:rFonts w:ascii="Cambria Math" w:hAnsi="Cambria Math"/>
                    <w:color w:val="000000" w:themeColor="text1"/>
                  </w:rPr>
                  <m:t>0.0689</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m:t>
                </m:r>
                <m:r>
                  <m:rPr>
                    <m:sty m:val="p"/>
                  </m:rPr>
                  <w:rPr>
                    <w:rFonts w:ascii="Cambria Math" w:hAnsi="Cambria Math"/>
                    <w:color w:val="000000" w:themeColor="text1"/>
                  </w:rPr>
                  <m:t xml:space="preserve"> 0.5923</m:t>
                </m:r>
                <m:r>
                  <m:rPr>
                    <m:scr m:val="script"/>
                    <m:sty m:val="p"/>
                  </m:rPr>
                  <w:rPr>
                    <w:rFonts w:ascii="Cambria Math" w:hAnsi="Cambria Math"/>
                    <w:color w:val="000000" w:themeColor="text1"/>
                  </w:rPr>
                  <m:t>x</m:t>
                </m:r>
                <m:r>
                  <m:rPr>
                    <m:sty m:val="p"/>
                  </m:rPr>
                  <w:rPr>
                    <w:rFonts w:ascii="Cambria Math" w:hAnsi="Cambria Math"/>
                    <w:color w:val="000000" w:themeColor="text1"/>
                  </w:rPr>
                  <m:t>+ 6.5873</m:t>
                </m:r>
              </m:oMath>
            </m:oMathPara>
          </w:p>
        </w:tc>
      </w:tr>
      <w:tr w:rsidR="004A308D" w:rsidRPr="00BB778B" w14:paraId="386A9DAD" w14:textId="77777777" w:rsidTr="009B1AC2">
        <w:trPr>
          <w:trHeight w:val="300"/>
          <w:jc w:val="center"/>
        </w:trPr>
        <w:tc>
          <w:tcPr>
            <w:tcW w:w="379" w:type="pct"/>
            <w:vMerge w:val="restart"/>
            <w:tcBorders>
              <w:top w:val="nil"/>
              <w:left w:val="nil"/>
              <w:bottom w:val="single" w:sz="4" w:space="0" w:color="000000"/>
              <w:right w:val="nil"/>
            </w:tcBorders>
            <w:shd w:val="clear" w:color="auto" w:fill="auto"/>
            <w:noWrap/>
            <w:vAlign w:val="center"/>
            <w:hideMark/>
          </w:tcPr>
          <w:p w14:paraId="61BF692E"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P</w:t>
            </w:r>
            <w:r>
              <w:rPr>
                <w:rFonts w:ascii="Times New Roman" w:eastAsia="Times New Roman" w:hAnsi="Times New Roman" w:cs="Times New Roman"/>
                <w:b/>
                <w:bCs/>
                <w:color w:val="000000"/>
                <w:sz w:val="20"/>
                <w:szCs w:val="20"/>
                <w:lang w:eastAsia="es-CO"/>
              </w:rPr>
              <w:t>2</w:t>
            </w:r>
          </w:p>
        </w:tc>
        <w:tc>
          <w:tcPr>
            <w:tcW w:w="504" w:type="pct"/>
            <w:tcBorders>
              <w:top w:val="single" w:sz="4" w:space="0" w:color="auto"/>
              <w:left w:val="nil"/>
              <w:bottom w:val="nil"/>
              <w:right w:val="nil"/>
            </w:tcBorders>
            <w:shd w:val="clear" w:color="auto" w:fill="auto"/>
            <w:noWrap/>
            <w:vAlign w:val="center"/>
            <w:hideMark/>
          </w:tcPr>
          <w:p w14:paraId="0732E474"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8°C</w:t>
            </w:r>
          </w:p>
        </w:tc>
        <w:tc>
          <w:tcPr>
            <w:tcW w:w="325" w:type="pct"/>
            <w:tcBorders>
              <w:top w:val="nil"/>
              <w:left w:val="nil"/>
              <w:bottom w:val="nil"/>
              <w:right w:val="nil"/>
            </w:tcBorders>
            <w:shd w:val="clear" w:color="auto" w:fill="auto"/>
            <w:noWrap/>
            <w:vAlign w:val="center"/>
            <w:hideMark/>
          </w:tcPr>
          <w:p w14:paraId="4672E858"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1241</w:t>
            </w:r>
          </w:p>
        </w:tc>
        <w:tc>
          <w:tcPr>
            <w:tcW w:w="326" w:type="pct"/>
            <w:tcBorders>
              <w:top w:val="nil"/>
              <w:left w:val="nil"/>
              <w:bottom w:val="nil"/>
              <w:right w:val="nil"/>
            </w:tcBorders>
            <w:shd w:val="clear" w:color="auto" w:fill="auto"/>
            <w:noWrap/>
            <w:vAlign w:val="center"/>
            <w:hideMark/>
          </w:tcPr>
          <w:p w14:paraId="41484645"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1136</w:t>
            </w:r>
          </w:p>
        </w:tc>
        <w:tc>
          <w:tcPr>
            <w:tcW w:w="327" w:type="pct"/>
            <w:tcBorders>
              <w:top w:val="nil"/>
              <w:left w:val="nil"/>
              <w:bottom w:val="nil"/>
              <w:right w:val="nil"/>
            </w:tcBorders>
            <w:shd w:val="clear" w:color="auto" w:fill="auto"/>
            <w:noWrap/>
            <w:vAlign w:val="center"/>
            <w:hideMark/>
          </w:tcPr>
          <w:p w14:paraId="0CBC97CA"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2391</w:t>
            </w:r>
          </w:p>
        </w:tc>
        <w:tc>
          <w:tcPr>
            <w:tcW w:w="387" w:type="pct"/>
            <w:tcBorders>
              <w:top w:val="nil"/>
              <w:left w:val="nil"/>
              <w:bottom w:val="nil"/>
              <w:right w:val="nil"/>
            </w:tcBorders>
            <w:shd w:val="clear" w:color="auto" w:fill="auto"/>
            <w:noWrap/>
            <w:vAlign w:val="center"/>
            <w:hideMark/>
          </w:tcPr>
          <w:p w14:paraId="3A17E83D"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0739</w:t>
            </w:r>
          </w:p>
        </w:tc>
        <w:tc>
          <w:tcPr>
            <w:tcW w:w="324" w:type="pct"/>
            <w:tcBorders>
              <w:top w:val="nil"/>
              <w:left w:val="nil"/>
              <w:bottom w:val="nil"/>
              <w:right w:val="nil"/>
            </w:tcBorders>
            <w:shd w:val="clear" w:color="auto" w:fill="auto"/>
            <w:noWrap/>
            <w:vAlign w:val="center"/>
            <w:hideMark/>
          </w:tcPr>
          <w:p w14:paraId="42354D6B"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1170</w:t>
            </w:r>
          </w:p>
        </w:tc>
        <w:tc>
          <w:tcPr>
            <w:tcW w:w="426" w:type="pct"/>
            <w:tcBorders>
              <w:top w:val="nil"/>
              <w:left w:val="nil"/>
              <w:bottom w:val="nil"/>
              <w:right w:val="nil"/>
            </w:tcBorders>
            <w:shd w:val="clear" w:color="auto" w:fill="auto"/>
            <w:noWrap/>
            <w:vAlign w:val="center"/>
            <w:hideMark/>
          </w:tcPr>
          <w:p w14:paraId="11E7D2DF"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7995</w:t>
            </w:r>
          </w:p>
        </w:tc>
        <w:tc>
          <w:tcPr>
            <w:tcW w:w="2002" w:type="pct"/>
            <w:tcBorders>
              <w:top w:val="nil"/>
              <w:left w:val="nil"/>
              <w:bottom w:val="nil"/>
              <w:right w:val="nil"/>
            </w:tcBorders>
            <w:vAlign w:val="center"/>
          </w:tcPr>
          <w:p w14:paraId="0591760E"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y= -</m:t>
                </m:r>
                <m:r>
                  <m:rPr>
                    <m:sty m:val="p"/>
                  </m:rPr>
                  <w:rPr>
                    <w:rFonts w:ascii="Cambria Math" w:hAnsi="Cambria Math"/>
                    <w:color w:val="000000" w:themeColor="text1"/>
                  </w:rPr>
                  <m:t>0.0137</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3</m:t>
                    </m:r>
                  </m:sup>
                </m:sSup>
                <m:r>
                  <w:rPr>
                    <w:rFonts w:ascii="Cambria Math" w:hAnsi="Cambria Math"/>
                    <w:color w:val="000000" w:themeColor="text1"/>
                  </w:rPr>
                  <m:t xml:space="preserve">+ </m:t>
                </m:r>
                <m:r>
                  <m:rPr>
                    <m:sty m:val="p"/>
                  </m:rPr>
                  <w:rPr>
                    <w:rFonts w:ascii="Cambria Math" w:hAnsi="Cambria Math"/>
                    <w:color w:val="000000" w:themeColor="text1"/>
                  </w:rPr>
                  <m:t>0.1429</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m:t>
                </m:r>
                <m:r>
                  <m:rPr>
                    <m:sty m:val="p"/>
                  </m:rPr>
                  <w:rPr>
                    <w:rFonts w:ascii="Cambria Math" w:hAnsi="Cambria Math"/>
                    <w:color w:val="000000" w:themeColor="text1"/>
                  </w:rPr>
                  <m:t xml:space="preserve"> 0.3877</m:t>
                </m:r>
                <m:r>
                  <m:rPr>
                    <m:scr m:val="script"/>
                    <m:sty m:val="p"/>
                  </m:rPr>
                  <w:rPr>
                    <w:rFonts w:ascii="Cambria Math" w:hAnsi="Cambria Math"/>
                    <w:color w:val="000000" w:themeColor="text1"/>
                  </w:rPr>
                  <m:t>x</m:t>
                </m:r>
                <m:r>
                  <m:rPr>
                    <m:sty m:val="p"/>
                  </m:rPr>
                  <w:rPr>
                    <w:rFonts w:ascii="Cambria Math" w:hAnsi="Cambria Math"/>
                    <w:color w:val="000000" w:themeColor="text1"/>
                  </w:rPr>
                  <m:t>+ 6.6576</m:t>
                </m:r>
              </m:oMath>
            </m:oMathPara>
          </w:p>
        </w:tc>
      </w:tr>
      <w:tr w:rsidR="004A308D" w:rsidRPr="00BB778B" w14:paraId="6A59CFC3" w14:textId="77777777" w:rsidTr="009B1AC2">
        <w:trPr>
          <w:trHeight w:val="300"/>
          <w:jc w:val="center"/>
        </w:trPr>
        <w:tc>
          <w:tcPr>
            <w:tcW w:w="379" w:type="pct"/>
            <w:vMerge/>
            <w:tcBorders>
              <w:top w:val="nil"/>
              <w:left w:val="nil"/>
              <w:bottom w:val="single" w:sz="4" w:space="0" w:color="000000"/>
              <w:right w:val="nil"/>
            </w:tcBorders>
            <w:vAlign w:val="center"/>
            <w:hideMark/>
          </w:tcPr>
          <w:p w14:paraId="6D2FBE3A"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504" w:type="pct"/>
            <w:tcBorders>
              <w:top w:val="nil"/>
              <w:left w:val="nil"/>
              <w:bottom w:val="nil"/>
              <w:right w:val="nil"/>
            </w:tcBorders>
            <w:shd w:val="clear" w:color="auto" w:fill="auto"/>
            <w:noWrap/>
            <w:vAlign w:val="center"/>
            <w:hideMark/>
          </w:tcPr>
          <w:p w14:paraId="5BA1A2BE"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18°C</w:t>
            </w:r>
          </w:p>
        </w:tc>
        <w:tc>
          <w:tcPr>
            <w:tcW w:w="325" w:type="pct"/>
            <w:tcBorders>
              <w:top w:val="nil"/>
              <w:left w:val="nil"/>
              <w:bottom w:val="nil"/>
              <w:right w:val="nil"/>
            </w:tcBorders>
            <w:shd w:val="clear" w:color="auto" w:fill="auto"/>
            <w:noWrap/>
            <w:vAlign w:val="center"/>
            <w:hideMark/>
          </w:tcPr>
          <w:p w14:paraId="62ED2D9C"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4910</w:t>
            </w:r>
          </w:p>
        </w:tc>
        <w:tc>
          <w:tcPr>
            <w:tcW w:w="326" w:type="pct"/>
            <w:tcBorders>
              <w:top w:val="nil"/>
              <w:left w:val="nil"/>
              <w:bottom w:val="nil"/>
              <w:right w:val="nil"/>
            </w:tcBorders>
            <w:shd w:val="clear" w:color="auto" w:fill="auto"/>
            <w:noWrap/>
            <w:vAlign w:val="center"/>
            <w:hideMark/>
          </w:tcPr>
          <w:p w14:paraId="3FFBAAAA"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4888</w:t>
            </w:r>
          </w:p>
        </w:tc>
        <w:tc>
          <w:tcPr>
            <w:tcW w:w="327" w:type="pct"/>
            <w:tcBorders>
              <w:top w:val="nil"/>
              <w:left w:val="nil"/>
              <w:bottom w:val="nil"/>
              <w:right w:val="nil"/>
            </w:tcBorders>
            <w:shd w:val="clear" w:color="auto" w:fill="auto"/>
            <w:noWrap/>
            <w:vAlign w:val="center"/>
            <w:hideMark/>
          </w:tcPr>
          <w:p w14:paraId="34CF124D"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6569</w:t>
            </w:r>
          </w:p>
        </w:tc>
        <w:tc>
          <w:tcPr>
            <w:tcW w:w="387" w:type="pct"/>
            <w:tcBorders>
              <w:top w:val="nil"/>
              <w:left w:val="nil"/>
              <w:bottom w:val="nil"/>
              <w:right w:val="nil"/>
            </w:tcBorders>
            <w:shd w:val="clear" w:color="auto" w:fill="auto"/>
            <w:noWrap/>
            <w:vAlign w:val="center"/>
            <w:hideMark/>
          </w:tcPr>
          <w:p w14:paraId="06FDE5F3"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4514</w:t>
            </w:r>
          </w:p>
        </w:tc>
        <w:tc>
          <w:tcPr>
            <w:tcW w:w="324" w:type="pct"/>
            <w:tcBorders>
              <w:top w:val="nil"/>
              <w:left w:val="nil"/>
              <w:bottom w:val="nil"/>
              <w:right w:val="nil"/>
            </w:tcBorders>
            <w:shd w:val="clear" w:color="auto" w:fill="auto"/>
            <w:noWrap/>
            <w:vAlign w:val="center"/>
            <w:hideMark/>
          </w:tcPr>
          <w:p w14:paraId="556B43D0"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4896</w:t>
            </w:r>
          </w:p>
        </w:tc>
        <w:tc>
          <w:tcPr>
            <w:tcW w:w="426" w:type="pct"/>
            <w:tcBorders>
              <w:top w:val="nil"/>
              <w:left w:val="nil"/>
              <w:bottom w:val="nil"/>
              <w:right w:val="nil"/>
            </w:tcBorders>
            <w:shd w:val="clear" w:color="auto" w:fill="auto"/>
            <w:noWrap/>
            <w:vAlign w:val="center"/>
            <w:hideMark/>
          </w:tcPr>
          <w:p w14:paraId="0F1566AC"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8592</w:t>
            </w:r>
          </w:p>
        </w:tc>
        <w:tc>
          <w:tcPr>
            <w:tcW w:w="2002" w:type="pct"/>
            <w:tcBorders>
              <w:top w:val="nil"/>
              <w:left w:val="nil"/>
              <w:bottom w:val="nil"/>
              <w:right w:val="nil"/>
            </w:tcBorders>
            <w:vAlign w:val="center"/>
          </w:tcPr>
          <w:p w14:paraId="43107B5F"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y=</m:t>
                </m:r>
                <m:r>
                  <m:rPr>
                    <m:sty m:val="p"/>
                  </m:rPr>
                  <w:rPr>
                    <w:rFonts w:ascii="Cambria Math" w:hAnsi="Cambria Math"/>
                    <w:color w:val="000000" w:themeColor="text1"/>
                  </w:rPr>
                  <m:t>0.027</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m:t>
                </m:r>
                <m:r>
                  <m:rPr>
                    <m:sty m:val="p"/>
                  </m:rPr>
                  <w:rPr>
                    <w:rFonts w:ascii="Cambria Math" w:hAnsi="Cambria Math"/>
                    <w:color w:val="000000" w:themeColor="text1"/>
                  </w:rPr>
                  <m:t xml:space="preserve"> 0.3734</m:t>
                </m:r>
                <m:r>
                  <m:rPr>
                    <m:scr m:val="script"/>
                    <m:sty m:val="p"/>
                  </m:rPr>
                  <w:rPr>
                    <w:rFonts w:ascii="Cambria Math" w:hAnsi="Cambria Math"/>
                    <w:color w:val="000000" w:themeColor="text1"/>
                  </w:rPr>
                  <m:t>x</m:t>
                </m:r>
                <m:r>
                  <m:rPr>
                    <m:sty m:val="p"/>
                  </m:rPr>
                  <w:rPr>
                    <w:rFonts w:ascii="Cambria Math" w:hAnsi="Cambria Math"/>
                    <w:color w:val="000000" w:themeColor="text1"/>
                  </w:rPr>
                  <m:t>+ 6.7209</m:t>
                </m:r>
              </m:oMath>
            </m:oMathPara>
          </w:p>
        </w:tc>
      </w:tr>
      <w:tr w:rsidR="004A308D" w:rsidRPr="00BB778B" w14:paraId="082AA9A6" w14:textId="77777777" w:rsidTr="009B1AC2">
        <w:trPr>
          <w:trHeight w:val="300"/>
          <w:jc w:val="center"/>
        </w:trPr>
        <w:tc>
          <w:tcPr>
            <w:tcW w:w="379" w:type="pct"/>
            <w:vMerge/>
            <w:tcBorders>
              <w:top w:val="nil"/>
              <w:left w:val="nil"/>
              <w:bottom w:val="single" w:sz="4" w:space="0" w:color="000000"/>
              <w:right w:val="nil"/>
            </w:tcBorders>
            <w:vAlign w:val="center"/>
            <w:hideMark/>
          </w:tcPr>
          <w:p w14:paraId="12846D65"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p>
        </w:tc>
        <w:tc>
          <w:tcPr>
            <w:tcW w:w="504" w:type="pct"/>
            <w:tcBorders>
              <w:top w:val="nil"/>
              <w:left w:val="nil"/>
              <w:bottom w:val="single" w:sz="4" w:space="0" w:color="auto"/>
              <w:right w:val="nil"/>
            </w:tcBorders>
            <w:shd w:val="clear" w:color="auto" w:fill="auto"/>
            <w:noWrap/>
            <w:vAlign w:val="center"/>
            <w:hideMark/>
          </w:tcPr>
          <w:p w14:paraId="7D657156" w14:textId="77777777" w:rsidR="004A308D" w:rsidRPr="00BB778B" w:rsidRDefault="004A308D" w:rsidP="009B1AC2">
            <w:pPr>
              <w:spacing w:after="0" w:line="240" w:lineRule="auto"/>
              <w:jc w:val="center"/>
              <w:rPr>
                <w:rFonts w:ascii="Times New Roman" w:eastAsia="Times New Roman" w:hAnsi="Times New Roman" w:cs="Times New Roman"/>
                <w:b/>
                <w:bCs/>
                <w:color w:val="000000"/>
                <w:sz w:val="20"/>
                <w:szCs w:val="20"/>
                <w:lang w:eastAsia="es-CO"/>
              </w:rPr>
            </w:pPr>
            <w:r w:rsidRPr="00BB778B">
              <w:rPr>
                <w:rFonts w:ascii="Times New Roman" w:eastAsia="Times New Roman" w:hAnsi="Times New Roman" w:cs="Times New Roman"/>
                <w:b/>
                <w:bCs/>
                <w:color w:val="000000"/>
                <w:sz w:val="20"/>
                <w:szCs w:val="20"/>
                <w:lang w:eastAsia="es-CO"/>
              </w:rPr>
              <w:t>28°C</w:t>
            </w:r>
          </w:p>
        </w:tc>
        <w:tc>
          <w:tcPr>
            <w:tcW w:w="325" w:type="pct"/>
            <w:tcBorders>
              <w:top w:val="nil"/>
              <w:left w:val="nil"/>
              <w:bottom w:val="single" w:sz="4" w:space="0" w:color="auto"/>
              <w:right w:val="nil"/>
            </w:tcBorders>
            <w:shd w:val="clear" w:color="auto" w:fill="auto"/>
            <w:noWrap/>
            <w:vAlign w:val="center"/>
            <w:hideMark/>
          </w:tcPr>
          <w:p w14:paraId="37B9F28B"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7517</w:t>
            </w:r>
          </w:p>
        </w:tc>
        <w:tc>
          <w:tcPr>
            <w:tcW w:w="326" w:type="pct"/>
            <w:tcBorders>
              <w:top w:val="nil"/>
              <w:left w:val="nil"/>
              <w:bottom w:val="single" w:sz="4" w:space="0" w:color="auto"/>
              <w:right w:val="nil"/>
            </w:tcBorders>
            <w:shd w:val="clear" w:color="auto" w:fill="auto"/>
            <w:noWrap/>
            <w:vAlign w:val="center"/>
            <w:hideMark/>
          </w:tcPr>
          <w:p w14:paraId="739A9389"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7560</w:t>
            </w:r>
          </w:p>
        </w:tc>
        <w:tc>
          <w:tcPr>
            <w:tcW w:w="327" w:type="pct"/>
            <w:tcBorders>
              <w:top w:val="nil"/>
              <w:left w:val="nil"/>
              <w:bottom w:val="single" w:sz="4" w:space="0" w:color="auto"/>
              <w:right w:val="nil"/>
            </w:tcBorders>
            <w:shd w:val="clear" w:color="auto" w:fill="auto"/>
            <w:noWrap/>
            <w:vAlign w:val="center"/>
            <w:hideMark/>
          </w:tcPr>
          <w:p w14:paraId="0C1AF532"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8221</w:t>
            </w:r>
          </w:p>
        </w:tc>
        <w:tc>
          <w:tcPr>
            <w:tcW w:w="387" w:type="pct"/>
            <w:tcBorders>
              <w:top w:val="nil"/>
              <w:left w:val="nil"/>
              <w:bottom w:val="single" w:sz="4" w:space="0" w:color="auto"/>
              <w:right w:val="nil"/>
            </w:tcBorders>
            <w:shd w:val="clear" w:color="auto" w:fill="auto"/>
            <w:noWrap/>
            <w:vAlign w:val="center"/>
            <w:hideMark/>
          </w:tcPr>
          <w:p w14:paraId="013D2D8D"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8735</w:t>
            </w:r>
          </w:p>
        </w:tc>
        <w:tc>
          <w:tcPr>
            <w:tcW w:w="324" w:type="pct"/>
            <w:tcBorders>
              <w:top w:val="nil"/>
              <w:left w:val="nil"/>
              <w:bottom w:val="single" w:sz="4" w:space="0" w:color="auto"/>
              <w:right w:val="nil"/>
            </w:tcBorders>
            <w:shd w:val="clear" w:color="auto" w:fill="auto"/>
            <w:noWrap/>
            <w:vAlign w:val="center"/>
            <w:hideMark/>
          </w:tcPr>
          <w:p w14:paraId="2309180C" w14:textId="77777777" w:rsidR="004A308D" w:rsidRPr="00BB778B" w:rsidRDefault="004A308D" w:rsidP="009B1AC2">
            <w:pPr>
              <w:spacing w:after="0" w:line="240" w:lineRule="auto"/>
              <w:jc w:val="center"/>
              <w:rPr>
                <w:rFonts w:ascii="Times New Roman" w:eastAsia="Times New Roman" w:hAnsi="Times New Roman" w:cs="Times New Roman"/>
                <w:color w:val="000000"/>
                <w:lang w:eastAsia="es-CO"/>
              </w:rPr>
            </w:pPr>
            <w:r w:rsidRPr="00BB778B">
              <w:rPr>
                <w:rFonts w:ascii="Times New Roman" w:eastAsia="Times New Roman" w:hAnsi="Times New Roman" w:cs="Times New Roman"/>
                <w:color w:val="000000"/>
                <w:lang w:eastAsia="es-CO"/>
              </w:rPr>
              <w:t>0</w:t>
            </w:r>
            <w:r>
              <w:rPr>
                <w:rFonts w:ascii="Times New Roman" w:eastAsia="Times New Roman" w:hAnsi="Times New Roman" w:cs="Times New Roman"/>
                <w:color w:val="000000"/>
                <w:lang w:eastAsia="es-CO"/>
              </w:rPr>
              <w:t>.</w:t>
            </w:r>
            <w:r w:rsidRPr="00BB778B">
              <w:rPr>
                <w:rFonts w:ascii="Times New Roman" w:eastAsia="Times New Roman" w:hAnsi="Times New Roman" w:cs="Times New Roman"/>
                <w:color w:val="000000"/>
                <w:lang w:eastAsia="es-CO"/>
              </w:rPr>
              <w:t>7549</w:t>
            </w:r>
          </w:p>
        </w:tc>
        <w:tc>
          <w:tcPr>
            <w:tcW w:w="426" w:type="pct"/>
            <w:tcBorders>
              <w:top w:val="nil"/>
              <w:left w:val="nil"/>
              <w:bottom w:val="single" w:sz="4" w:space="0" w:color="auto"/>
              <w:right w:val="nil"/>
            </w:tcBorders>
            <w:shd w:val="clear" w:color="auto" w:fill="auto"/>
            <w:noWrap/>
            <w:vAlign w:val="center"/>
            <w:hideMark/>
          </w:tcPr>
          <w:p w14:paraId="2EEC4314" w14:textId="77777777" w:rsidR="004A308D" w:rsidRPr="00BB778B" w:rsidRDefault="004A308D" w:rsidP="009B1AC2">
            <w:pPr>
              <w:spacing w:after="0" w:line="240" w:lineRule="auto"/>
              <w:jc w:val="center"/>
              <w:rPr>
                <w:rFonts w:ascii="Times New Roman" w:eastAsia="Times New Roman" w:hAnsi="Times New Roman" w:cs="Times New Roman"/>
                <w:color w:val="000000"/>
                <w:sz w:val="20"/>
                <w:szCs w:val="20"/>
                <w:lang w:eastAsia="es-CO"/>
              </w:rPr>
            </w:pPr>
            <w:r w:rsidRPr="00BB778B">
              <w:rPr>
                <w:rFonts w:ascii="Times New Roman" w:eastAsia="Times New Roman" w:hAnsi="Times New Roman" w:cs="Times New Roman"/>
                <w:color w:val="000000"/>
                <w:sz w:val="20"/>
                <w:szCs w:val="20"/>
                <w:lang w:eastAsia="es-CO"/>
              </w:rPr>
              <w:t>0</w:t>
            </w:r>
            <w:r>
              <w:rPr>
                <w:rFonts w:ascii="Times New Roman" w:eastAsia="Times New Roman" w:hAnsi="Times New Roman" w:cs="Times New Roman"/>
                <w:color w:val="000000"/>
                <w:sz w:val="20"/>
                <w:szCs w:val="20"/>
                <w:lang w:eastAsia="es-CO"/>
              </w:rPr>
              <w:t>.</w:t>
            </w:r>
            <w:r w:rsidRPr="00BB778B">
              <w:rPr>
                <w:rFonts w:ascii="Times New Roman" w:eastAsia="Times New Roman" w:hAnsi="Times New Roman" w:cs="Times New Roman"/>
                <w:color w:val="000000"/>
                <w:sz w:val="20"/>
                <w:szCs w:val="20"/>
                <w:lang w:eastAsia="es-CO"/>
              </w:rPr>
              <w:t>8897</w:t>
            </w:r>
          </w:p>
        </w:tc>
        <w:tc>
          <w:tcPr>
            <w:tcW w:w="2002" w:type="pct"/>
            <w:tcBorders>
              <w:top w:val="nil"/>
              <w:left w:val="nil"/>
              <w:bottom w:val="single" w:sz="4" w:space="0" w:color="auto"/>
              <w:right w:val="nil"/>
            </w:tcBorders>
            <w:vAlign w:val="center"/>
          </w:tcPr>
          <w:p w14:paraId="38D61684" w14:textId="77777777" w:rsidR="004A308D" w:rsidRDefault="004A308D" w:rsidP="009B1AC2">
            <w:pPr>
              <w:jc w:val="both"/>
              <w:rPr>
                <w:rFonts w:ascii="Times New Roman" w:eastAsia="Times New Roman" w:hAnsi="Times New Roman" w:cs="Times New Roman"/>
              </w:rPr>
            </w:pPr>
            <m:oMathPara>
              <m:oMathParaPr>
                <m:jc m:val="left"/>
              </m:oMathParaPr>
              <m:oMath>
                <m:r>
                  <w:rPr>
                    <w:rFonts w:ascii="Cambria Math" w:hAnsi="Cambria Math"/>
                  </w:rPr>
                  <m:t>y=</m:t>
                </m:r>
                <m:r>
                  <m:rPr>
                    <m:sty m:val="p"/>
                  </m:rPr>
                  <w:rPr>
                    <w:rFonts w:ascii="Cambria Math" w:hAnsi="Cambria Math"/>
                    <w:color w:val="000000" w:themeColor="text1"/>
                  </w:rPr>
                  <m:t>0.0973</m:t>
                </m:r>
                <m:sSup>
                  <m:sSupPr>
                    <m:ctrlPr>
                      <w:rPr>
                        <w:rFonts w:ascii="Cambria Math" w:hAnsi="Cambria Math"/>
                        <w:color w:val="000000" w:themeColor="text1"/>
                      </w:rPr>
                    </m:ctrlPr>
                  </m:sSupPr>
                  <m:e>
                    <m:r>
                      <m:rPr>
                        <m:scr m:val="script"/>
                      </m:rPr>
                      <w:rPr>
                        <w:rFonts w:ascii="Cambria Math" w:hAnsi="Cambria Math"/>
                        <w:color w:val="000000" w:themeColor="text1"/>
                      </w:rPr>
                      <m:t>x</m:t>
                    </m:r>
                  </m:e>
                  <m:sup>
                    <m:r>
                      <w:rPr>
                        <w:rFonts w:ascii="Cambria Math" w:hAnsi="Cambria Math"/>
                        <w:color w:val="000000" w:themeColor="text1"/>
                      </w:rPr>
                      <m:t>2</m:t>
                    </m:r>
                  </m:sup>
                </m:sSup>
                <m:r>
                  <m:rPr>
                    <m:sty m:val="p"/>
                  </m:rPr>
                  <w:rPr>
                    <w:rFonts w:ascii="Cambria Math" w:hAnsi="Cambria Math"/>
                    <w:color w:val="000000" w:themeColor="text1"/>
                    <w:vertAlign w:val="superscript"/>
                  </w:rPr>
                  <m:t>-1.2616</m:t>
                </m:r>
                <m:r>
                  <m:rPr>
                    <m:scr m:val="script"/>
                    <m:sty m:val="p"/>
                  </m:rPr>
                  <w:rPr>
                    <w:rFonts w:ascii="Cambria Math" w:hAnsi="Cambria Math"/>
                    <w:color w:val="000000" w:themeColor="text1"/>
                  </w:rPr>
                  <m:t>x</m:t>
                </m:r>
                <m:r>
                  <m:rPr>
                    <m:sty m:val="p"/>
                  </m:rPr>
                  <w:rPr>
                    <w:rFonts w:ascii="Cambria Math" w:hAnsi="Cambria Math"/>
                    <w:color w:val="000000" w:themeColor="text1"/>
                  </w:rPr>
                  <m:t>+ 7.0708</m:t>
                </m:r>
              </m:oMath>
            </m:oMathPara>
          </w:p>
        </w:tc>
      </w:tr>
    </w:tbl>
    <w:p w14:paraId="67BAFF72" w14:textId="77777777" w:rsidR="004A308D" w:rsidRDefault="004A308D" w:rsidP="004A308D"/>
    <w:p w14:paraId="0BE6B6D2" w14:textId="77777777" w:rsidR="004A308D" w:rsidRDefault="004A308D" w:rsidP="004A308D"/>
    <w:p w14:paraId="2D005A2D" w14:textId="77777777" w:rsidR="004A308D" w:rsidRDefault="004A308D" w:rsidP="004A308D"/>
    <w:p w14:paraId="0190398F" w14:textId="77777777" w:rsidR="004A308D" w:rsidRDefault="004A308D" w:rsidP="004A308D"/>
    <w:p w14:paraId="14FCC1D3" w14:textId="77777777" w:rsidR="004A308D" w:rsidRDefault="004A308D" w:rsidP="004A308D"/>
    <w:p w14:paraId="3FA468D6" w14:textId="77777777" w:rsidR="004A308D" w:rsidRDefault="004A308D" w:rsidP="004A308D"/>
    <w:p w14:paraId="2156AD07" w14:textId="77777777" w:rsidR="004A308D" w:rsidRPr="0047718D" w:rsidRDefault="004A308D" w:rsidP="004A308D">
      <w:pPr>
        <w:rPr>
          <w:sz w:val="24"/>
          <w:szCs w:val="24"/>
        </w:rPr>
      </w:pPr>
    </w:p>
    <w:p w14:paraId="3994EC7F" w14:textId="77777777" w:rsidR="004A308D" w:rsidRPr="0047718D" w:rsidRDefault="004A308D" w:rsidP="004A308D">
      <w:pPr>
        <w:rPr>
          <w:sz w:val="24"/>
          <w:szCs w:val="24"/>
        </w:rPr>
        <w:sectPr w:rsidR="004A308D" w:rsidRPr="0047718D" w:rsidSect="0088268A">
          <w:pgSz w:w="15840" w:h="12240" w:orient="landscape"/>
          <w:pgMar w:top="1701" w:right="1418" w:bottom="1701" w:left="1418" w:header="709" w:footer="709" w:gutter="0"/>
          <w:cols w:space="708"/>
          <w:docGrid w:linePitch="360"/>
        </w:sectPr>
      </w:pPr>
    </w:p>
    <w:p w14:paraId="214186D3" w14:textId="77777777" w:rsidR="004A308D" w:rsidRPr="0047718D" w:rsidRDefault="004A308D" w:rsidP="004A308D">
      <w:pPr>
        <w:rPr>
          <w:sz w:val="24"/>
          <w:szCs w:val="24"/>
        </w:rPr>
      </w:pPr>
    </w:p>
    <w:p w14:paraId="6A18946D" w14:textId="7A9EFB36" w:rsidR="00032198" w:rsidRPr="002F0595" w:rsidRDefault="00032198" w:rsidP="00032198">
      <w:pPr>
        <w:spacing w:line="360" w:lineRule="auto"/>
        <w:jc w:val="both"/>
        <w:rPr>
          <w:rFonts w:ascii="Times New Roman" w:hAnsi="Times New Roman"/>
          <w:sz w:val="24"/>
          <w:szCs w:val="24"/>
        </w:rPr>
      </w:pPr>
      <w:r w:rsidRPr="00032198">
        <w:rPr>
          <w:rFonts w:ascii="Times New Roman" w:hAnsi="Times New Roman"/>
          <w:b/>
          <w:bCs/>
          <w:sz w:val="24"/>
          <w:szCs w:val="24"/>
          <w:highlight w:val="yellow"/>
        </w:rPr>
        <w:t>Fig. 2S</w:t>
      </w:r>
      <w:r w:rsidRPr="002F0595">
        <w:rPr>
          <w:rFonts w:ascii="Times New Roman" w:hAnsi="Times New Roman"/>
          <w:b/>
          <w:bCs/>
          <w:sz w:val="24"/>
          <w:szCs w:val="24"/>
        </w:rPr>
        <w:t xml:space="preserve">. </w:t>
      </w:r>
      <w:r w:rsidRPr="002F0595">
        <w:rPr>
          <w:rFonts w:ascii="Times New Roman" w:hAnsi="Times New Roman"/>
          <w:sz w:val="24"/>
          <w:szCs w:val="24"/>
        </w:rPr>
        <w:t>Rice plant appearance at 69 days after the application of the capsule prototypes. The symptoms of the disease consisted of greenish-gray elliptical or ovoid lesions on the sheaths and leaves, reduced root volume and brown coloration of the roots.</w:t>
      </w:r>
    </w:p>
    <w:p w14:paraId="4F3B85BC" w14:textId="3E6D0825" w:rsidR="00032198" w:rsidRDefault="00032198" w:rsidP="004A308D">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7DE39CC" wp14:editId="1C1B7653">
            <wp:extent cx="5612130" cy="420941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3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7461AD82" w14:textId="77777777" w:rsidR="00032198" w:rsidRDefault="00032198" w:rsidP="004A308D">
      <w:pPr>
        <w:spacing w:line="480" w:lineRule="auto"/>
        <w:jc w:val="both"/>
        <w:rPr>
          <w:rFonts w:ascii="Times New Roman" w:hAnsi="Times New Roman" w:cs="Times New Roman"/>
          <w:b/>
          <w:sz w:val="24"/>
          <w:szCs w:val="24"/>
        </w:rPr>
      </w:pPr>
    </w:p>
    <w:p w14:paraId="5995A61F" w14:textId="77777777" w:rsidR="00032198" w:rsidRDefault="00032198" w:rsidP="004A308D">
      <w:pPr>
        <w:spacing w:line="480" w:lineRule="auto"/>
        <w:jc w:val="both"/>
        <w:rPr>
          <w:rFonts w:ascii="Times New Roman" w:hAnsi="Times New Roman" w:cs="Times New Roman"/>
          <w:b/>
          <w:sz w:val="24"/>
          <w:szCs w:val="24"/>
        </w:rPr>
      </w:pPr>
    </w:p>
    <w:p w14:paraId="37C8B3CC" w14:textId="77777777" w:rsidR="00032198" w:rsidRDefault="00032198" w:rsidP="004A308D">
      <w:pPr>
        <w:spacing w:line="480" w:lineRule="auto"/>
        <w:jc w:val="both"/>
        <w:rPr>
          <w:rFonts w:ascii="Times New Roman" w:hAnsi="Times New Roman" w:cs="Times New Roman"/>
          <w:b/>
          <w:sz w:val="24"/>
          <w:szCs w:val="24"/>
        </w:rPr>
      </w:pPr>
    </w:p>
    <w:p w14:paraId="4695D08F" w14:textId="0980860B" w:rsidR="00032198" w:rsidRDefault="00032198" w:rsidP="004A308D">
      <w:pPr>
        <w:spacing w:line="480" w:lineRule="auto"/>
        <w:jc w:val="both"/>
        <w:rPr>
          <w:rFonts w:ascii="Times New Roman" w:hAnsi="Times New Roman" w:cs="Times New Roman"/>
          <w:b/>
          <w:sz w:val="24"/>
          <w:szCs w:val="24"/>
        </w:rPr>
      </w:pPr>
    </w:p>
    <w:p w14:paraId="22A31BDB" w14:textId="77777777" w:rsidR="00032198" w:rsidRDefault="00032198" w:rsidP="004A308D">
      <w:pPr>
        <w:spacing w:line="480" w:lineRule="auto"/>
        <w:jc w:val="both"/>
        <w:rPr>
          <w:rFonts w:ascii="Times New Roman" w:hAnsi="Times New Roman" w:cs="Times New Roman"/>
          <w:b/>
          <w:sz w:val="24"/>
          <w:szCs w:val="24"/>
        </w:rPr>
      </w:pPr>
    </w:p>
    <w:p w14:paraId="69DE1974" w14:textId="4A94B94E" w:rsidR="004A308D" w:rsidRPr="0047718D" w:rsidRDefault="004A308D" w:rsidP="004A308D">
      <w:pPr>
        <w:spacing w:line="480" w:lineRule="auto"/>
        <w:jc w:val="both"/>
        <w:rPr>
          <w:rFonts w:ascii="Times New Roman" w:hAnsi="Times New Roman" w:cs="Times New Roman"/>
          <w:b/>
          <w:sz w:val="24"/>
          <w:szCs w:val="24"/>
        </w:rPr>
      </w:pPr>
      <w:r w:rsidRPr="0047718D">
        <w:rPr>
          <w:rFonts w:ascii="Times New Roman" w:hAnsi="Times New Roman" w:cs="Times New Roman"/>
          <w:b/>
          <w:sz w:val="24"/>
          <w:szCs w:val="24"/>
        </w:rPr>
        <w:lastRenderedPageBreak/>
        <w:t xml:space="preserve">Antagonistic test under </w:t>
      </w:r>
      <w:r w:rsidRPr="0047718D">
        <w:rPr>
          <w:rFonts w:ascii="Times New Roman" w:hAnsi="Times New Roman" w:cs="Times New Roman"/>
          <w:b/>
          <w:i/>
          <w:sz w:val="24"/>
          <w:szCs w:val="24"/>
        </w:rPr>
        <w:t>in vitro</w:t>
      </w:r>
      <w:r w:rsidRPr="0047718D">
        <w:rPr>
          <w:rFonts w:ascii="Times New Roman" w:hAnsi="Times New Roman" w:cs="Times New Roman"/>
          <w:b/>
          <w:sz w:val="24"/>
          <w:szCs w:val="24"/>
        </w:rPr>
        <w:t xml:space="preserve"> conditions</w:t>
      </w:r>
    </w:p>
    <w:p w14:paraId="088357F4" w14:textId="77777777" w:rsidR="004A308D" w:rsidRPr="0047718D" w:rsidRDefault="004A308D" w:rsidP="004A308D">
      <w:pPr>
        <w:spacing w:line="480" w:lineRule="auto"/>
        <w:jc w:val="both"/>
        <w:rPr>
          <w:rFonts w:ascii="Times New Roman" w:eastAsia="Times New Roman" w:hAnsi="Times New Roman" w:cs="Times New Roman"/>
          <w:color w:val="222222"/>
          <w:sz w:val="24"/>
          <w:szCs w:val="24"/>
        </w:rPr>
      </w:pPr>
      <w:r w:rsidRPr="0047718D">
        <w:rPr>
          <w:rFonts w:ascii="Times New Roman" w:hAnsi="Times New Roman" w:cs="Times New Roman"/>
          <w:sz w:val="24"/>
          <w:szCs w:val="24"/>
        </w:rPr>
        <w:t xml:space="preserve">With the aim to verify the biological activity of the capsules prototypes, both those based on Th003 and those free of the biocontrol agent (carriers), an antagonistic test was carried out in Petri dishes. </w:t>
      </w:r>
      <w:r w:rsidRPr="0047718D">
        <w:rPr>
          <w:rFonts w:ascii="Times New Roman" w:hAnsi="Times New Roman" w:cs="Times New Roman"/>
          <w:i/>
          <w:iCs/>
          <w:sz w:val="24"/>
          <w:szCs w:val="24"/>
        </w:rPr>
        <w:t xml:space="preserve"> </w:t>
      </w:r>
      <w:r w:rsidRPr="0047718D">
        <w:rPr>
          <w:rFonts w:ascii="Times New Roman" w:hAnsi="Times New Roman" w:cs="Times New Roman"/>
          <w:sz w:val="24"/>
          <w:szCs w:val="24"/>
        </w:rPr>
        <w:t>A square plug (0.5 cm)</w:t>
      </w:r>
      <w:r w:rsidRPr="0047718D">
        <w:rPr>
          <w:rFonts w:ascii="Times New Roman" w:hAnsi="Times New Roman" w:cs="Times New Roman"/>
          <w:i/>
          <w:iCs/>
          <w:sz w:val="24"/>
          <w:szCs w:val="24"/>
        </w:rPr>
        <w:t xml:space="preserve"> </w:t>
      </w:r>
      <w:r w:rsidRPr="0047718D">
        <w:rPr>
          <w:rFonts w:ascii="Times New Roman" w:hAnsi="Times New Roman" w:cs="Times New Roman"/>
          <w:sz w:val="24"/>
          <w:szCs w:val="24"/>
        </w:rPr>
        <w:t xml:space="preserve">from a 10-day old PDA culture of </w:t>
      </w:r>
      <w:r w:rsidRPr="0047718D">
        <w:rPr>
          <w:rFonts w:ascii="Times New Roman" w:hAnsi="Times New Roman" w:cs="Times New Roman"/>
          <w:i/>
          <w:iCs/>
          <w:sz w:val="24"/>
          <w:szCs w:val="24"/>
        </w:rPr>
        <w:t xml:space="preserve">R. solani </w:t>
      </w:r>
      <w:r w:rsidRPr="0047718D">
        <w:rPr>
          <w:rFonts w:ascii="Times New Roman" w:hAnsi="Times New Roman" w:cs="Times New Roman"/>
          <w:sz w:val="24"/>
          <w:szCs w:val="24"/>
        </w:rPr>
        <w:t xml:space="preserve">Rh002 was placed in the center of a Petri dish with PDA medium. Then, two capsules were placed 2 cm apart from the edge of the plate, on two opposite sides. Capsule prototypes containing only the carriers (P11 and P12) were included as controls, conidia of Th003 was included as positive control, and Petri dishes inoculated only with </w:t>
      </w:r>
      <w:r w:rsidRPr="0047718D">
        <w:rPr>
          <w:rFonts w:ascii="Times New Roman" w:hAnsi="Times New Roman" w:cs="Times New Roman"/>
          <w:i/>
          <w:iCs/>
          <w:sz w:val="24"/>
          <w:szCs w:val="24"/>
        </w:rPr>
        <w:t xml:space="preserve">R. solani </w:t>
      </w:r>
      <w:r w:rsidRPr="0047718D">
        <w:rPr>
          <w:rFonts w:ascii="Times New Roman" w:hAnsi="Times New Roman" w:cs="Times New Roman"/>
          <w:sz w:val="24"/>
          <w:szCs w:val="24"/>
        </w:rPr>
        <w:t>was included as negative control. T</w:t>
      </w:r>
      <w:r w:rsidRPr="0047718D">
        <w:rPr>
          <w:rFonts w:ascii="Times New Roman" w:eastAsia="Times New Roman" w:hAnsi="Times New Roman" w:cs="Times New Roman"/>
          <w:color w:val="222222"/>
          <w:sz w:val="24"/>
          <w:szCs w:val="24"/>
        </w:rPr>
        <w:t xml:space="preserve">he inoculated dishes were incubated for seven days under 28 °C and darkness. Then, the diameter of </w:t>
      </w:r>
      <w:r w:rsidRPr="0047718D">
        <w:rPr>
          <w:rFonts w:ascii="Times New Roman" w:eastAsia="Times New Roman" w:hAnsi="Times New Roman" w:cs="Times New Roman"/>
          <w:i/>
          <w:iCs/>
          <w:color w:val="222222"/>
          <w:sz w:val="24"/>
          <w:szCs w:val="24"/>
        </w:rPr>
        <w:t>R. solani</w:t>
      </w:r>
      <w:r w:rsidRPr="0047718D">
        <w:rPr>
          <w:rFonts w:ascii="Times New Roman" w:eastAsia="Times New Roman" w:hAnsi="Times New Roman" w:cs="Times New Roman"/>
          <w:color w:val="222222"/>
          <w:sz w:val="24"/>
          <w:szCs w:val="24"/>
        </w:rPr>
        <w:t xml:space="preserve"> colony was measured and the inhibition of growth by the treatments was calculated. The experiment had five dishes per treatment and was performed three times. </w:t>
      </w:r>
    </w:p>
    <w:p w14:paraId="31D1D2D4" w14:textId="37BF116C" w:rsidR="004A308D" w:rsidRPr="0047718D" w:rsidRDefault="004A308D" w:rsidP="004A308D">
      <w:pPr>
        <w:spacing w:line="480" w:lineRule="auto"/>
        <w:rPr>
          <w:rFonts w:ascii="Times New Roman" w:eastAsia="Times New Roman" w:hAnsi="Times New Roman" w:cs="Times New Roman"/>
          <w:color w:val="000000" w:themeColor="text1"/>
          <w:sz w:val="24"/>
          <w:szCs w:val="24"/>
        </w:rPr>
      </w:pPr>
      <w:r w:rsidRPr="00032198">
        <w:rPr>
          <w:rFonts w:ascii="Times New Roman" w:eastAsia="Times New Roman" w:hAnsi="Times New Roman" w:cs="Times New Roman"/>
          <w:b/>
          <w:bCs/>
          <w:color w:val="000000" w:themeColor="text1"/>
          <w:sz w:val="24"/>
          <w:szCs w:val="24"/>
          <w:highlight w:val="yellow"/>
        </w:rPr>
        <w:t>Fig</w:t>
      </w:r>
      <w:r w:rsidR="0086488B">
        <w:rPr>
          <w:rFonts w:ascii="Times New Roman" w:eastAsia="Times New Roman" w:hAnsi="Times New Roman" w:cs="Times New Roman"/>
          <w:b/>
          <w:bCs/>
          <w:color w:val="000000" w:themeColor="text1"/>
          <w:sz w:val="24"/>
          <w:szCs w:val="24"/>
          <w:highlight w:val="yellow"/>
        </w:rPr>
        <w:t>.</w:t>
      </w:r>
      <w:r w:rsidRPr="00032198">
        <w:rPr>
          <w:rFonts w:ascii="Times New Roman" w:eastAsia="Times New Roman" w:hAnsi="Times New Roman" w:cs="Times New Roman"/>
          <w:b/>
          <w:bCs/>
          <w:color w:val="000000" w:themeColor="text1"/>
          <w:sz w:val="24"/>
          <w:szCs w:val="24"/>
          <w:highlight w:val="yellow"/>
        </w:rPr>
        <w:t xml:space="preserve"> </w:t>
      </w:r>
      <w:r w:rsidR="00032198" w:rsidRPr="00032198">
        <w:rPr>
          <w:rFonts w:ascii="Times New Roman" w:eastAsia="Times New Roman" w:hAnsi="Times New Roman" w:cs="Times New Roman"/>
          <w:b/>
          <w:bCs/>
          <w:color w:val="000000" w:themeColor="text1"/>
          <w:sz w:val="24"/>
          <w:szCs w:val="24"/>
          <w:highlight w:val="yellow"/>
        </w:rPr>
        <w:t>3</w:t>
      </w:r>
      <w:r w:rsidRPr="00032198">
        <w:rPr>
          <w:rFonts w:ascii="Times New Roman" w:eastAsia="Times New Roman" w:hAnsi="Times New Roman" w:cs="Times New Roman"/>
          <w:b/>
          <w:bCs/>
          <w:color w:val="000000" w:themeColor="text1"/>
          <w:sz w:val="24"/>
          <w:szCs w:val="24"/>
          <w:highlight w:val="yellow"/>
        </w:rPr>
        <w:t>S.</w:t>
      </w:r>
      <w:r w:rsidRPr="0047718D">
        <w:rPr>
          <w:rFonts w:ascii="Times New Roman" w:eastAsia="Times New Roman" w:hAnsi="Times New Roman" w:cs="Times New Roman"/>
          <w:color w:val="000000" w:themeColor="text1"/>
          <w:sz w:val="24"/>
          <w:szCs w:val="24"/>
        </w:rPr>
        <w:t xml:space="preserve">  </w:t>
      </w:r>
      <w:r w:rsidRPr="0047718D">
        <w:rPr>
          <w:rFonts w:ascii="Times New Roman" w:eastAsia="Times New Roman" w:hAnsi="Times New Roman" w:cs="Times New Roman"/>
          <w:i/>
          <w:iCs/>
          <w:color w:val="000000" w:themeColor="text1"/>
          <w:sz w:val="24"/>
          <w:szCs w:val="24"/>
        </w:rPr>
        <w:t>In vitro</w:t>
      </w:r>
      <w:r w:rsidRPr="0047718D">
        <w:rPr>
          <w:rFonts w:ascii="Times New Roman" w:eastAsia="Times New Roman" w:hAnsi="Times New Roman" w:cs="Times New Roman"/>
          <w:color w:val="000000" w:themeColor="text1"/>
          <w:sz w:val="24"/>
          <w:szCs w:val="24"/>
        </w:rPr>
        <w:t xml:space="preserve"> antagonism assay of prototypes and carriers against </w:t>
      </w:r>
      <w:r w:rsidRPr="0047718D">
        <w:rPr>
          <w:rFonts w:ascii="Times New Roman" w:eastAsia="Times New Roman" w:hAnsi="Times New Roman" w:cs="Times New Roman"/>
          <w:i/>
          <w:iCs/>
          <w:color w:val="000000" w:themeColor="text1"/>
          <w:sz w:val="24"/>
          <w:szCs w:val="24"/>
        </w:rPr>
        <w:t>R. solani</w:t>
      </w:r>
      <w:r w:rsidRPr="0047718D">
        <w:rPr>
          <w:rFonts w:ascii="Times New Roman" w:eastAsia="Times New Roman" w:hAnsi="Times New Roman" w:cs="Times New Roman"/>
          <w:color w:val="000000" w:themeColor="text1"/>
          <w:sz w:val="24"/>
          <w:szCs w:val="24"/>
        </w:rPr>
        <w:t xml:space="preserve"> Rh002, seven days after inoculation. </w:t>
      </w:r>
      <w:r w:rsidRPr="0047718D">
        <w:rPr>
          <w:rFonts w:ascii="Times New Roman" w:hAnsi="Times New Roman" w:cs="Times New Roman"/>
          <w:sz w:val="24"/>
          <w:szCs w:val="24"/>
        </w:rPr>
        <w:t xml:space="preserve">P1 showed 100 % of inhibition while P2 showed 96% in average. Carriers did not show inhibition of </w:t>
      </w:r>
      <w:r w:rsidRPr="0047718D">
        <w:rPr>
          <w:rFonts w:ascii="Times New Roman" w:hAnsi="Times New Roman" w:cs="Times New Roman"/>
          <w:i/>
          <w:iCs/>
          <w:sz w:val="24"/>
          <w:szCs w:val="24"/>
        </w:rPr>
        <w:t xml:space="preserve">R. solani </w:t>
      </w:r>
      <w:r w:rsidRPr="0047718D">
        <w:rPr>
          <w:rFonts w:ascii="Times New Roman" w:hAnsi="Times New Roman" w:cs="Times New Roman"/>
          <w:sz w:val="24"/>
          <w:szCs w:val="24"/>
        </w:rPr>
        <w:t>growth.</w:t>
      </w:r>
    </w:p>
    <w:p w14:paraId="5991E8C7" w14:textId="77777777" w:rsidR="004A308D" w:rsidRPr="0088268A" w:rsidRDefault="004A308D" w:rsidP="004A308D">
      <w:pPr>
        <w:spacing w:line="480" w:lineRule="auto"/>
        <w:rPr>
          <w:rFonts w:ascii="Times New Roman" w:hAnsi="Times New Roman" w:cs="Times New Roman"/>
          <w:sz w:val="24"/>
          <w:szCs w:val="24"/>
        </w:rPr>
      </w:pPr>
    </w:p>
    <w:p w14:paraId="4D9C0B5C" w14:textId="77777777" w:rsidR="004A308D" w:rsidRDefault="004A308D" w:rsidP="004A308D">
      <w:pPr>
        <w:spacing w:line="480" w:lineRule="auto"/>
        <w:jc w:val="center"/>
      </w:pPr>
      <w:r>
        <w:rPr>
          <w:noProof/>
        </w:rPr>
        <w:lastRenderedPageBreak/>
        <w:drawing>
          <wp:inline distT="0" distB="0" distL="0" distR="0" wp14:anchorId="62F9168E" wp14:editId="08E33AB4">
            <wp:extent cx="3333750" cy="2828925"/>
            <wp:effectExtent l="0" t="0" r="0" b="0"/>
            <wp:docPr id="2763503" name="Picture 2763503" descr="Varios tipos de comi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503" name="Picture 2763503" descr="Varios tipos de comida&#10;&#10;Descripción generada automáticamente con confianza media"/>
                    <pic:cNvPicPr/>
                  </pic:nvPicPr>
                  <pic:blipFill>
                    <a:blip r:embed="rId9">
                      <a:extLst>
                        <a:ext uri="{28A0092B-C50C-407E-A947-70E740481C1C}">
                          <a14:useLocalDpi xmlns:a14="http://schemas.microsoft.com/office/drawing/2010/main" val="0"/>
                        </a:ext>
                      </a:extLst>
                    </a:blip>
                    <a:stretch>
                      <a:fillRect/>
                    </a:stretch>
                  </pic:blipFill>
                  <pic:spPr>
                    <a:xfrm>
                      <a:off x="0" y="0"/>
                      <a:ext cx="3333750" cy="2828925"/>
                    </a:xfrm>
                    <a:prstGeom prst="rect">
                      <a:avLst/>
                    </a:prstGeom>
                  </pic:spPr>
                </pic:pic>
              </a:graphicData>
            </a:graphic>
          </wp:inline>
        </w:drawing>
      </w:r>
    </w:p>
    <w:p w14:paraId="766CA5EE" w14:textId="77777777" w:rsidR="004A308D" w:rsidRPr="000A1ABF" w:rsidRDefault="004A308D" w:rsidP="004A308D">
      <w:pPr>
        <w:spacing w:line="240" w:lineRule="auto"/>
        <w:jc w:val="both"/>
        <w:rPr>
          <w:rFonts w:ascii="Times New Roman" w:hAnsi="Times New Roman" w:cs="Times New Roman"/>
          <w:b/>
          <w:lang w:eastAsia="en-GB"/>
        </w:rPr>
      </w:pPr>
    </w:p>
    <w:p w14:paraId="41268FAD" w14:textId="77777777" w:rsidR="004A308D" w:rsidRPr="000A1ABF" w:rsidRDefault="004A308D" w:rsidP="004A308D">
      <w:pPr>
        <w:spacing w:line="240" w:lineRule="auto"/>
        <w:jc w:val="both"/>
        <w:rPr>
          <w:rFonts w:ascii="Times New Roman" w:hAnsi="Times New Roman" w:cs="Times New Roman"/>
          <w:b/>
          <w:lang w:eastAsia="en-GB"/>
        </w:rPr>
      </w:pPr>
    </w:p>
    <w:p w14:paraId="7F62AF31" w14:textId="77777777" w:rsidR="004A308D" w:rsidRPr="000A1ABF" w:rsidRDefault="004A308D" w:rsidP="004A308D">
      <w:pPr>
        <w:spacing w:line="240" w:lineRule="auto"/>
        <w:jc w:val="both"/>
        <w:rPr>
          <w:rFonts w:ascii="Times New Roman" w:hAnsi="Times New Roman" w:cs="Times New Roman"/>
          <w:b/>
          <w:lang w:eastAsia="en-GB"/>
        </w:rPr>
      </w:pPr>
    </w:p>
    <w:p w14:paraId="07E7F8B8" w14:textId="77777777" w:rsidR="004A308D" w:rsidRPr="000A1ABF" w:rsidRDefault="004A308D" w:rsidP="004A308D">
      <w:pPr>
        <w:spacing w:line="240" w:lineRule="auto"/>
        <w:jc w:val="both"/>
        <w:rPr>
          <w:rFonts w:ascii="Times New Roman" w:hAnsi="Times New Roman" w:cs="Times New Roman"/>
          <w:b/>
          <w:lang w:eastAsia="en-GB"/>
        </w:rPr>
      </w:pPr>
    </w:p>
    <w:p w14:paraId="693D5F84" w14:textId="77777777" w:rsidR="004A308D" w:rsidRPr="000A1ABF" w:rsidRDefault="004A308D" w:rsidP="004A308D">
      <w:pPr>
        <w:spacing w:line="240" w:lineRule="auto"/>
        <w:jc w:val="both"/>
        <w:rPr>
          <w:rFonts w:ascii="Times New Roman" w:hAnsi="Times New Roman" w:cs="Times New Roman"/>
          <w:b/>
          <w:lang w:eastAsia="en-GB"/>
        </w:rPr>
      </w:pPr>
    </w:p>
    <w:p w14:paraId="72863F64" w14:textId="77777777" w:rsidR="004A308D" w:rsidRPr="000A1ABF" w:rsidRDefault="004A308D" w:rsidP="004A308D">
      <w:pPr>
        <w:spacing w:line="240" w:lineRule="auto"/>
        <w:jc w:val="both"/>
        <w:rPr>
          <w:rFonts w:ascii="Times New Roman" w:hAnsi="Times New Roman" w:cs="Times New Roman"/>
          <w:b/>
          <w:lang w:eastAsia="en-GB"/>
        </w:rPr>
      </w:pPr>
    </w:p>
    <w:p w14:paraId="233AC382" w14:textId="77777777" w:rsidR="004A308D" w:rsidRPr="000A1ABF" w:rsidRDefault="004A308D" w:rsidP="004A308D">
      <w:pPr>
        <w:spacing w:line="240" w:lineRule="auto"/>
        <w:jc w:val="both"/>
        <w:rPr>
          <w:rFonts w:ascii="Times New Roman" w:hAnsi="Times New Roman" w:cs="Times New Roman"/>
          <w:b/>
          <w:lang w:eastAsia="en-GB"/>
        </w:rPr>
      </w:pPr>
    </w:p>
    <w:p w14:paraId="206B2686" w14:textId="61E417DC" w:rsidR="004A308D" w:rsidRDefault="004A308D" w:rsidP="004A308D">
      <w:pPr>
        <w:spacing w:line="240" w:lineRule="auto"/>
        <w:jc w:val="both"/>
        <w:rPr>
          <w:rFonts w:ascii="Times New Roman" w:hAnsi="Times New Roman" w:cs="Times New Roman"/>
          <w:b/>
          <w:lang w:eastAsia="en-GB"/>
        </w:rPr>
      </w:pPr>
    </w:p>
    <w:p w14:paraId="06743CE0" w14:textId="34500AB5" w:rsidR="00032198" w:rsidRDefault="00032198" w:rsidP="004A308D">
      <w:pPr>
        <w:spacing w:line="240" w:lineRule="auto"/>
        <w:jc w:val="both"/>
        <w:rPr>
          <w:rFonts w:ascii="Times New Roman" w:hAnsi="Times New Roman" w:cs="Times New Roman"/>
          <w:b/>
          <w:lang w:eastAsia="en-GB"/>
        </w:rPr>
      </w:pPr>
    </w:p>
    <w:p w14:paraId="7DB79778" w14:textId="073ACF02" w:rsidR="00032198" w:rsidRDefault="00032198" w:rsidP="004A308D">
      <w:pPr>
        <w:spacing w:line="240" w:lineRule="auto"/>
        <w:jc w:val="both"/>
        <w:rPr>
          <w:rFonts w:ascii="Times New Roman" w:hAnsi="Times New Roman" w:cs="Times New Roman"/>
          <w:b/>
          <w:lang w:eastAsia="en-GB"/>
        </w:rPr>
      </w:pPr>
    </w:p>
    <w:p w14:paraId="76242F4E" w14:textId="6537AA49" w:rsidR="00032198" w:rsidRDefault="00032198" w:rsidP="004A308D">
      <w:pPr>
        <w:spacing w:line="240" w:lineRule="auto"/>
        <w:jc w:val="both"/>
        <w:rPr>
          <w:rFonts w:ascii="Times New Roman" w:hAnsi="Times New Roman" w:cs="Times New Roman"/>
          <w:b/>
          <w:lang w:eastAsia="en-GB"/>
        </w:rPr>
      </w:pPr>
    </w:p>
    <w:p w14:paraId="238CA28A" w14:textId="654450D0" w:rsidR="00032198" w:rsidRDefault="00032198" w:rsidP="004A308D">
      <w:pPr>
        <w:spacing w:line="240" w:lineRule="auto"/>
        <w:jc w:val="both"/>
        <w:rPr>
          <w:rFonts w:ascii="Times New Roman" w:hAnsi="Times New Roman" w:cs="Times New Roman"/>
          <w:b/>
          <w:lang w:eastAsia="en-GB"/>
        </w:rPr>
      </w:pPr>
    </w:p>
    <w:p w14:paraId="08DD1CC0" w14:textId="25A4956B" w:rsidR="00032198" w:rsidRDefault="00032198" w:rsidP="004A308D">
      <w:pPr>
        <w:spacing w:line="240" w:lineRule="auto"/>
        <w:jc w:val="both"/>
        <w:rPr>
          <w:rFonts w:ascii="Times New Roman" w:hAnsi="Times New Roman" w:cs="Times New Roman"/>
          <w:b/>
          <w:lang w:eastAsia="en-GB"/>
        </w:rPr>
      </w:pPr>
    </w:p>
    <w:p w14:paraId="3604EF08" w14:textId="7652D27B" w:rsidR="00032198" w:rsidRDefault="00032198" w:rsidP="004A308D">
      <w:pPr>
        <w:spacing w:line="240" w:lineRule="auto"/>
        <w:jc w:val="both"/>
        <w:rPr>
          <w:rFonts w:ascii="Times New Roman" w:hAnsi="Times New Roman" w:cs="Times New Roman"/>
          <w:b/>
          <w:lang w:eastAsia="en-GB"/>
        </w:rPr>
      </w:pPr>
    </w:p>
    <w:p w14:paraId="6261AAF3" w14:textId="57E80644" w:rsidR="00032198" w:rsidRDefault="00032198" w:rsidP="004A308D">
      <w:pPr>
        <w:spacing w:line="240" w:lineRule="auto"/>
        <w:jc w:val="both"/>
        <w:rPr>
          <w:rFonts w:ascii="Times New Roman" w:hAnsi="Times New Roman" w:cs="Times New Roman"/>
          <w:b/>
          <w:lang w:eastAsia="en-GB"/>
        </w:rPr>
      </w:pPr>
    </w:p>
    <w:p w14:paraId="7B453E4F" w14:textId="2A745436" w:rsidR="00032198" w:rsidRDefault="00032198" w:rsidP="004A308D">
      <w:pPr>
        <w:spacing w:line="240" w:lineRule="auto"/>
        <w:jc w:val="both"/>
        <w:rPr>
          <w:rFonts w:ascii="Times New Roman" w:hAnsi="Times New Roman" w:cs="Times New Roman"/>
          <w:b/>
          <w:lang w:eastAsia="en-GB"/>
        </w:rPr>
      </w:pPr>
    </w:p>
    <w:p w14:paraId="4BCF6AAB" w14:textId="6F3BEDCC" w:rsidR="00032198" w:rsidRDefault="00032198" w:rsidP="004A308D">
      <w:pPr>
        <w:spacing w:line="240" w:lineRule="auto"/>
        <w:jc w:val="both"/>
        <w:rPr>
          <w:rFonts w:ascii="Times New Roman" w:hAnsi="Times New Roman" w:cs="Times New Roman"/>
          <w:b/>
          <w:lang w:eastAsia="en-GB"/>
        </w:rPr>
      </w:pPr>
    </w:p>
    <w:p w14:paraId="691E967B" w14:textId="557FD1C3" w:rsidR="00032198" w:rsidRDefault="00032198" w:rsidP="004A308D">
      <w:pPr>
        <w:spacing w:line="240" w:lineRule="auto"/>
        <w:jc w:val="both"/>
        <w:rPr>
          <w:rFonts w:ascii="Times New Roman" w:hAnsi="Times New Roman" w:cs="Times New Roman"/>
          <w:b/>
          <w:lang w:eastAsia="en-GB"/>
        </w:rPr>
      </w:pPr>
    </w:p>
    <w:p w14:paraId="239F00F4" w14:textId="77777777" w:rsidR="00032198" w:rsidRPr="0086488B" w:rsidRDefault="00032198" w:rsidP="004A308D">
      <w:pPr>
        <w:spacing w:line="240" w:lineRule="auto"/>
        <w:jc w:val="both"/>
        <w:rPr>
          <w:rFonts w:ascii="Times New Roman" w:hAnsi="Times New Roman" w:cs="Times New Roman"/>
          <w:b/>
          <w:sz w:val="24"/>
          <w:szCs w:val="24"/>
          <w:lang w:eastAsia="en-GB"/>
        </w:rPr>
      </w:pPr>
    </w:p>
    <w:p w14:paraId="34FF7B4B" w14:textId="5807611F" w:rsidR="00032198" w:rsidRPr="0086488B" w:rsidRDefault="00032198" w:rsidP="00032198">
      <w:pPr>
        <w:spacing w:line="240" w:lineRule="auto"/>
        <w:jc w:val="both"/>
        <w:rPr>
          <w:rFonts w:ascii="Times New Roman" w:hAnsi="Times New Roman" w:cs="Times New Roman"/>
          <w:b/>
          <w:sz w:val="24"/>
          <w:szCs w:val="24"/>
          <w:lang w:eastAsia="en-GB"/>
        </w:rPr>
      </w:pPr>
      <w:r w:rsidRPr="0086488B">
        <w:rPr>
          <w:rFonts w:ascii="Times New Roman" w:hAnsi="Times New Roman" w:cs="Times New Roman"/>
          <w:b/>
          <w:sz w:val="24"/>
          <w:szCs w:val="24"/>
          <w:highlight w:val="yellow"/>
          <w:lang w:eastAsia="en-GB"/>
        </w:rPr>
        <w:t>Fig</w:t>
      </w:r>
      <w:r w:rsidR="0086488B" w:rsidRPr="0086488B">
        <w:rPr>
          <w:rFonts w:ascii="Times New Roman" w:hAnsi="Times New Roman" w:cs="Times New Roman"/>
          <w:b/>
          <w:sz w:val="24"/>
          <w:szCs w:val="24"/>
          <w:highlight w:val="yellow"/>
          <w:lang w:eastAsia="en-GB"/>
        </w:rPr>
        <w:t>.</w:t>
      </w:r>
      <w:r w:rsidRPr="0086488B">
        <w:rPr>
          <w:rFonts w:ascii="Times New Roman" w:hAnsi="Times New Roman" w:cs="Times New Roman"/>
          <w:b/>
          <w:sz w:val="24"/>
          <w:szCs w:val="24"/>
          <w:highlight w:val="yellow"/>
          <w:lang w:eastAsia="en-GB"/>
        </w:rPr>
        <w:t xml:space="preserve"> 4S.</w:t>
      </w:r>
      <w:r w:rsidRPr="0086488B">
        <w:rPr>
          <w:rFonts w:ascii="Times New Roman" w:hAnsi="Times New Roman" w:cs="Times New Roman"/>
          <w:b/>
          <w:sz w:val="24"/>
          <w:szCs w:val="24"/>
          <w:lang w:eastAsia="en-GB"/>
        </w:rPr>
        <w:t xml:space="preserve"> </w:t>
      </w:r>
      <w:r w:rsidRPr="0086488B">
        <w:rPr>
          <w:rFonts w:ascii="Times New Roman" w:hAnsi="Times New Roman" w:cs="Times New Roman"/>
          <w:sz w:val="24"/>
          <w:szCs w:val="24"/>
        </w:rPr>
        <w:t xml:space="preserve">Particle size distribution for dry hydrogel capsules. </w:t>
      </w:r>
      <w:r w:rsidRPr="0086488B">
        <w:rPr>
          <w:rFonts w:ascii="Times New Roman" w:hAnsi="Times New Roman" w:cs="Times New Roman"/>
          <w:b/>
          <w:bCs/>
          <w:sz w:val="24"/>
          <w:szCs w:val="24"/>
        </w:rPr>
        <w:t>A</w:t>
      </w:r>
      <w:r w:rsidRPr="0086488B">
        <w:rPr>
          <w:rFonts w:ascii="Times New Roman" w:hAnsi="Times New Roman" w:cs="Times New Roman"/>
          <w:sz w:val="24"/>
          <w:szCs w:val="24"/>
        </w:rPr>
        <w:t xml:space="preserve">. P1 (Alginate) and </w:t>
      </w:r>
      <w:r w:rsidRPr="0086488B">
        <w:rPr>
          <w:rFonts w:ascii="Times New Roman" w:hAnsi="Times New Roman" w:cs="Times New Roman"/>
          <w:b/>
          <w:bCs/>
          <w:sz w:val="24"/>
          <w:szCs w:val="24"/>
        </w:rPr>
        <w:t>B</w:t>
      </w:r>
      <w:r w:rsidRPr="0086488B">
        <w:rPr>
          <w:rFonts w:ascii="Times New Roman" w:hAnsi="Times New Roman" w:cs="Times New Roman"/>
          <w:sz w:val="24"/>
          <w:szCs w:val="24"/>
        </w:rPr>
        <w:t>. P2 (Amidated Pectin).</w:t>
      </w:r>
    </w:p>
    <w:p w14:paraId="3ED71750" w14:textId="5171EBF2" w:rsidR="004A308D" w:rsidRPr="000A1ABF" w:rsidRDefault="004A308D" w:rsidP="004A308D">
      <w:pPr>
        <w:spacing w:line="240" w:lineRule="auto"/>
        <w:jc w:val="both"/>
        <w:rPr>
          <w:rFonts w:ascii="Times New Roman" w:hAnsi="Times New Roman" w:cs="Times New Roman"/>
          <w:b/>
          <w:lang w:eastAsia="en-GB"/>
        </w:rPr>
      </w:pPr>
    </w:p>
    <w:p w14:paraId="5CA630ED" w14:textId="5F7FF544" w:rsidR="004A308D" w:rsidRPr="000A1ABF" w:rsidRDefault="00A83D11" w:rsidP="00A83D11">
      <w:pPr>
        <w:spacing w:line="240" w:lineRule="auto"/>
        <w:jc w:val="center"/>
        <w:rPr>
          <w:rFonts w:ascii="Times New Roman" w:hAnsi="Times New Roman" w:cs="Times New Roman"/>
          <w:b/>
          <w:lang w:eastAsia="en-GB"/>
        </w:rPr>
      </w:pPr>
      <w:bookmarkStart w:id="0" w:name="_GoBack"/>
      <w:r>
        <w:rPr>
          <w:rFonts w:ascii="Times New Roman" w:hAnsi="Times New Roman" w:cs="Times New Roman"/>
          <w:b/>
          <w:noProof/>
          <w:lang w:eastAsia="en-GB"/>
        </w:rPr>
        <w:drawing>
          <wp:inline distT="0" distB="0" distL="0" distR="0" wp14:anchorId="4AF11FEC" wp14:editId="75235AD2">
            <wp:extent cx="5033782" cy="6473063"/>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4S.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4941" cy="6474553"/>
                    </a:xfrm>
                    <a:prstGeom prst="rect">
                      <a:avLst/>
                    </a:prstGeom>
                  </pic:spPr>
                </pic:pic>
              </a:graphicData>
            </a:graphic>
          </wp:inline>
        </w:drawing>
      </w:r>
      <w:bookmarkEnd w:id="0"/>
    </w:p>
    <w:p w14:paraId="6EAFDE45" w14:textId="77777777" w:rsidR="004A308D" w:rsidRPr="000A1ABF" w:rsidRDefault="004A308D" w:rsidP="004A308D">
      <w:pPr>
        <w:spacing w:line="240" w:lineRule="auto"/>
        <w:jc w:val="both"/>
        <w:rPr>
          <w:rFonts w:ascii="Times New Roman" w:hAnsi="Times New Roman" w:cs="Times New Roman"/>
          <w:b/>
          <w:lang w:eastAsia="en-GB"/>
        </w:rPr>
      </w:pPr>
    </w:p>
    <w:p w14:paraId="6BEEE5AA" w14:textId="77777777" w:rsidR="004A308D" w:rsidRPr="000A1ABF" w:rsidRDefault="004A308D" w:rsidP="004A308D">
      <w:pPr>
        <w:spacing w:line="240" w:lineRule="auto"/>
        <w:jc w:val="both"/>
        <w:rPr>
          <w:rFonts w:ascii="Times New Roman" w:hAnsi="Times New Roman" w:cs="Times New Roman"/>
          <w:b/>
          <w:lang w:eastAsia="en-GB"/>
        </w:rPr>
      </w:pPr>
    </w:p>
    <w:p w14:paraId="46ED9A7A" w14:textId="77777777" w:rsidR="004A308D" w:rsidRPr="000A1ABF" w:rsidRDefault="004A308D" w:rsidP="004A308D">
      <w:pPr>
        <w:spacing w:line="240" w:lineRule="auto"/>
        <w:jc w:val="both"/>
        <w:rPr>
          <w:rFonts w:ascii="Times New Roman" w:hAnsi="Times New Roman" w:cs="Times New Roman"/>
          <w:b/>
          <w:lang w:eastAsia="en-GB"/>
        </w:rPr>
      </w:pPr>
    </w:p>
    <w:p w14:paraId="244C0D91" w14:textId="77777777" w:rsidR="004A308D" w:rsidRPr="000A1ABF" w:rsidRDefault="004A308D" w:rsidP="004A308D">
      <w:pPr>
        <w:spacing w:line="240" w:lineRule="auto"/>
        <w:jc w:val="both"/>
        <w:rPr>
          <w:rFonts w:ascii="Times New Roman" w:hAnsi="Times New Roman" w:cs="Times New Roman"/>
          <w:b/>
          <w:lang w:eastAsia="en-GB"/>
        </w:rPr>
      </w:pPr>
    </w:p>
    <w:p w14:paraId="699D1580" w14:textId="77777777" w:rsidR="00AB59F9" w:rsidRDefault="00AB59F9"/>
    <w:sectPr w:rsidR="00AB59F9" w:rsidSect="005562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8D"/>
    <w:rsid w:val="00032198"/>
    <w:rsid w:val="002A61D7"/>
    <w:rsid w:val="002D1580"/>
    <w:rsid w:val="0047718D"/>
    <w:rsid w:val="004A308D"/>
    <w:rsid w:val="005562A0"/>
    <w:rsid w:val="007C41D0"/>
    <w:rsid w:val="0086488B"/>
    <w:rsid w:val="00A83D11"/>
    <w:rsid w:val="00AB59F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BBAE"/>
  <w15:chartTrackingRefBased/>
  <w15:docId w15:val="{E2CB3E5F-3D3B-4E62-A1A2-44A060E6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08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2">
    <w:name w:val="Plain Table 2"/>
    <w:basedOn w:val="Tablanormal"/>
    <w:uiPriority w:val="42"/>
    <w:rsid w:val="004A308D"/>
    <w:pPr>
      <w:spacing w:after="0" w:line="240" w:lineRule="auto"/>
    </w:pPr>
    <w:rPr>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032198"/>
    <w:rPr>
      <w:sz w:val="16"/>
      <w:szCs w:val="16"/>
    </w:rPr>
  </w:style>
  <w:style w:type="paragraph" w:styleId="Textocomentario">
    <w:name w:val="annotation text"/>
    <w:basedOn w:val="Normal"/>
    <w:link w:val="TextocomentarioCar"/>
    <w:uiPriority w:val="99"/>
    <w:unhideWhenUsed/>
    <w:rsid w:val="00032198"/>
    <w:pPr>
      <w:spacing w:line="240" w:lineRule="auto"/>
    </w:pPr>
    <w:rPr>
      <w:sz w:val="20"/>
      <w:szCs w:val="20"/>
    </w:rPr>
  </w:style>
  <w:style w:type="character" w:customStyle="1" w:styleId="TextocomentarioCar">
    <w:name w:val="Texto comentario Car"/>
    <w:basedOn w:val="Fuentedeprrafopredeter"/>
    <w:link w:val="Textocomentario"/>
    <w:uiPriority w:val="99"/>
    <w:rsid w:val="00032198"/>
    <w:rPr>
      <w:sz w:val="20"/>
      <w:szCs w:val="20"/>
    </w:rPr>
  </w:style>
  <w:style w:type="paragraph" w:styleId="Textodeglobo">
    <w:name w:val="Balloon Text"/>
    <w:basedOn w:val="Normal"/>
    <w:link w:val="TextodegloboCar"/>
    <w:uiPriority w:val="99"/>
    <w:semiHidden/>
    <w:unhideWhenUsed/>
    <w:rsid w:val="000321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21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tiff"/><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ffb5ae-c3f0-4cd6-aa59-1ec56f6bdec8" xsi:nil="true"/>
    <lcf76f155ced4ddcb4097134ff3c332f xmlns="5a20baae-432c-496f-a47f-f187e22785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72D13A856B88A4A8A9754C911FA02D5" ma:contentTypeVersion="11" ma:contentTypeDescription="Crear nuevo documento." ma:contentTypeScope="" ma:versionID="d2f78b57f7f701e43b907e36a19392e2">
  <xsd:schema xmlns:xsd="http://www.w3.org/2001/XMLSchema" xmlns:xs="http://www.w3.org/2001/XMLSchema" xmlns:p="http://schemas.microsoft.com/office/2006/metadata/properties" xmlns:ns2="5a20baae-432c-496f-a47f-f187e22785df" xmlns:ns3="daffb5ae-c3f0-4cd6-aa59-1ec56f6bdec8" targetNamespace="http://schemas.microsoft.com/office/2006/metadata/properties" ma:root="true" ma:fieldsID="e112a217423fba5bb57717127bad79e9" ns2:_="" ns3:_="">
    <xsd:import namespace="5a20baae-432c-496f-a47f-f187e22785df"/>
    <xsd:import namespace="daffb5ae-c3f0-4cd6-aa59-1ec56f6bde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0baae-432c-496f-a47f-f187e2278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20d55bd2-3ac4-435c-b504-f363ceaa01d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ffb5ae-c3f0-4cd6-aa59-1ec56f6bdec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ac8286-6f49-4b38-a152-42e5fcf76e8e}" ma:internalName="TaxCatchAll" ma:showField="CatchAllData" ma:web="daffb5ae-c3f0-4cd6-aa59-1ec56f6bde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7068C-8D04-4478-A86E-555A1A752B3B}">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5a20baae-432c-496f-a47f-f187e22785df"/>
    <ds:schemaRef ds:uri="daffb5ae-c3f0-4cd6-aa59-1ec56f6bdec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275C00D-7923-4F1A-BA0A-8FA5FE212EB2}">
  <ds:schemaRefs>
    <ds:schemaRef ds:uri="http://schemas.microsoft.com/sharepoint/v3/contenttype/forms"/>
  </ds:schemaRefs>
</ds:datastoreItem>
</file>

<file path=customXml/itemProps3.xml><?xml version="1.0" encoding="utf-8"?>
<ds:datastoreItem xmlns:ds="http://schemas.openxmlformats.org/officeDocument/2006/customXml" ds:itemID="{C9D84199-DF77-4319-A0AC-BE8AF8C6B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0baae-432c-496f-a47f-f187e22785df"/>
    <ds:schemaRef ds:uri="daffb5ae-c3f0-4cd6-aa59-1ec56f6bd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650</Words>
  <Characters>3711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Mauricio Cruz Barrera</dc:creator>
  <cp:keywords/>
  <dc:description/>
  <cp:lastModifiedBy>fredy cruz</cp:lastModifiedBy>
  <cp:revision>4</cp:revision>
  <dcterms:created xsi:type="dcterms:W3CDTF">2022-07-22T21:11:00Z</dcterms:created>
  <dcterms:modified xsi:type="dcterms:W3CDTF">2022-08-14T23:01:00Z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0x010100672D13A856B88A4A8A9754C911FA02D5</vt:lpwstr>
  </property>
</Properties>
</file>