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D7013" w14:textId="77777777" w:rsidR="00777130" w:rsidRPr="00777130" w:rsidRDefault="00777130" w:rsidP="00777130">
      <w:pPr>
        <w:rPr>
          <w:rFonts w:ascii="Calibri" w:eastAsia="Calibri" w:hAnsi="Calibri" w:cs="Arial"/>
          <w:lang w:val="en-GB"/>
        </w:rPr>
      </w:pPr>
      <w:r w:rsidRPr="00777130">
        <w:rPr>
          <w:rFonts w:ascii="Calibri" w:eastAsia="Calibri" w:hAnsi="Calibri" w:cs="Arial"/>
          <w:noProof/>
          <w:lang w:val="en-GB"/>
        </w:rPr>
        <w:drawing>
          <wp:inline distT="0" distB="0" distL="0" distR="0" wp14:anchorId="3279CD4A" wp14:editId="05C566BB">
            <wp:extent cx="5760720" cy="8145145"/>
            <wp:effectExtent l="0" t="0" r="0" b="8255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130">
        <w:rPr>
          <w:rFonts w:ascii="Calibri" w:eastAsia="Calibri" w:hAnsi="Calibri" w:cs="Arial"/>
          <w:b/>
          <w:i/>
          <w:szCs w:val="24"/>
        </w:rPr>
        <w:t>Extended Data Figure 1.</w:t>
      </w:r>
      <w:r w:rsidRPr="00777130">
        <w:rPr>
          <w:rFonts w:ascii="Calibri" w:eastAsia="Calibri" w:hAnsi="Calibri" w:cs="Arial"/>
          <w:szCs w:val="24"/>
        </w:rPr>
        <w:t xml:space="preserve"> A) Number of macrophages (CD45</w:t>
      </w:r>
      <w:r w:rsidRPr="00777130">
        <w:rPr>
          <w:rFonts w:ascii="Calibri" w:eastAsia="Calibri" w:hAnsi="Calibri" w:cs="Arial"/>
          <w:szCs w:val="24"/>
          <w:vertAlign w:val="superscript"/>
        </w:rPr>
        <w:t>+</w:t>
      </w:r>
      <w:r w:rsidRPr="00777130">
        <w:rPr>
          <w:rFonts w:ascii="Calibri" w:eastAsia="Calibri" w:hAnsi="Calibri" w:cs="Arial"/>
          <w:szCs w:val="24"/>
        </w:rPr>
        <w:t xml:space="preserve"> F4/80</w:t>
      </w:r>
      <w:r w:rsidRPr="00777130">
        <w:rPr>
          <w:rFonts w:ascii="Calibri" w:eastAsia="Calibri" w:hAnsi="Calibri" w:cs="Arial"/>
          <w:szCs w:val="24"/>
          <w:vertAlign w:val="superscript"/>
        </w:rPr>
        <w:t>+</w:t>
      </w:r>
      <w:r w:rsidRPr="00777130">
        <w:rPr>
          <w:rFonts w:ascii="Calibri" w:eastAsia="Calibri" w:hAnsi="Calibri" w:cs="Arial"/>
          <w:szCs w:val="24"/>
        </w:rPr>
        <w:t xml:space="preserve">) </w:t>
      </w:r>
      <w:proofErr w:type="gramStart"/>
      <w:r w:rsidRPr="00777130">
        <w:rPr>
          <w:rFonts w:ascii="Calibri" w:eastAsia="Calibri" w:hAnsi="Calibri" w:cs="Arial"/>
          <w:szCs w:val="24"/>
        </w:rPr>
        <w:t>at</w:t>
      </w:r>
      <w:proofErr w:type="gramEnd"/>
      <w:r w:rsidRPr="00777130">
        <w:rPr>
          <w:rFonts w:ascii="Calibri" w:eastAsia="Calibri" w:hAnsi="Calibri" w:cs="Arial"/>
          <w:szCs w:val="24"/>
        </w:rPr>
        <w:t xml:space="preserve"> day 7 after induction of ischemia. Most CD45</w:t>
      </w:r>
      <w:r w:rsidRPr="00777130">
        <w:rPr>
          <w:rFonts w:ascii="Calibri" w:eastAsia="Calibri" w:hAnsi="Calibri" w:cs="Arial"/>
          <w:szCs w:val="24"/>
          <w:vertAlign w:val="superscript"/>
        </w:rPr>
        <w:t xml:space="preserve">+ </w:t>
      </w:r>
      <w:r w:rsidRPr="00777130">
        <w:rPr>
          <w:rFonts w:ascii="Calibri" w:eastAsia="Calibri" w:hAnsi="Calibri" w:cs="Arial"/>
          <w:szCs w:val="24"/>
        </w:rPr>
        <w:t>F4/80</w:t>
      </w:r>
      <w:r w:rsidRPr="00777130">
        <w:rPr>
          <w:rFonts w:ascii="Calibri" w:eastAsia="Calibri" w:hAnsi="Calibri" w:cs="Arial"/>
          <w:szCs w:val="24"/>
          <w:vertAlign w:val="superscript"/>
        </w:rPr>
        <w:t>+</w:t>
      </w:r>
      <w:r w:rsidRPr="00777130">
        <w:rPr>
          <w:rFonts w:ascii="Calibri" w:eastAsia="Calibri" w:hAnsi="Calibri" w:cs="Arial"/>
          <w:szCs w:val="24"/>
        </w:rPr>
        <w:t>macrophages are CD11b and CX</w:t>
      </w:r>
      <w:r w:rsidRPr="00777130">
        <w:rPr>
          <w:rFonts w:ascii="Calibri" w:eastAsia="Calibri" w:hAnsi="Calibri" w:cs="Arial"/>
          <w:szCs w:val="24"/>
          <w:vertAlign w:val="subscript"/>
        </w:rPr>
        <w:t>3</w:t>
      </w:r>
      <w:r w:rsidRPr="00777130">
        <w:rPr>
          <w:rFonts w:ascii="Calibri" w:eastAsia="Calibri" w:hAnsi="Calibri" w:cs="Arial"/>
          <w:szCs w:val="24"/>
        </w:rPr>
        <w:t xml:space="preserve">CR1 positive.  B) Experimental layout: </w:t>
      </w:r>
      <w:proofErr w:type="spellStart"/>
      <w:r w:rsidRPr="00777130">
        <w:rPr>
          <w:rFonts w:ascii="Calibri" w:eastAsia="Calibri" w:hAnsi="Calibri" w:cs="Arial"/>
          <w:szCs w:val="24"/>
        </w:rPr>
        <w:t>tdTomato</w:t>
      </w:r>
      <w:proofErr w:type="spellEnd"/>
      <w:r w:rsidRPr="00777130">
        <w:rPr>
          <w:rFonts w:ascii="Calibri" w:eastAsia="Calibri" w:hAnsi="Calibri" w:cs="Arial"/>
          <w:szCs w:val="24"/>
        </w:rPr>
        <w:t xml:space="preserve"> expression by macrophages is induced by tamoxifen treatment for 5 consecutive days and is followed by a 5-day wash-out period to remove tamoxifen from the system. C) Schematic </w:t>
      </w:r>
      <w:r w:rsidRPr="00777130">
        <w:rPr>
          <w:rFonts w:ascii="Calibri" w:eastAsia="Calibri" w:hAnsi="Calibri" w:cs="Arial"/>
          <w:szCs w:val="24"/>
        </w:rPr>
        <w:lastRenderedPageBreak/>
        <w:t xml:space="preserve">representation of the experimental layout. D) Gating strategy for macrophages in lineage tracing experiments. E) Recombination efficiency in blood. F) Representative flow cytometry plots for the characterization of </w:t>
      </w:r>
      <w:proofErr w:type="spellStart"/>
      <w:r w:rsidRPr="00777130">
        <w:rPr>
          <w:rFonts w:ascii="Calibri" w:eastAsia="Calibri" w:hAnsi="Calibri" w:cs="Arial"/>
          <w:szCs w:val="24"/>
        </w:rPr>
        <w:t>tdTomato</w:t>
      </w:r>
      <w:proofErr w:type="spellEnd"/>
      <w:r w:rsidRPr="00777130">
        <w:rPr>
          <w:rFonts w:ascii="Calibri" w:eastAsia="Calibri" w:hAnsi="Calibri" w:cs="Arial"/>
          <w:szCs w:val="24"/>
          <w:vertAlign w:val="superscript"/>
        </w:rPr>
        <w:t>+</w:t>
      </w:r>
      <w:r w:rsidRPr="00777130">
        <w:rPr>
          <w:rFonts w:ascii="Calibri" w:eastAsia="Calibri" w:hAnsi="Calibri" w:cs="Arial"/>
          <w:szCs w:val="24"/>
        </w:rPr>
        <w:t xml:space="preserve"> cells and of PDGFRβ</w:t>
      </w:r>
      <w:r w:rsidRPr="00777130">
        <w:rPr>
          <w:rFonts w:ascii="Calibri" w:eastAsia="Calibri" w:hAnsi="Calibri" w:cs="Arial"/>
          <w:szCs w:val="24"/>
          <w:vertAlign w:val="superscript"/>
        </w:rPr>
        <w:t>+</w:t>
      </w:r>
      <w:r w:rsidRPr="00777130">
        <w:rPr>
          <w:rFonts w:ascii="Calibri" w:eastAsia="Calibri" w:hAnsi="Calibri" w:cs="Arial"/>
          <w:szCs w:val="24"/>
        </w:rPr>
        <w:t xml:space="preserve"> cells in relation to their expression of leukocyte markers demonstrate that recombined cells are macrophages and that PDGFRβ</w:t>
      </w:r>
      <w:r w:rsidRPr="00777130">
        <w:rPr>
          <w:rFonts w:ascii="Calibri" w:eastAsia="Calibri" w:hAnsi="Calibri" w:cs="Arial"/>
          <w:szCs w:val="24"/>
          <w:vertAlign w:val="superscript"/>
        </w:rPr>
        <w:t>+</w:t>
      </w:r>
      <w:r w:rsidRPr="00777130">
        <w:rPr>
          <w:rFonts w:ascii="Calibri" w:eastAsia="Calibri" w:hAnsi="Calibri" w:cs="Arial"/>
          <w:szCs w:val="24"/>
        </w:rPr>
        <w:t xml:space="preserve"> cells do not express macrophage markers in healthy muscle. Mann-Whitney U test (A); Kruskal-Wallis followed by Dunn’s post-hoc test, mean rank of each column was compared with the mean rank of “No tamoxifen” group (E). Data shown as average ± SEM.</w:t>
      </w:r>
    </w:p>
    <w:p w14:paraId="1981612C" w14:textId="77777777" w:rsidR="00777130" w:rsidRPr="00777130" w:rsidRDefault="00777130" w:rsidP="00777130">
      <w:pPr>
        <w:rPr>
          <w:rFonts w:ascii="Calibri" w:eastAsia="Calibri" w:hAnsi="Calibri" w:cs="Arial"/>
          <w:lang w:val="en-GB"/>
        </w:rPr>
      </w:pPr>
    </w:p>
    <w:p w14:paraId="1379876A" w14:textId="77777777" w:rsidR="00777130" w:rsidRPr="00777130" w:rsidRDefault="00777130" w:rsidP="00777130">
      <w:pPr>
        <w:rPr>
          <w:rFonts w:ascii="Calibri" w:eastAsia="Calibri" w:hAnsi="Calibri" w:cs="Arial"/>
          <w:lang w:val="en-GB"/>
        </w:rPr>
      </w:pPr>
      <w:r w:rsidRPr="00777130">
        <w:rPr>
          <w:rFonts w:ascii="Calibri" w:eastAsia="Calibri" w:hAnsi="Calibri" w:cs="Arial"/>
          <w:lang w:val="en-GB"/>
        </w:rPr>
        <w:br w:type="page"/>
      </w:r>
    </w:p>
    <w:p w14:paraId="384CAA5A" w14:textId="77777777" w:rsidR="00777130" w:rsidRPr="00777130" w:rsidRDefault="00777130" w:rsidP="00777130">
      <w:pPr>
        <w:rPr>
          <w:rFonts w:ascii="Calibri" w:eastAsia="Calibri" w:hAnsi="Calibri" w:cs="Arial"/>
          <w:lang w:val="en-GB"/>
        </w:rPr>
      </w:pPr>
      <w:r w:rsidRPr="00777130">
        <w:rPr>
          <w:rFonts w:ascii="Calibri" w:eastAsia="Calibri" w:hAnsi="Calibri" w:cs="Arial"/>
          <w:noProof/>
          <w:lang w:val="en-GB"/>
        </w:rPr>
        <w:lastRenderedPageBreak/>
        <w:drawing>
          <wp:inline distT="0" distB="0" distL="0" distR="0" wp14:anchorId="0102B50E" wp14:editId="5FE89880">
            <wp:extent cx="5760720" cy="4673600"/>
            <wp:effectExtent l="0" t="0" r="0" b="0"/>
            <wp:docPr id="9" name="Picture 9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24"/>
                    <a:stretch/>
                  </pic:blipFill>
                  <pic:spPr bwMode="auto">
                    <a:xfrm>
                      <a:off x="0" y="0"/>
                      <a:ext cx="5760720" cy="46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30050D" w14:textId="77777777" w:rsidR="00777130" w:rsidRPr="00777130" w:rsidRDefault="00777130" w:rsidP="0077713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de-DE"/>
        </w:rPr>
      </w:pPr>
      <w:r w:rsidRPr="00777130">
        <w:rPr>
          <w:rFonts w:ascii="Times New Roman" w:eastAsia="Times New Roman" w:hAnsi="Times New Roman" w:cs="Times New Roman"/>
          <w:b/>
          <w:i/>
          <w:lang w:eastAsia="de-DE"/>
        </w:rPr>
        <w:t>Extended Data Figure 2.</w:t>
      </w:r>
      <w:r w:rsidRPr="00777130">
        <w:rPr>
          <w:rFonts w:ascii="Times New Roman" w:eastAsia="Times New Roman" w:hAnsi="Times New Roman" w:cs="Times New Roman"/>
          <w:lang w:eastAsia="de-DE"/>
        </w:rPr>
        <w:t xml:space="preserve"> A) Sorting strategy used for FACS for the </w:t>
      </w:r>
      <w:proofErr w:type="spellStart"/>
      <w:r w:rsidRPr="00777130">
        <w:rPr>
          <w:rFonts w:ascii="Times New Roman" w:eastAsia="Times New Roman" w:hAnsi="Times New Roman" w:cs="Times New Roman"/>
          <w:lang w:eastAsia="de-DE"/>
        </w:rPr>
        <w:t>scRNA</w:t>
      </w:r>
      <w:proofErr w:type="spellEnd"/>
      <w:r w:rsidRPr="00777130">
        <w:rPr>
          <w:rFonts w:ascii="Times New Roman" w:eastAsia="Times New Roman" w:hAnsi="Times New Roman" w:cs="Times New Roman"/>
          <w:lang w:eastAsia="de-DE"/>
        </w:rPr>
        <w:t xml:space="preserve">-seq experiments B) Relative proportions of cell types in healthy and ischemic muscle, demonstrating shifts in cell type composition after 3 weeks of ischemia. C) UMAP embedding of </w:t>
      </w:r>
      <w:proofErr w:type="spellStart"/>
      <w:r w:rsidRPr="00777130">
        <w:rPr>
          <w:rFonts w:ascii="Times New Roman" w:eastAsia="Times New Roman" w:hAnsi="Times New Roman" w:cs="Times New Roman"/>
          <w:lang w:eastAsia="de-DE"/>
        </w:rPr>
        <w:t>scRNA</w:t>
      </w:r>
      <w:proofErr w:type="spellEnd"/>
      <w:r w:rsidRPr="00777130">
        <w:rPr>
          <w:rFonts w:ascii="Times New Roman" w:eastAsia="Times New Roman" w:hAnsi="Times New Roman" w:cs="Times New Roman"/>
          <w:lang w:eastAsia="de-DE"/>
        </w:rPr>
        <w:t xml:space="preserve">-seq data colored by number of total spliced and </w:t>
      </w:r>
      <w:proofErr w:type="spellStart"/>
      <w:r w:rsidRPr="00777130">
        <w:rPr>
          <w:rFonts w:ascii="Times New Roman" w:eastAsia="Times New Roman" w:hAnsi="Times New Roman" w:cs="Times New Roman"/>
          <w:lang w:eastAsia="de-DE"/>
        </w:rPr>
        <w:t>unspliced</w:t>
      </w:r>
      <w:proofErr w:type="spellEnd"/>
      <w:r w:rsidRPr="00777130">
        <w:rPr>
          <w:rFonts w:ascii="Times New Roman" w:eastAsia="Times New Roman" w:hAnsi="Times New Roman" w:cs="Times New Roman"/>
          <w:lang w:eastAsia="de-DE"/>
        </w:rPr>
        <w:t xml:space="preserve"> counts. </w:t>
      </w:r>
    </w:p>
    <w:p w14:paraId="7D3EB310" w14:textId="77777777" w:rsidR="00777130" w:rsidRPr="00777130" w:rsidRDefault="00777130" w:rsidP="0077713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14:paraId="69686A04" w14:textId="77777777" w:rsidR="00777130" w:rsidRPr="00777130" w:rsidRDefault="00777130" w:rsidP="00777130">
      <w:pPr>
        <w:rPr>
          <w:rFonts w:ascii="Times New Roman" w:eastAsia="Times New Roman" w:hAnsi="Times New Roman" w:cs="Times New Roman"/>
          <w:lang w:eastAsia="de-DE"/>
        </w:rPr>
      </w:pPr>
      <w:r w:rsidRPr="00777130">
        <w:rPr>
          <w:rFonts w:ascii="Calibri" w:eastAsia="Calibri" w:hAnsi="Calibri" w:cs="Arial"/>
        </w:rPr>
        <w:br w:type="page"/>
      </w:r>
      <w:r w:rsidRPr="00777130">
        <w:rPr>
          <w:rFonts w:ascii="Calibri" w:eastAsia="Calibri" w:hAnsi="Calibri" w:cs="Arial"/>
          <w:noProof/>
          <w:lang w:val="en-GB" w:eastAsia="en-GB"/>
        </w:rPr>
        <w:lastRenderedPageBreak/>
        <w:drawing>
          <wp:inline distT="0" distB="0" distL="0" distR="0" wp14:anchorId="792F4C1A" wp14:editId="26877270">
            <wp:extent cx="5760720" cy="8159750"/>
            <wp:effectExtent l="0" t="0" r="0" b="0"/>
            <wp:docPr id="23" name="Picture 2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8095F" w14:textId="77777777" w:rsidR="00777130" w:rsidRPr="00777130" w:rsidRDefault="00777130" w:rsidP="00777130">
      <w:pPr>
        <w:rPr>
          <w:rFonts w:ascii="Calibri" w:eastAsia="Calibri" w:hAnsi="Calibri" w:cs="Arial"/>
        </w:rPr>
      </w:pPr>
      <w:r w:rsidRPr="00777130">
        <w:rPr>
          <w:rFonts w:ascii="Calibri" w:eastAsia="Calibri" w:hAnsi="Calibri" w:cs="Arial"/>
        </w:rPr>
        <w:br w:type="page"/>
      </w:r>
    </w:p>
    <w:p w14:paraId="604C6D42" w14:textId="77777777" w:rsidR="00777130" w:rsidRPr="00777130" w:rsidRDefault="00777130" w:rsidP="00777130">
      <w:pPr>
        <w:rPr>
          <w:rFonts w:ascii="Calibri" w:eastAsia="Calibri" w:hAnsi="Calibri" w:cs="Arial"/>
        </w:rPr>
      </w:pPr>
      <w:r w:rsidRPr="00777130">
        <w:rPr>
          <w:rFonts w:ascii="Calibri" w:eastAsia="Calibri" w:hAnsi="Calibri" w:cs="Arial"/>
          <w:noProof/>
          <w:lang w:val="en-GB" w:eastAsia="en-GB"/>
        </w:rPr>
        <w:lastRenderedPageBreak/>
        <w:drawing>
          <wp:inline distT="0" distB="0" distL="0" distR="0" wp14:anchorId="353E093B" wp14:editId="27F4EE68">
            <wp:extent cx="5760720" cy="3125973"/>
            <wp:effectExtent l="0" t="0" r="0" b="0"/>
            <wp:docPr id="24" name="Picture 24" descr="A picture containing tex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text, screenshot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676"/>
                    <a:stretch/>
                  </pic:blipFill>
                  <pic:spPr bwMode="auto">
                    <a:xfrm>
                      <a:off x="0" y="0"/>
                      <a:ext cx="5760720" cy="3125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085E75" w14:textId="77777777" w:rsidR="00777130" w:rsidRPr="00777130" w:rsidRDefault="00777130" w:rsidP="00777130">
      <w:pPr>
        <w:rPr>
          <w:rFonts w:ascii="Calibri" w:eastAsia="Calibri" w:hAnsi="Calibri" w:cs="Arial"/>
        </w:rPr>
      </w:pPr>
      <w:r w:rsidRPr="00777130">
        <w:rPr>
          <w:rFonts w:ascii="Calibri" w:eastAsia="Calibri" w:hAnsi="Calibri" w:cs="Arial"/>
          <w:b/>
          <w:i/>
          <w:szCs w:val="24"/>
        </w:rPr>
        <w:t>Extended Data</w:t>
      </w:r>
      <w:r w:rsidRPr="00777130">
        <w:rPr>
          <w:rFonts w:ascii="Calibri" w:eastAsia="Calibri" w:hAnsi="Calibri" w:cs="Arial"/>
          <w:b/>
          <w:i/>
        </w:rPr>
        <w:t xml:space="preserve"> Figure 3</w:t>
      </w:r>
      <w:r w:rsidRPr="00777130">
        <w:rPr>
          <w:rFonts w:ascii="Calibri" w:eastAsia="Calibri" w:hAnsi="Calibri" w:cs="Arial"/>
          <w:b/>
        </w:rPr>
        <w:t>.</w:t>
      </w:r>
      <w:r w:rsidRPr="00777130">
        <w:rPr>
          <w:rFonts w:ascii="Calibri" w:eastAsia="Calibri" w:hAnsi="Calibri" w:cs="Arial"/>
        </w:rPr>
        <w:t xml:space="preserve"> Related to Supplemental Figure 2C, UMAP visualization of selected genes enriched in clusters identified in the </w:t>
      </w:r>
      <w:proofErr w:type="spellStart"/>
      <w:r w:rsidRPr="00777130">
        <w:rPr>
          <w:rFonts w:ascii="Calibri" w:eastAsia="Calibri" w:hAnsi="Calibri" w:cs="Arial"/>
        </w:rPr>
        <w:t>scRNA</w:t>
      </w:r>
      <w:proofErr w:type="spellEnd"/>
      <w:r w:rsidRPr="00777130">
        <w:rPr>
          <w:rFonts w:ascii="Calibri" w:eastAsia="Calibri" w:hAnsi="Calibri" w:cs="Arial"/>
        </w:rPr>
        <w:t>-seq experiments.</w:t>
      </w:r>
    </w:p>
    <w:p w14:paraId="2F1C9468" w14:textId="77777777" w:rsidR="00777130" w:rsidRPr="00777130" w:rsidRDefault="00777130" w:rsidP="00777130">
      <w:pPr>
        <w:rPr>
          <w:rFonts w:ascii="Times New Roman" w:eastAsia="Times New Roman" w:hAnsi="Times New Roman" w:cs="Times New Roman"/>
          <w:lang w:eastAsia="de-DE"/>
        </w:rPr>
      </w:pPr>
    </w:p>
    <w:p w14:paraId="767634D1" w14:textId="77777777" w:rsidR="00777130" w:rsidRPr="00777130" w:rsidRDefault="00777130" w:rsidP="0077713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de-DE"/>
        </w:rPr>
      </w:pPr>
    </w:p>
    <w:p w14:paraId="2FD52A5E" w14:textId="77777777" w:rsidR="00777130" w:rsidRPr="00777130" w:rsidRDefault="00777130" w:rsidP="00777130">
      <w:pPr>
        <w:rPr>
          <w:rFonts w:ascii="Times New Roman" w:eastAsia="Times New Roman" w:hAnsi="Times New Roman" w:cs="Times New Roman"/>
          <w:szCs w:val="24"/>
          <w:lang w:eastAsia="de-DE"/>
        </w:rPr>
      </w:pPr>
    </w:p>
    <w:p w14:paraId="1FC7161E" w14:textId="77777777" w:rsidR="00777130" w:rsidRPr="00777130" w:rsidRDefault="00777130" w:rsidP="00777130">
      <w:pPr>
        <w:rPr>
          <w:rFonts w:ascii="Times New Roman" w:eastAsia="Times New Roman" w:hAnsi="Times New Roman" w:cs="Times New Roman"/>
          <w:szCs w:val="24"/>
          <w:lang w:eastAsia="de-DE"/>
        </w:rPr>
      </w:pPr>
    </w:p>
    <w:p w14:paraId="33A838B1" w14:textId="77777777" w:rsidR="00777130" w:rsidRPr="00777130" w:rsidRDefault="00777130" w:rsidP="00777130">
      <w:pPr>
        <w:rPr>
          <w:rFonts w:ascii="Times New Roman" w:eastAsia="Times New Roman" w:hAnsi="Times New Roman" w:cs="Times New Roman"/>
          <w:szCs w:val="24"/>
          <w:lang w:eastAsia="de-DE"/>
        </w:rPr>
      </w:pPr>
    </w:p>
    <w:p w14:paraId="5793B631" w14:textId="77777777" w:rsidR="00777130" w:rsidRPr="00777130" w:rsidRDefault="00777130" w:rsidP="00777130">
      <w:pPr>
        <w:rPr>
          <w:rFonts w:ascii="Times New Roman" w:eastAsia="Times New Roman" w:hAnsi="Times New Roman" w:cs="Times New Roman"/>
          <w:szCs w:val="24"/>
          <w:lang w:eastAsia="de-DE"/>
        </w:rPr>
      </w:pPr>
    </w:p>
    <w:p w14:paraId="58C1521C" w14:textId="77777777" w:rsidR="00777130" w:rsidRPr="00777130" w:rsidRDefault="00777130" w:rsidP="00777130">
      <w:pPr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de-DE"/>
        </w:rPr>
      </w:pPr>
      <w:r w:rsidRPr="00777130">
        <w:rPr>
          <w:rFonts w:ascii="Times New Roman" w:eastAsia="Times New Roman" w:hAnsi="Times New Roman" w:cs="Times New Roman"/>
          <w:noProof/>
          <w:szCs w:val="24"/>
          <w:lang w:val="en-GB" w:eastAsia="en-GB"/>
        </w:rPr>
        <w:lastRenderedPageBreak/>
        <w:drawing>
          <wp:inline distT="0" distB="0" distL="0" distR="0" wp14:anchorId="7A6ADAAD" wp14:editId="70542950">
            <wp:extent cx="5760720" cy="3705860"/>
            <wp:effectExtent l="0" t="0" r="0" b="889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7F3FC" w14:textId="77777777" w:rsidR="00777130" w:rsidRPr="00777130" w:rsidRDefault="00777130" w:rsidP="0077713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de-DE"/>
        </w:rPr>
      </w:pPr>
      <w:r w:rsidRPr="00777130">
        <w:rPr>
          <w:rFonts w:ascii="Times New Roman" w:eastAsia="Times New Roman" w:hAnsi="Times New Roman" w:cs="Times New Roman"/>
          <w:b/>
          <w:i/>
          <w:lang w:eastAsia="de-DE"/>
        </w:rPr>
        <w:t>Extended Data Figure 4.</w:t>
      </w:r>
      <w:r w:rsidRPr="00777130">
        <w:rPr>
          <w:rFonts w:ascii="Times New Roman" w:eastAsia="Times New Roman" w:hAnsi="Times New Roman" w:cs="Times New Roman"/>
          <w:lang w:eastAsia="de-DE"/>
        </w:rPr>
        <w:t xml:space="preserve"> Venn Diagram of Top 150 GO terms enriched in clusters 2, tenocytes, FAPs and mural cells when comparing to cluster 0, with a selection of pathways shown. Pathways identified as enriched in mural cell cluster are marked red.</w:t>
      </w:r>
    </w:p>
    <w:p w14:paraId="13D7CF09" w14:textId="77777777" w:rsidR="00777130" w:rsidRPr="00777130" w:rsidRDefault="00777130" w:rsidP="00777130">
      <w:pPr>
        <w:rPr>
          <w:rFonts w:ascii="Calibri" w:eastAsia="Calibri" w:hAnsi="Calibri" w:cs="Arial"/>
        </w:rPr>
      </w:pPr>
    </w:p>
    <w:p w14:paraId="592E407E" w14:textId="77777777" w:rsidR="00777130" w:rsidRPr="00777130" w:rsidRDefault="00777130" w:rsidP="00777130">
      <w:pPr>
        <w:rPr>
          <w:rFonts w:ascii="Calibri" w:eastAsia="Calibri" w:hAnsi="Calibri" w:cs="Arial"/>
        </w:rPr>
      </w:pPr>
    </w:p>
    <w:p w14:paraId="5E6D12C4" w14:textId="77777777" w:rsidR="00777130" w:rsidRPr="00777130" w:rsidRDefault="00777130" w:rsidP="00777130">
      <w:pPr>
        <w:rPr>
          <w:rFonts w:ascii="Calibri" w:eastAsia="Calibri" w:hAnsi="Calibri" w:cs="Arial"/>
        </w:rPr>
      </w:pPr>
      <w:r w:rsidRPr="00777130">
        <w:rPr>
          <w:rFonts w:ascii="Calibri" w:eastAsia="Calibri" w:hAnsi="Calibri" w:cs="Arial"/>
        </w:rPr>
        <w:br w:type="page"/>
      </w:r>
    </w:p>
    <w:p w14:paraId="1975BFBF" w14:textId="77777777" w:rsidR="00777130" w:rsidRPr="00777130" w:rsidRDefault="00777130" w:rsidP="00777130">
      <w:pPr>
        <w:rPr>
          <w:rFonts w:ascii="Times New Roman" w:eastAsia="Calibri" w:hAnsi="Times New Roman" w:cs="Times New Roman"/>
          <w:b/>
          <w:i/>
          <w:noProof/>
          <w:lang w:val="en-GB" w:eastAsia="en-GB"/>
        </w:rPr>
      </w:pPr>
      <w:r w:rsidRPr="00777130">
        <w:rPr>
          <w:rFonts w:ascii="Times New Roman" w:eastAsia="Calibri" w:hAnsi="Times New Roman" w:cs="Times New Roman"/>
          <w:b/>
          <w:i/>
          <w:noProof/>
          <w:lang w:val="en-GB" w:eastAsia="en-GB"/>
        </w:rPr>
        <w:lastRenderedPageBreak/>
        <w:drawing>
          <wp:inline distT="0" distB="0" distL="0" distR="0" wp14:anchorId="67C1D5AD" wp14:editId="122F322E">
            <wp:extent cx="5760720" cy="3023235"/>
            <wp:effectExtent l="0" t="0" r="0" b="5715"/>
            <wp:docPr id="31" name="Picture 3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Chart, scatter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9D45B" w14:textId="77777777" w:rsidR="00777130" w:rsidRPr="00777130" w:rsidRDefault="00777130" w:rsidP="00777130">
      <w:pPr>
        <w:rPr>
          <w:rFonts w:ascii="Calibri" w:eastAsia="Calibri" w:hAnsi="Calibri" w:cs="Arial"/>
        </w:rPr>
      </w:pPr>
      <w:r w:rsidRPr="00777130">
        <w:rPr>
          <w:rFonts w:ascii="Calibri" w:eastAsia="Calibri" w:hAnsi="Calibri" w:cs="Arial"/>
          <w:b/>
          <w:i/>
          <w:szCs w:val="24"/>
        </w:rPr>
        <w:t>Extended Data</w:t>
      </w:r>
      <w:r w:rsidRPr="00777130">
        <w:rPr>
          <w:rFonts w:ascii="Calibri" w:eastAsia="Calibri" w:hAnsi="Calibri" w:cs="Arial"/>
          <w:b/>
          <w:i/>
        </w:rPr>
        <w:t xml:space="preserve"> Figure </w:t>
      </w:r>
      <w:r w:rsidRPr="00777130">
        <w:rPr>
          <w:rFonts w:ascii="Times New Roman" w:eastAsia="Calibri" w:hAnsi="Times New Roman" w:cs="Times New Roman"/>
          <w:b/>
          <w:i/>
        </w:rPr>
        <w:t>5.</w:t>
      </w:r>
      <w:r w:rsidRPr="00777130">
        <w:rPr>
          <w:rFonts w:ascii="Times New Roman" w:eastAsia="Calibri" w:hAnsi="Times New Roman" w:cs="Times New Roman"/>
        </w:rPr>
        <w:t xml:space="preserve"> </w:t>
      </w:r>
      <w:r w:rsidRPr="00777130">
        <w:rPr>
          <w:rFonts w:ascii="Times New Roman" w:eastAsia="Calibri" w:hAnsi="Times New Roman" w:cs="Times New Roman"/>
          <w:noProof/>
          <w:lang w:eastAsia="sv-SE"/>
        </w:rPr>
        <w:t>UMAP plots with color-coded expression of the genes characteristic of FAPs as described by Oprescu et al.</w:t>
      </w:r>
    </w:p>
    <w:p w14:paraId="0C649C53" w14:textId="77777777" w:rsidR="00777130" w:rsidRPr="00777130" w:rsidRDefault="00777130" w:rsidP="00777130">
      <w:pPr>
        <w:rPr>
          <w:rFonts w:ascii="Calibri" w:eastAsia="Calibri" w:hAnsi="Calibri" w:cs="Arial"/>
        </w:rPr>
      </w:pPr>
    </w:p>
    <w:p w14:paraId="0ACDD9E6" w14:textId="77777777" w:rsidR="00777130" w:rsidRPr="00777130" w:rsidRDefault="00777130" w:rsidP="00777130">
      <w:pPr>
        <w:rPr>
          <w:rFonts w:ascii="Calibri" w:eastAsia="Calibri" w:hAnsi="Calibri" w:cs="Arial"/>
        </w:rPr>
      </w:pPr>
    </w:p>
    <w:p w14:paraId="162CF372" w14:textId="77777777" w:rsidR="00777130" w:rsidRPr="00777130" w:rsidRDefault="00777130" w:rsidP="00777130">
      <w:pPr>
        <w:rPr>
          <w:rFonts w:ascii="Calibri" w:eastAsia="Calibri" w:hAnsi="Calibri" w:cs="Arial"/>
        </w:rPr>
      </w:pPr>
    </w:p>
    <w:p w14:paraId="55841A4E" w14:textId="77777777" w:rsidR="00777130" w:rsidRPr="00777130" w:rsidRDefault="00777130" w:rsidP="00777130">
      <w:pPr>
        <w:rPr>
          <w:rFonts w:ascii="Calibri" w:eastAsia="Calibri" w:hAnsi="Calibri" w:cs="Arial"/>
        </w:rPr>
      </w:pPr>
      <w:r w:rsidRPr="00777130">
        <w:rPr>
          <w:rFonts w:ascii="Calibri" w:eastAsia="Calibri" w:hAnsi="Calibri" w:cs="Arial"/>
        </w:rPr>
        <w:br w:type="page"/>
      </w:r>
    </w:p>
    <w:p w14:paraId="47F1FD86" w14:textId="77777777" w:rsidR="00777130" w:rsidRPr="00777130" w:rsidRDefault="00777130" w:rsidP="00777130">
      <w:pPr>
        <w:rPr>
          <w:rFonts w:ascii="Calibri" w:eastAsia="Calibri" w:hAnsi="Calibri" w:cs="Arial"/>
        </w:rPr>
      </w:pPr>
      <w:r w:rsidRPr="00777130">
        <w:rPr>
          <w:rFonts w:ascii="Calibri" w:eastAsia="Calibri" w:hAnsi="Calibri" w:cs="Arial"/>
          <w:noProof/>
          <w:lang w:val="en-GB" w:eastAsia="en-GB"/>
        </w:rPr>
        <w:lastRenderedPageBreak/>
        <w:drawing>
          <wp:inline distT="0" distB="0" distL="0" distR="0" wp14:anchorId="37A4CA81" wp14:editId="47F98EC1">
            <wp:extent cx="5760720" cy="3338830"/>
            <wp:effectExtent l="0" t="0" r="0" b="0"/>
            <wp:docPr id="26" name="Picture 2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Diagram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7D9B1" w14:textId="77777777" w:rsidR="00777130" w:rsidRPr="00777130" w:rsidRDefault="00777130" w:rsidP="00777130">
      <w:pPr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de-DE"/>
        </w:rPr>
      </w:pPr>
      <w:r w:rsidRPr="00777130">
        <w:rPr>
          <w:rFonts w:ascii="Times New Roman" w:eastAsia="Times New Roman" w:hAnsi="Times New Roman" w:cs="Times New Roman"/>
          <w:b/>
          <w:i/>
          <w:lang w:eastAsia="de-DE"/>
        </w:rPr>
        <w:t>Extended Data</w:t>
      </w:r>
      <w:r w:rsidRPr="00777130">
        <w:rPr>
          <w:rFonts w:ascii="Times New Roman" w:eastAsia="Times New Roman" w:hAnsi="Times New Roman" w:cs="Times New Roman"/>
          <w:b/>
          <w:i/>
          <w:szCs w:val="24"/>
          <w:lang w:eastAsia="de-DE"/>
        </w:rPr>
        <w:t xml:space="preserve"> Figure 6.</w:t>
      </w:r>
      <w:r w:rsidRPr="00777130">
        <w:rPr>
          <w:rFonts w:ascii="Times New Roman" w:eastAsia="Times New Roman" w:hAnsi="Times New Roman" w:cs="Times New Roman"/>
          <w:szCs w:val="24"/>
          <w:lang w:eastAsia="de-DE"/>
        </w:rPr>
        <w:t xml:space="preserve"> Gating strategy for macrophages in macrophage depletion experiments (related to Fig. 6).</w:t>
      </w:r>
    </w:p>
    <w:p w14:paraId="4187373D" w14:textId="77777777" w:rsidR="00777130" w:rsidRPr="00777130" w:rsidRDefault="00777130" w:rsidP="00777130">
      <w:pPr>
        <w:rPr>
          <w:rFonts w:ascii="Calibri" w:eastAsia="Calibri" w:hAnsi="Calibri" w:cs="Arial"/>
        </w:rPr>
      </w:pPr>
    </w:p>
    <w:p w14:paraId="7B5EF420" w14:textId="77777777" w:rsidR="00777130" w:rsidRPr="00777130" w:rsidRDefault="00777130" w:rsidP="00777130">
      <w:pPr>
        <w:rPr>
          <w:rFonts w:ascii="Calibri" w:eastAsia="Calibri" w:hAnsi="Calibri" w:cs="Arial"/>
        </w:rPr>
      </w:pPr>
    </w:p>
    <w:p w14:paraId="04C86F15" w14:textId="77777777" w:rsidR="00777130" w:rsidRPr="00777130" w:rsidRDefault="00777130" w:rsidP="00777130">
      <w:pPr>
        <w:rPr>
          <w:rFonts w:ascii="Calibri" w:eastAsia="Calibri" w:hAnsi="Calibri" w:cs="Arial"/>
        </w:rPr>
      </w:pPr>
      <w:r w:rsidRPr="00777130">
        <w:rPr>
          <w:rFonts w:ascii="Calibri" w:eastAsia="Calibri" w:hAnsi="Calibri" w:cs="Arial"/>
        </w:rPr>
        <w:br w:type="page"/>
      </w:r>
    </w:p>
    <w:p w14:paraId="185A2B0F" w14:textId="77777777" w:rsidR="00777130" w:rsidRPr="00777130" w:rsidRDefault="00777130" w:rsidP="00777130">
      <w:pPr>
        <w:rPr>
          <w:rFonts w:ascii="Calibri" w:eastAsia="Calibri" w:hAnsi="Calibri" w:cs="Arial"/>
        </w:rPr>
      </w:pPr>
      <w:r w:rsidRPr="00777130">
        <w:rPr>
          <w:rFonts w:ascii="Calibri" w:eastAsia="Calibri" w:hAnsi="Calibri" w:cs="Arial"/>
          <w:noProof/>
          <w:lang w:val="en-GB" w:eastAsia="en-GB"/>
        </w:rPr>
        <w:lastRenderedPageBreak/>
        <w:drawing>
          <wp:inline distT="0" distB="0" distL="0" distR="0" wp14:anchorId="4BE65E6D" wp14:editId="5FC14D0B">
            <wp:extent cx="5760720" cy="2331085"/>
            <wp:effectExtent l="0" t="0" r="0" b="0"/>
            <wp:docPr id="25" name="Picture 25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Chart, bar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29B4A" w14:textId="77777777" w:rsidR="00777130" w:rsidRPr="00777130" w:rsidRDefault="00777130" w:rsidP="0077713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de-DE"/>
        </w:rPr>
      </w:pPr>
      <w:bookmarkStart w:id="0" w:name="_Hlk115217839"/>
      <w:r w:rsidRPr="00777130">
        <w:rPr>
          <w:rFonts w:ascii="Times New Roman" w:eastAsia="Times New Roman" w:hAnsi="Times New Roman" w:cs="Times New Roman"/>
          <w:b/>
          <w:i/>
          <w:lang w:eastAsia="de-DE"/>
        </w:rPr>
        <w:t>Extended Data Figure 7.</w:t>
      </w:r>
      <w:r w:rsidRPr="00777130">
        <w:rPr>
          <w:rFonts w:ascii="Times New Roman" w:eastAsia="Times New Roman" w:hAnsi="Times New Roman" w:cs="Times New Roman"/>
          <w:lang w:eastAsia="de-DE"/>
        </w:rPr>
        <w:t xml:space="preserve"> Pericytes are recruited to the transplanted islet early in the revascularization process. There is no difference between the degree of pericyte coverage (pericytes/vessels) in islets in the healthy pancreas (n=6) or islets that have engrafted in mouse muscle for 4 weeks (n=4). At 5 days post-transplantation, the number of pericytes over vessels exceed the amount 4 weeks later (n=6). *Indicates statistically significant differences (p&lt;0.05); One-Way ANOVA followed by Bonferroni’s post-hoc test. Data shown as average ± SEM.</w:t>
      </w:r>
    </w:p>
    <w:bookmarkEnd w:id="0"/>
    <w:p w14:paraId="6E7C529A" w14:textId="77777777" w:rsidR="00777130" w:rsidRPr="00777130" w:rsidRDefault="00777130" w:rsidP="00777130">
      <w:pPr>
        <w:rPr>
          <w:rFonts w:ascii="Calibri" w:eastAsia="Calibri" w:hAnsi="Calibri" w:cs="Arial"/>
          <w:noProof/>
          <w:lang w:eastAsia="sv-SE"/>
        </w:rPr>
      </w:pPr>
    </w:p>
    <w:p w14:paraId="13E19A1C" w14:textId="77777777" w:rsidR="00A800F7" w:rsidRDefault="00A800F7"/>
    <w:sectPr w:rsidR="00A80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30"/>
    <w:rsid w:val="00723F21"/>
    <w:rsid w:val="00777130"/>
    <w:rsid w:val="00A800F7"/>
    <w:rsid w:val="00B74107"/>
    <w:rsid w:val="00E5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2BB52F"/>
  <w15:chartTrackingRefBased/>
  <w15:docId w15:val="{F894A0D4-8706-4FF6-81D2-DC11747A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Silva Crespo Amoedo Leite</dc:creator>
  <cp:keywords/>
  <dc:description/>
  <cp:lastModifiedBy>Catarina Silva Crespo Amoedo Leite</cp:lastModifiedBy>
  <cp:revision>1</cp:revision>
  <dcterms:created xsi:type="dcterms:W3CDTF">2022-11-11T10:50:00Z</dcterms:created>
  <dcterms:modified xsi:type="dcterms:W3CDTF">2022-11-11T10:52:00Z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2c3646a5-c088-4d57-893d-00bf7087d89e</vt:lpwstr>
  </property>
</Properties>
</file>