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EBBBB" w14:textId="12BE82CD" w:rsidR="00047E86" w:rsidRPr="009D2A42" w:rsidRDefault="00047E86" w:rsidP="00A73C54">
      <w:pPr>
        <w:tabs>
          <w:tab w:val="left" w:pos="2325"/>
        </w:tabs>
        <w:spacing w:line="480" w:lineRule="auto"/>
        <w:rPr>
          <w:rFonts w:ascii="Times New Roman" w:hAnsi="Times New Roman" w:cs="Times New Roman"/>
          <w:b/>
          <w:bCs/>
          <w:sz w:val="20"/>
          <w:szCs w:val="20"/>
          <w:u w:val="single"/>
        </w:rPr>
      </w:pPr>
      <w:bookmarkStart w:id="0" w:name="_GoBack"/>
      <w:bookmarkEnd w:id="0"/>
      <w:r w:rsidRPr="009D2A42">
        <w:rPr>
          <w:rFonts w:ascii="Times New Roman" w:hAnsi="Times New Roman" w:cs="Times New Roman"/>
          <w:b/>
          <w:bCs/>
          <w:sz w:val="20"/>
          <w:szCs w:val="20"/>
          <w:u w:val="single"/>
        </w:rPr>
        <w:t>Supplementar</w:t>
      </w:r>
      <w:r w:rsidR="00F72E84" w:rsidRPr="009D2A42">
        <w:rPr>
          <w:rFonts w:ascii="Times New Roman" w:hAnsi="Times New Roman" w:cs="Times New Roman"/>
          <w:b/>
          <w:bCs/>
          <w:sz w:val="20"/>
          <w:szCs w:val="20"/>
          <w:u w:val="single"/>
        </w:rPr>
        <w:t>y Material</w:t>
      </w:r>
    </w:p>
    <w:p w14:paraId="52CAFC73" w14:textId="62738778" w:rsidR="00BD5022" w:rsidRPr="009D2A42" w:rsidRDefault="00BD5022" w:rsidP="00A73C54">
      <w:pPr>
        <w:pStyle w:val="LO-normal"/>
        <w:spacing w:after="0" w:line="480" w:lineRule="auto"/>
        <w:jc w:val="both"/>
        <w:rPr>
          <w:rFonts w:ascii="Times New Roman" w:eastAsia="Times New Roman" w:hAnsi="Times New Roman" w:cs="Times New Roman"/>
          <w:b/>
          <w:sz w:val="20"/>
          <w:szCs w:val="20"/>
        </w:rPr>
      </w:pPr>
      <w:r w:rsidRPr="009D2A42">
        <w:rPr>
          <w:rFonts w:ascii="Times New Roman" w:eastAsia="Times New Roman" w:hAnsi="Times New Roman" w:cs="Times New Roman"/>
          <w:b/>
          <w:sz w:val="20"/>
          <w:szCs w:val="20"/>
        </w:rPr>
        <w:t>Blinding and Randomisation</w:t>
      </w:r>
    </w:p>
    <w:p w14:paraId="26457410" w14:textId="66C26075" w:rsidR="00BD5022" w:rsidRPr="009D2A42" w:rsidRDefault="00BD5022" w:rsidP="00A73C54">
      <w:pPr>
        <w:pStyle w:val="LO-normal"/>
        <w:spacing w:after="0" w:line="480" w:lineRule="auto"/>
        <w:jc w:val="both"/>
        <w:rPr>
          <w:rFonts w:ascii="Times New Roman" w:eastAsia="Times New Roman" w:hAnsi="Times New Roman" w:cs="Times New Roman"/>
          <w:sz w:val="20"/>
          <w:szCs w:val="20"/>
        </w:rPr>
      </w:pPr>
      <w:r w:rsidRPr="009D2A42">
        <w:rPr>
          <w:rFonts w:ascii="Times New Roman" w:eastAsia="Times New Roman" w:hAnsi="Times New Roman" w:cs="Times New Roman"/>
          <w:sz w:val="20"/>
          <w:szCs w:val="20"/>
        </w:rPr>
        <w:t>A non-experimenter assigned, coded and matched each individual animal and treatment doses, using a spreadsheet randomiser. The experimenter was only aware of the assigned codes to animals/treatment doses, but not to treatment group and so was blinded to treatment during all surgical procedures, functional tests and analyses. Functional tests were undertaken by a single trained scorer and blinded to treatment allocation.</w:t>
      </w:r>
    </w:p>
    <w:p w14:paraId="50F1B5A9" w14:textId="3BFC9794" w:rsidR="00BD5022" w:rsidRPr="009D2A42" w:rsidRDefault="00BD5022" w:rsidP="00A73C54">
      <w:pPr>
        <w:pStyle w:val="LO-normal"/>
        <w:spacing w:after="0" w:line="480" w:lineRule="auto"/>
        <w:jc w:val="both"/>
        <w:rPr>
          <w:rFonts w:ascii="Times New Roman" w:eastAsia="Times New Roman" w:hAnsi="Times New Roman" w:cs="Times New Roman"/>
          <w:b/>
          <w:sz w:val="20"/>
          <w:szCs w:val="20"/>
        </w:rPr>
      </w:pPr>
    </w:p>
    <w:p w14:paraId="644FDEB5" w14:textId="3F3B8327" w:rsidR="00BD5022" w:rsidRPr="009D2A42" w:rsidRDefault="00BD5022" w:rsidP="00A73C54">
      <w:pPr>
        <w:pStyle w:val="LO-normal"/>
        <w:spacing w:after="0" w:line="480" w:lineRule="auto"/>
        <w:jc w:val="both"/>
        <w:rPr>
          <w:rFonts w:ascii="Times New Roman" w:eastAsia="Times New Roman" w:hAnsi="Times New Roman" w:cs="Times New Roman"/>
          <w:b/>
          <w:sz w:val="20"/>
          <w:szCs w:val="20"/>
        </w:rPr>
      </w:pPr>
      <w:r w:rsidRPr="009D2A42">
        <w:rPr>
          <w:rFonts w:ascii="Times New Roman" w:eastAsia="Times New Roman" w:hAnsi="Times New Roman" w:cs="Times New Roman"/>
          <w:b/>
          <w:sz w:val="20"/>
          <w:szCs w:val="20"/>
        </w:rPr>
        <w:t xml:space="preserve">Exclusions </w:t>
      </w:r>
    </w:p>
    <w:p w14:paraId="0C20F019" w14:textId="2E53BAC1" w:rsidR="006D248F" w:rsidRPr="009D2A42" w:rsidRDefault="00BD5022" w:rsidP="006D248F">
      <w:pPr>
        <w:pStyle w:val="LO-normal"/>
        <w:spacing w:after="0" w:line="480" w:lineRule="auto"/>
        <w:jc w:val="both"/>
        <w:rPr>
          <w:rFonts w:ascii="Times New Roman" w:eastAsia="Times New Roman" w:hAnsi="Times New Roman" w:cs="Times New Roman"/>
          <w:sz w:val="20"/>
          <w:szCs w:val="20"/>
        </w:rPr>
      </w:pPr>
      <w:r w:rsidRPr="009D2A42">
        <w:rPr>
          <w:rFonts w:ascii="Times New Roman" w:eastAsia="Times New Roman" w:hAnsi="Times New Roman" w:cs="Times New Roman"/>
          <w:color w:val="000000"/>
          <w:sz w:val="20"/>
          <w:szCs w:val="20"/>
        </w:rPr>
        <w:t xml:space="preserve">There were only exclusions in the 14 day experimental cohort. One </w:t>
      </w:r>
      <w:r w:rsidRPr="009D2A42">
        <w:rPr>
          <w:rFonts w:ascii="Times New Roman" w:eastAsia="Times New Roman" w:hAnsi="Times New Roman" w:cs="Times New Roman"/>
          <w:sz w:val="20"/>
          <w:szCs w:val="20"/>
        </w:rPr>
        <w:t>IL-1</w:t>
      </w:r>
      <w:r w:rsidR="00BE3587" w:rsidRPr="009D2A42">
        <w:rPr>
          <w:rFonts w:ascii="Times New Roman" w:eastAsia="Symbol" w:hAnsi="Times New Roman" w:cs="Times New Roman"/>
          <w:sz w:val="20"/>
          <w:szCs w:val="20"/>
        </w:rPr>
        <w:sym w:font="Symbol" w:char="F061"/>
      </w:r>
      <w:r w:rsidRPr="009D2A42">
        <w:rPr>
          <w:rFonts w:ascii="Times New Roman" w:eastAsia="Times New Roman" w:hAnsi="Times New Roman" w:cs="Times New Roman"/>
          <w:sz w:val="20"/>
          <w:szCs w:val="20"/>
        </w:rPr>
        <w:t xml:space="preserve"> conditioned MSCs-treated</w:t>
      </w:r>
      <w:r w:rsidRPr="009D2A42">
        <w:rPr>
          <w:rFonts w:ascii="Times New Roman" w:eastAsia="Times New Roman" w:hAnsi="Times New Roman" w:cs="Times New Roman"/>
          <w:color w:val="000000"/>
          <w:sz w:val="20"/>
          <w:szCs w:val="20"/>
        </w:rPr>
        <w:t xml:space="preserve"> animal </w:t>
      </w:r>
      <w:r w:rsidR="006D248F" w:rsidRPr="009D2A42">
        <w:rPr>
          <w:rFonts w:ascii="Times New Roman" w:eastAsia="Times New Roman" w:hAnsi="Times New Roman" w:cs="Times New Roman"/>
          <w:color w:val="000000"/>
          <w:sz w:val="20"/>
          <w:szCs w:val="20"/>
        </w:rPr>
        <w:t>was excluded from all analyse</w:t>
      </w:r>
      <w:r w:rsidRPr="009D2A42">
        <w:rPr>
          <w:rFonts w:ascii="Times New Roman" w:eastAsia="Times New Roman" w:hAnsi="Times New Roman" w:cs="Times New Roman"/>
          <w:color w:val="000000"/>
          <w:sz w:val="20"/>
          <w:szCs w:val="20"/>
        </w:rPr>
        <w:t>s</w:t>
      </w:r>
      <w:r w:rsidR="006D248F" w:rsidRPr="009D2A42">
        <w:rPr>
          <w:rFonts w:ascii="Times New Roman" w:eastAsia="Times New Roman" w:hAnsi="Times New Roman" w:cs="Times New Roman"/>
          <w:color w:val="000000"/>
          <w:sz w:val="20"/>
          <w:szCs w:val="20"/>
        </w:rPr>
        <w:t xml:space="preserve"> (weight, neurological deficit, cylinder, nest and burrowing)</w:t>
      </w:r>
      <w:r w:rsidRPr="009D2A42">
        <w:rPr>
          <w:rFonts w:ascii="Times New Roman" w:eastAsia="Times New Roman" w:hAnsi="Times New Roman" w:cs="Times New Roman"/>
          <w:color w:val="000000"/>
          <w:sz w:val="20"/>
          <w:szCs w:val="20"/>
        </w:rPr>
        <w:t xml:space="preserve"> in the preconditioned MSC group, due to inadequate occlusion </w:t>
      </w:r>
      <w:r w:rsidR="007B68D4" w:rsidRPr="009D2A42">
        <w:rPr>
          <w:rFonts w:ascii="Times New Roman" w:eastAsia="Times New Roman" w:hAnsi="Times New Roman" w:cs="Times New Roman"/>
          <w:color w:val="000000"/>
          <w:sz w:val="20"/>
          <w:szCs w:val="20"/>
        </w:rPr>
        <w:t>and a failure to achieve a</w:t>
      </w:r>
      <w:r w:rsidRPr="009D2A42">
        <w:rPr>
          <w:rFonts w:ascii="Times New Roman" w:eastAsia="Times New Roman" w:hAnsi="Times New Roman" w:cs="Times New Roman"/>
          <w:color w:val="000000"/>
          <w:sz w:val="20"/>
          <w:szCs w:val="20"/>
        </w:rPr>
        <w:t xml:space="preserve"> 50% drop </w:t>
      </w:r>
      <w:r w:rsidR="007B68D4" w:rsidRPr="009D2A42">
        <w:rPr>
          <w:rFonts w:ascii="Times New Roman" w:eastAsia="Times New Roman" w:hAnsi="Times New Roman" w:cs="Times New Roman"/>
          <w:color w:val="000000"/>
          <w:sz w:val="20"/>
          <w:szCs w:val="20"/>
        </w:rPr>
        <w:t xml:space="preserve">in cerebral blood flow </w:t>
      </w:r>
      <w:r w:rsidRPr="009D2A42">
        <w:rPr>
          <w:rFonts w:ascii="Times New Roman" w:eastAsia="Times New Roman" w:hAnsi="Times New Roman" w:cs="Times New Roman"/>
          <w:color w:val="000000"/>
          <w:sz w:val="20"/>
          <w:szCs w:val="20"/>
        </w:rPr>
        <w:t xml:space="preserve">from baseline (inclusion criteria </w:t>
      </w:r>
      <w:r w:rsidR="007B68D4" w:rsidRPr="009D2A42">
        <w:rPr>
          <w:rFonts w:ascii="Times New Roman" w:eastAsia="Times New Roman" w:hAnsi="Times New Roman" w:cs="Times New Roman"/>
          <w:color w:val="000000"/>
          <w:sz w:val="20"/>
          <w:szCs w:val="20"/>
        </w:rPr>
        <w:t xml:space="preserve">was pre-set </w:t>
      </w:r>
      <w:r w:rsidRPr="009D2A42">
        <w:rPr>
          <w:rFonts w:ascii="Times New Roman" w:eastAsia="Times New Roman" w:hAnsi="Times New Roman" w:cs="Times New Roman"/>
          <w:color w:val="000000"/>
          <w:sz w:val="20"/>
          <w:szCs w:val="20"/>
        </w:rPr>
        <w:t>at least 70% drop from baseline) and showed no lesion on MRI scan.</w:t>
      </w:r>
      <w:r w:rsidR="006D248F" w:rsidRPr="009D2A42">
        <w:rPr>
          <w:rFonts w:ascii="Times New Roman" w:eastAsia="Times New Roman" w:hAnsi="Times New Roman" w:cs="Times New Roman"/>
          <w:color w:val="000000"/>
          <w:sz w:val="20"/>
          <w:szCs w:val="20"/>
        </w:rPr>
        <w:t xml:space="preserve"> Additional animals were excluded from cylinder test </w:t>
      </w:r>
      <w:r w:rsidR="006D248F" w:rsidRPr="009D2A42">
        <w:rPr>
          <w:rFonts w:ascii="Times New Roman" w:eastAsia="Times New Roman" w:hAnsi="Times New Roman" w:cs="Times New Roman"/>
          <w:sz w:val="20"/>
          <w:szCs w:val="20"/>
        </w:rPr>
        <w:t>(2 animals treated with vehicle) and burrowing (3 animals treated with vehicle)</w:t>
      </w:r>
      <w:r w:rsidR="007B68D4" w:rsidRPr="009D2A42">
        <w:rPr>
          <w:rFonts w:ascii="Times New Roman" w:eastAsia="Times New Roman" w:hAnsi="Times New Roman" w:cs="Times New Roman"/>
          <w:sz w:val="20"/>
          <w:szCs w:val="20"/>
        </w:rPr>
        <w:t xml:space="preserve"> </w:t>
      </w:r>
      <w:r w:rsidR="006D248F" w:rsidRPr="009D2A42">
        <w:rPr>
          <w:rFonts w:ascii="Times New Roman" w:eastAsia="Times New Roman" w:hAnsi="Times New Roman" w:cs="Times New Roman"/>
          <w:sz w:val="20"/>
          <w:szCs w:val="20"/>
        </w:rPr>
        <w:t xml:space="preserve">due to exclusion </w:t>
      </w:r>
      <w:r w:rsidR="002D2D30" w:rsidRPr="009D2A42">
        <w:rPr>
          <w:rFonts w:ascii="Times New Roman" w:eastAsia="Times New Roman" w:hAnsi="Times New Roman" w:cs="Times New Roman"/>
          <w:sz w:val="20"/>
          <w:szCs w:val="20"/>
        </w:rPr>
        <w:t xml:space="preserve">based on the </w:t>
      </w:r>
      <w:r w:rsidR="006D248F" w:rsidRPr="009D2A42">
        <w:rPr>
          <w:rFonts w:ascii="Times New Roman" w:eastAsia="Times New Roman" w:hAnsi="Times New Roman" w:cs="Times New Roman"/>
          <w:sz w:val="20"/>
          <w:szCs w:val="20"/>
        </w:rPr>
        <w:t>criteria</w:t>
      </w:r>
      <w:r w:rsidR="002D2D30" w:rsidRPr="009D2A42">
        <w:rPr>
          <w:rFonts w:ascii="Times New Roman" w:eastAsia="Times New Roman" w:hAnsi="Times New Roman" w:cs="Times New Roman"/>
          <w:sz w:val="20"/>
          <w:szCs w:val="20"/>
        </w:rPr>
        <w:t xml:space="preserve"> described below in the respective tests.</w:t>
      </w:r>
    </w:p>
    <w:p w14:paraId="5AB06416" w14:textId="77777777" w:rsidR="00BD5022" w:rsidRPr="009D2A42" w:rsidRDefault="00BD5022" w:rsidP="00A73C54">
      <w:pPr>
        <w:pStyle w:val="LO-normal"/>
        <w:spacing w:after="0" w:line="480" w:lineRule="auto"/>
        <w:jc w:val="both"/>
        <w:rPr>
          <w:rFonts w:ascii="Times New Roman" w:eastAsia="Times New Roman" w:hAnsi="Times New Roman" w:cs="Times New Roman"/>
          <w:b/>
          <w:sz w:val="20"/>
          <w:szCs w:val="20"/>
        </w:rPr>
      </w:pPr>
    </w:p>
    <w:p w14:paraId="61C5054C" w14:textId="5501B60D" w:rsidR="00F72E84" w:rsidRPr="009D2A42" w:rsidRDefault="00F72E84" w:rsidP="00A73C54">
      <w:pPr>
        <w:pStyle w:val="LO-normal"/>
        <w:spacing w:after="0" w:line="480" w:lineRule="auto"/>
        <w:jc w:val="both"/>
        <w:rPr>
          <w:rFonts w:ascii="Times New Roman" w:eastAsia="Times New Roman" w:hAnsi="Times New Roman" w:cs="Times New Roman"/>
          <w:b/>
          <w:sz w:val="20"/>
          <w:szCs w:val="20"/>
        </w:rPr>
      </w:pPr>
      <w:r w:rsidRPr="009D2A42">
        <w:rPr>
          <w:rFonts w:ascii="Times New Roman" w:eastAsia="Times New Roman" w:hAnsi="Times New Roman" w:cs="Times New Roman"/>
          <w:b/>
          <w:sz w:val="20"/>
          <w:szCs w:val="20"/>
        </w:rPr>
        <w:t xml:space="preserve">Weight </w:t>
      </w:r>
      <w:r w:rsidR="00BD5022" w:rsidRPr="009D2A42">
        <w:rPr>
          <w:rFonts w:ascii="Times New Roman" w:eastAsia="Times New Roman" w:hAnsi="Times New Roman" w:cs="Times New Roman"/>
          <w:b/>
          <w:sz w:val="20"/>
          <w:szCs w:val="20"/>
        </w:rPr>
        <w:t>recovery</w:t>
      </w:r>
    </w:p>
    <w:p w14:paraId="5E6917E3" w14:textId="0A3B1069" w:rsidR="00F72E84" w:rsidRPr="009D2A42" w:rsidRDefault="00F72E84" w:rsidP="00A73C54">
      <w:pPr>
        <w:pStyle w:val="LO-normal"/>
        <w:spacing w:after="0" w:line="480" w:lineRule="auto"/>
        <w:jc w:val="both"/>
        <w:rPr>
          <w:rFonts w:ascii="Times New Roman" w:eastAsia="Times New Roman" w:hAnsi="Times New Roman" w:cs="Times New Roman"/>
          <w:sz w:val="20"/>
          <w:szCs w:val="20"/>
        </w:rPr>
      </w:pPr>
      <w:r w:rsidRPr="009D2A42">
        <w:rPr>
          <w:rFonts w:ascii="Times New Roman" w:eastAsia="Times New Roman" w:hAnsi="Times New Roman" w:cs="Times New Roman"/>
          <w:sz w:val="20"/>
          <w:szCs w:val="20"/>
          <w:highlight w:val="white"/>
        </w:rPr>
        <w:t xml:space="preserve">Animals were weighed every day, for 7 days, and at day 14 post-stroke, as an indication of their general well-being. Body </w:t>
      </w:r>
      <w:r w:rsidR="009C0063" w:rsidRPr="009D2A42">
        <w:rPr>
          <w:rFonts w:ascii="Times New Roman" w:eastAsia="Times New Roman" w:hAnsi="Times New Roman" w:cs="Times New Roman"/>
          <w:sz w:val="20"/>
          <w:szCs w:val="20"/>
          <w:highlight w:val="white"/>
        </w:rPr>
        <w:t>weight is</w:t>
      </w:r>
      <w:r w:rsidRPr="009D2A42">
        <w:rPr>
          <w:rFonts w:ascii="Times New Roman" w:eastAsia="Times New Roman" w:hAnsi="Times New Roman" w:cs="Times New Roman"/>
          <w:sz w:val="20"/>
          <w:szCs w:val="20"/>
          <w:highlight w:val="white"/>
        </w:rPr>
        <w:t xml:space="preserve"> presented as a percent</w:t>
      </w:r>
      <w:r w:rsidR="00784C02" w:rsidRPr="009D2A42">
        <w:rPr>
          <w:rFonts w:ascii="Times New Roman" w:eastAsia="Times New Roman" w:hAnsi="Times New Roman" w:cs="Times New Roman"/>
          <w:sz w:val="20"/>
          <w:szCs w:val="20"/>
          <w:highlight w:val="white"/>
        </w:rPr>
        <w:t>age</w:t>
      </w:r>
      <w:r w:rsidRPr="009D2A42">
        <w:rPr>
          <w:rFonts w:ascii="Times New Roman" w:eastAsia="Times New Roman" w:hAnsi="Times New Roman" w:cs="Times New Roman"/>
          <w:sz w:val="20"/>
          <w:szCs w:val="20"/>
          <w:highlight w:val="white"/>
        </w:rPr>
        <w:t xml:space="preserve"> change compared </w:t>
      </w:r>
      <w:r w:rsidR="00211425" w:rsidRPr="009D2A42">
        <w:rPr>
          <w:rFonts w:ascii="Times New Roman" w:eastAsia="Times New Roman" w:hAnsi="Times New Roman" w:cs="Times New Roman"/>
          <w:sz w:val="20"/>
          <w:szCs w:val="20"/>
          <w:highlight w:val="white"/>
        </w:rPr>
        <w:t>to</w:t>
      </w:r>
      <w:r w:rsidRPr="009D2A42">
        <w:rPr>
          <w:rFonts w:ascii="Times New Roman" w:eastAsia="Times New Roman" w:hAnsi="Times New Roman" w:cs="Times New Roman"/>
          <w:sz w:val="20"/>
          <w:szCs w:val="20"/>
          <w:highlight w:val="white"/>
        </w:rPr>
        <w:t xml:space="preserve"> </w:t>
      </w:r>
      <w:r w:rsidR="009C0063" w:rsidRPr="009D2A42">
        <w:rPr>
          <w:rFonts w:ascii="Times New Roman" w:eastAsia="Times New Roman" w:hAnsi="Times New Roman" w:cs="Times New Roman"/>
          <w:sz w:val="20"/>
          <w:szCs w:val="20"/>
          <w:highlight w:val="white"/>
        </w:rPr>
        <w:t xml:space="preserve">initial </w:t>
      </w:r>
      <w:r w:rsidRPr="009D2A42">
        <w:rPr>
          <w:rFonts w:ascii="Times New Roman" w:eastAsia="Times New Roman" w:hAnsi="Times New Roman" w:cs="Times New Roman"/>
          <w:sz w:val="20"/>
          <w:szCs w:val="20"/>
          <w:highlight w:val="white"/>
        </w:rPr>
        <w:t xml:space="preserve">body </w:t>
      </w:r>
      <w:r w:rsidR="009C0063" w:rsidRPr="009D2A42">
        <w:rPr>
          <w:rFonts w:ascii="Times New Roman" w:eastAsia="Times New Roman" w:hAnsi="Times New Roman" w:cs="Times New Roman"/>
          <w:sz w:val="20"/>
          <w:szCs w:val="20"/>
          <w:highlight w:val="white"/>
        </w:rPr>
        <w:t xml:space="preserve">weight </w:t>
      </w:r>
      <w:r w:rsidRPr="009D2A42">
        <w:rPr>
          <w:rFonts w:ascii="Times New Roman" w:eastAsia="Times New Roman" w:hAnsi="Times New Roman" w:cs="Times New Roman"/>
          <w:sz w:val="20"/>
          <w:szCs w:val="20"/>
          <w:highlight w:val="white"/>
        </w:rPr>
        <w:t xml:space="preserve">on the day of surgery. </w:t>
      </w:r>
    </w:p>
    <w:p w14:paraId="00C65329" w14:textId="77777777" w:rsidR="00F72E84" w:rsidRPr="009D2A42" w:rsidRDefault="00F72E84" w:rsidP="00A73C54">
      <w:pPr>
        <w:pStyle w:val="LO-normal"/>
        <w:spacing w:after="0" w:line="480" w:lineRule="auto"/>
        <w:jc w:val="both"/>
        <w:rPr>
          <w:rFonts w:ascii="Times New Roman" w:eastAsia="Times New Roman" w:hAnsi="Times New Roman" w:cs="Times New Roman"/>
          <w:sz w:val="20"/>
          <w:szCs w:val="20"/>
        </w:rPr>
      </w:pPr>
    </w:p>
    <w:p w14:paraId="5370EA64" w14:textId="77777777" w:rsidR="00F72E84" w:rsidRPr="009D2A42" w:rsidRDefault="00F72E84" w:rsidP="00A73C54">
      <w:pPr>
        <w:pStyle w:val="LO-normal"/>
        <w:spacing w:after="0" w:line="480" w:lineRule="auto"/>
        <w:jc w:val="both"/>
        <w:rPr>
          <w:rFonts w:ascii="Times New Roman" w:eastAsia="Times New Roman" w:hAnsi="Times New Roman" w:cs="Times New Roman"/>
          <w:b/>
          <w:sz w:val="20"/>
          <w:szCs w:val="20"/>
        </w:rPr>
      </w:pPr>
      <w:r w:rsidRPr="009D2A42">
        <w:rPr>
          <w:rFonts w:ascii="Times New Roman" w:eastAsia="Times New Roman" w:hAnsi="Times New Roman" w:cs="Times New Roman"/>
          <w:b/>
          <w:sz w:val="20"/>
          <w:szCs w:val="20"/>
        </w:rPr>
        <w:t xml:space="preserve">Neurological deficit scoring </w:t>
      </w:r>
    </w:p>
    <w:p w14:paraId="0BF36B8C" w14:textId="2511EEEC" w:rsidR="00F72E84" w:rsidRPr="009D2A42" w:rsidRDefault="00F72E84">
      <w:pPr>
        <w:pStyle w:val="LO-normal"/>
        <w:spacing w:after="0" w:line="480" w:lineRule="auto"/>
        <w:jc w:val="both"/>
        <w:rPr>
          <w:rFonts w:ascii="Times New Roman" w:eastAsia="Times New Roman" w:hAnsi="Times New Roman" w:cs="Times New Roman"/>
          <w:sz w:val="20"/>
          <w:szCs w:val="20"/>
        </w:rPr>
      </w:pPr>
      <w:r w:rsidRPr="009D2A42">
        <w:rPr>
          <w:rFonts w:ascii="Times New Roman" w:eastAsia="Times New Roman" w:hAnsi="Times New Roman" w:cs="Times New Roman"/>
          <w:sz w:val="20"/>
          <w:szCs w:val="20"/>
          <w:highlight w:val="white"/>
        </w:rPr>
        <w:t xml:space="preserve">Mice were neurologically scored for focal deficits with the use of a 28-point neurological scoring system based from </w:t>
      </w:r>
      <w:r w:rsidRPr="009D2A42">
        <w:rPr>
          <w:rFonts w:ascii="Times New Roman" w:eastAsia="Times New Roman" w:hAnsi="Times New Roman" w:cs="Times New Roman"/>
          <w:sz w:val="20"/>
          <w:szCs w:val="20"/>
        </w:rPr>
        <w:t xml:space="preserve">Clark </w:t>
      </w:r>
      <w:r w:rsidRPr="009D2A42">
        <w:rPr>
          <w:rFonts w:ascii="Times New Roman" w:eastAsia="Times New Roman" w:hAnsi="Times New Roman" w:cs="Times New Roman"/>
          <w:i/>
          <w:sz w:val="20"/>
          <w:szCs w:val="20"/>
        </w:rPr>
        <w:t>et al.</w:t>
      </w:r>
      <w:r w:rsidRPr="009D2A42">
        <w:rPr>
          <w:rFonts w:ascii="Times New Roman" w:eastAsia="Times New Roman" w:hAnsi="Times New Roman" w:cs="Times New Roman"/>
          <w:sz w:val="20"/>
          <w:szCs w:val="20"/>
        </w:rPr>
        <w:t>1998</w:t>
      </w:r>
      <w:r w:rsidR="00144D6D" w:rsidRPr="009D2A42">
        <w:rPr>
          <w:rFonts w:ascii="Times New Roman" w:eastAsia="Times New Roman" w:hAnsi="Times New Roman" w:cs="Times New Roman"/>
          <w:sz w:val="20"/>
          <w:szCs w:val="20"/>
        </w:rPr>
        <w:fldChar w:fldCharType="begin"/>
      </w:r>
      <w:r w:rsidR="00144D6D" w:rsidRPr="009D2A42">
        <w:rPr>
          <w:rFonts w:ascii="Times New Roman" w:eastAsia="Times New Roman" w:hAnsi="Times New Roman" w:cs="Times New Roman"/>
          <w:sz w:val="20"/>
          <w:szCs w:val="20"/>
        </w:rPr>
        <w:instrText xml:space="preserve"> ADDIN EN.CITE &lt;EndNote&gt;&lt;Cite&gt;&lt;Author&gt;Clark&lt;/Author&gt;&lt;Year&gt;1998&lt;/Year&gt;&lt;RecNum&gt;252&lt;/RecNum&gt;&lt;DisplayText&gt;&lt;style face="superscript"&gt;1&lt;/style&gt;&lt;/DisplayText&gt;&lt;record&gt;&lt;rec-number&gt;252&lt;/rec-number&gt;&lt;foreign-keys&gt;&lt;key app="EN" db-id="xevxefzvhpzs9ue0fr45aea3tta0rxftvd2d" timestamp="1574876766" guid="775e4570-18a0-4784-8b15-0c5991eee1fa"&gt;252&lt;/key&gt;&lt;/foreign-keys&gt;&lt;ref-type name="Journal Article"&gt;17&lt;/ref-type&gt;&lt;contributors&gt;&lt;authors&gt;&lt;author&gt;Clark, W.&lt;/author&gt;&lt;author&gt;Gunion-Rinker, L.&lt;/author&gt;&lt;author&gt;Lessov, N.&lt;/author&gt;&lt;author&gt;Hazel, K.&lt;/author&gt;&lt;/authors&gt;&lt;/contributors&gt;&lt;auth-address&gt;Oregon Stroke Center, Oregon Health Sciences University, Portland, Oregon 97201 clarkw@ohsu.edu&lt;/auth-address&gt;&lt;titles&gt;&lt;title&gt;Citicoline treatment for experimental intracerebral hemorrhage in mice&lt;/title&gt;&lt;secondary-title&gt;Stroke&lt;/secondary-title&gt;&lt;alt-title&gt;Stroke&lt;/alt-title&gt;&lt;/titles&gt;&lt;periodical&gt;&lt;full-title&gt;Stroke&lt;/full-title&gt;&lt;abbr-1&gt;Stroke&lt;/abbr-1&gt;&lt;/periodical&gt;&lt;alt-periodical&gt;&lt;full-title&gt;Stroke&lt;/full-title&gt;&lt;abbr-1&gt;Stroke&lt;/abbr-1&gt;&lt;/alt-periodical&gt;&lt;pages&gt;2136-40&lt;/pages&gt;&lt;volume&gt;29&lt;/volume&gt;&lt;number&gt;10&lt;/number&gt;&lt;edition&gt;1998/10/02&lt;/edition&gt;&lt;keywords&gt;&lt;keyword&gt;Animals&lt;/keyword&gt;&lt;keyword&gt;Brain/pathology&lt;/keyword&gt;&lt;keyword&gt;Cerebral Hemorrhage/*drug therapy/pathology/physiopathology&lt;/keyword&gt;&lt;keyword&gt;Cytidine Diphosphate Choline/*therapeutic use&lt;/keyword&gt;&lt;keyword&gt;Hematoma/drug therapy/pathology&lt;/keyword&gt;&lt;keyword&gt;Male&lt;/keyword&gt;&lt;keyword&gt;Mice&lt;/keyword&gt;&lt;keyword&gt;Nervous System/drug effects/physiopathology&lt;/keyword&gt;&lt;keyword&gt;Nootropic Agents/*therapeutic use&lt;/keyword&gt;&lt;keyword&gt;Treatment Outcome&lt;/keyword&gt;&lt;/keywords&gt;&lt;dates&gt;&lt;year&gt;1998&lt;/year&gt;&lt;pub-dates&gt;&lt;date&gt;Oct&lt;/date&gt;&lt;/pub-dates&gt;&lt;/dates&gt;&lt;isbn&gt;0039-2499 (Print)&amp;#xD;0039-2499&lt;/isbn&gt;&lt;accession-num&gt;9756595&lt;/accession-num&gt;&lt;urls&gt;&lt;/urls&gt;&lt;electronic-resource-num&gt;10.1161/01.str.29.10.2136&lt;/electronic-resource-num&gt;&lt;remote-database-provider&gt;NLM&lt;/remote-database-provider&gt;&lt;language&gt;eng&lt;/language&gt;&lt;/record&gt;&lt;/Cite&gt;&lt;/EndNote&gt;</w:instrText>
      </w:r>
      <w:r w:rsidR="00144D6D" w:rsidRPr="009D2A42">
        <w:rPr>
          <w:rFonts w:ascii="Times New Roman" w:eastAsia="Times New Roman" w:hAnsi="Times New Roman" w:cs="Times New Roman"/>
          <w:sz w:val="20"/>
          <w:szCs w:val="20"/>
        </w:rPr>
        <w:fldChar w:fldCharType="separate"/>
      </w:r>
      <w:r w:rsidR="00144D6D" w:rsidRPr="009D2A42">
        <w:rPr>
          <w:rFonts w:ascii="Times New Roman" w:eastAsia="Times New Roman" w:hAnsi="Times New Roman" w:cs="Times New Roman"/>
          <w:noProof/>
          <w:sz w:val="20"/>
          <w:szCs w:val="20"/>
          <w:vertAlign w:val="superscript"/>
        </w:rPr>
        <w:t>1</w:t>
      </w:r>
      <w:r w:rsidR="00144D6D" w:rsidRPr="009D2A42">
        <w:rPr>
          <w:rFonts w:ascii="Times New Roman" w:eastAsia="Times New Roman" w:hAnsi="Times New Roman" w:cs="Times New Roman"/>
          <w:sz w:val="20"/>
          <w:szCs w:val="20"/>
        </w:rPr>
        <w:fldChar w:fldCharType="end"/>
      </w:r>
      <w:r w:rsidRPr="009D2A42">
        <w:rPr>
          <w:rFonts w:ascii="Times New Roman" w:eastAsia="Times New Roman" w:hAnsi="Times New Roman" w:cs="Times New Roman"/>
          <w:sz w:val="20"/>
          <w:szCs w:val="20"/>
          <w:highlight w:val="white"/>
        </w:rPr>
        <w:t xml:space="preserve">. </w:t>
      </w:r>
    </w:p>
    <w:p w14:paraId="0E099C8C" w14:textId="77777777" w:rsidR="00FC463B" w:rsidRDefault="00FC463B" w:rsidP="00A73C54">
      <w:pPr>
        <w:pStyle w:val="LO-normal"/>
        <w:spacing w:after="0" w:line="480" w:lineRule="auto"/>
        <w:jc w:val="both"/>
        <w:rPr>
          <w:rFonts w:ascii="Times New Roman" w:eastAsia="Times New Roman" w:hAnsi="Times New Roman" w:cs="Times New Roman"/>
          <w:b/>
          <w:sz w:val="20"/>
          <w:szCs w:val="20"/>
        </w:rPr>
      </w:pPr>
    </w:p>
    <w:p w14:paraId="147183E6" w14:textId="53DE30F9" w:rsidR="00F72E84" w:rsidRPr="009D2A42" w:rsidRDefault="00F72E84" w:rsidP="00A73C54">
      <w:pPr>
        <w:pStyle w:val="LO-normal"/>
        <w:spacing w:after="0" w:line="480" w:lineRule="auto"/>
        <w:jc w:val="both"/>
        <w:rPr>
          <w:rFonts w:ascii="Times New Roman" w:eastAsia="Times New Roman" w:hAnsi="Times New Roman" w:cs="Times New Roman"/>
          <w:b/>
          <w:sz w:val="20"/>
          <w:szCs w:val="20"/>
        </w:rPr>
      </w:pPr>
      <w:r w:rsidRPr="009D2A42">
        <w:rPr>
          <w:rFonts w:ascii="Times New Roman" w:eastAsia="Times New Roman" w:hAnsi="Times New Roman" w:cs="Times New Roman"/>
          <w:b/>
          <w:sz w:val="20"/>
          <w:szCs w:val="20"/>
        </w:rPr>
        <w:t xml:space="preserve">Cylinder test </w:t>
      </w:r>
    </w:p>
    <w:p w14:paraId="70F0D269" w14:textId="3DB2040A" w:rsidR="00F72E84" w:rsidRPr="009D2A42" w:rsidRDefault="00F72E84" w:rsidP="00A73C54">
      <w:pPr>
        <w:pStyle w:val="LO-normal"/>
        <w:spacing w:after="0" w:line="480" w:lineRule="auto"/>
        <w:jc w:val="both"/>
        <w:rPr>
          <w:rFonts w:ascii="Times New Roman" w:eastAsia="Times New Roman" w:hAnsi="Times New Roman" w:cs="Times New Roman"/>
          <w:sz w:val="20"/>
          <w:szCs w:val="20"/>
        </w:rPr>
      </w:pPr>
      <w:r w:rsidRPr="009D2A42">
        <w:rPr>
          <w:rFonts w:ascii="Times New Roman" w:eastAsia="Times New Roman" w:hAnsi="Times New Roman" w:cs="Times New Roman"/>
          <w:sz w:val="20"/>
          <w:szCs w:val="20"/>
        </w:rPr>
        <w:t xml:space="preserve">The cylinder test was used to assess forelimb and rotational asymmetry and set up as described in </w:t>
      </w:r>
      <w:proofErr w:type="spellStart"/>
      <w:r w:rsidRPr="009D2A42">
        <w:rPr>
          <w:rFonts w:ascii="Times New Roman" w:eastAsia="Times New Roman" w:hAnsi="Times New Roman" w:cs="Times New Roman"/>
          <w:sz w:val="20"/>
          <w:szCs w:val="20"/>
        </w:rPr>
        <w:t>Roome</w:t>
      </w:r>
      <w:proofErr w:type="spellEnd"/>
      <w:r w:rsidRPr="009D2A42">
        <w:rPr>
          <w:rFonts w:ascii="Times New Roman" w:eastAsia="Times New Roman" w:hAnsi="Times New Roman" w:cs="Times New Roman"/>
          <w:sz w:val="20"/>
          <w:szCs w:val="20"/>
        </w:rPr>
        <w:t xml:space="preserve"> </w:t>
      </w:r>
      <w:r w:rsidRPr="009D2A42">
        <w:rPr>
          <w:rFonts w:ascii="Times New Roman" w:eastAsia="Times New Roman" w:hAnsi="Times New Roman" w:cs="Times New Roman"/>
          <w:i/>
          <w:sz w:val="20"/>
          <w:szCs w:val="20"/>
        </w:rPr>
        <w:t>et al</w:t>
      </w:r>
      <w:r w:rsidRPr="009D2A42">
        <w:rPr>
          <w:rFonts w:ascii="Times New Roman" w:eastAsia="Times New Roman" w:hAnsi="Times New Roman" w:cs="Times New Roman"/>
          <w:sz w:val="20"/>
          <w:szCs w:val="20"/>
        </w:rPr>
        <w:t xml:space="preserve"> 2015</w:t>
      </w:r>
      <w:r w:rsidR="00144D6D" w:rsidRPr="009D2A42">
        <w:rPr>
          <w:rFonts w:ascii="Times New Roman" w:eastAsia="Times New Roman" w:hAnsi="Times New Roman" w:cs="Times New Roman"/>
          <w:sz w:val="20"/>
          <w:szCs w:val="20"/>
        </w:rPr>
        <w:fldChar w:fldCharType="begin">
          <w:fldData xml:space="preserve">PEVuZE5vdGU+PENpdGU+PEF1dGhvcj5Sb29tZTwvQXV0aG9yPjxZZWFyPjIwMTU8L1llYXI+PFJl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==
</w:fldData>
        </w:fldChar>
      </w:r>
      <w:r w:rsidR="00144D6D" w:rsidRPr="009D2A42">
        <w:rPr>
          <w:rFonts w:ascii="Times New Roman" w:eastAsia="Times New Roman" w:hAnsi="Times New Roman" w:cs="Times New Roman"/>
          <w:sz w:val="20"/>
          <w:szCs w:val="20"/>
        </w:rPr>
        <w:instrText xml:space="preserve"> ADDIN EN.CITE </w:instrText>
      </w:r>
      <w:r w:rsidR="00144D6D" w:rsidRPr="009D2A42">
        <w:rPr>
          <w:rFonts w:ascii="Times New Roman" w:eastAsia="Times New Roman" w:hAnsi="Times New Roman" w:cs="Times New Roman"/>
          <w:sz w:val="20"/>
          <w:szCs w:val="20"/>
        </w:rPr>
        <w:fldChar w:fldCharType="begin">
          <w:fldData xml:space="preserve">PEVuZE5vdGU+PENpdGU+PEF1dGhvcj5Sb29tZTwvQXV0aG9yPjxZZWFyPjIwMTU8L1llYXI+PFJl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==
</w:fldData>
        </w:fldChar>
      </w:r>
      <w:r w:rsidR="00144D6D" w:rsidRPr="009D2A42">
        <w:rPr>
          <w:rFonts w:ascii="Times New Roman" w:eastAsia="Times New Roman" w:hAnsi="Times New Roman" w:cs="Times New Roman"/>
          <w:sz w:val="20"/>
          <w:szCs w:val="20"/>
        </w:rPr>
        <w:instrText xml:space="preserve"> ADDIN EN.CITE.DATA </w:instrText>
      </w:r>
      <w:r w:rsidR="00144D6D" w:rsidRPr="009D2A42">
        <w:rPr>
          <w:rFonts w:ascii="Times New Roman" w:eastAsia="Times New Roman" w:hAnsi="Times New Roman" w:cs="Times New Roman"/>
          <w:sz w:val="20"/>
          <w:szCs w:val="20"/>
        </w:rPr>
      </w:r>
      <w:r w:rsidR="00144D6D" w:rsidRPr="009D2A42">
        <w:rPr>
          <w:rFonts w:ascii="Times New Roman" w:eastAsia="Times New Roman" w:hAnsi="Times New Roman" w:cs="Times New Roman"/>
          <w:sz w:val="20"/>
          <w:szCs w:val="20"/>
        </w:rPr>
        <w:fldChar w:fldCharType="end"/>
      </w:r>
      <w:r w:rsidR="00144D6D" w:rsidRPr="009D2A42">
        <w:rPr>
          <w:rFonts w:ascii="Times New Roman" w:eastAsia="Times New Roman" w:hAnsi="Times New Roman" w:cs="Times New Roman"/>
          <w:sz w:val="20"/>
          <w:szCs w:val="20"/>
        </w:rPr>
      </w:r>
      <w:r w:rsidR="00144D6D" w:rsidRPr="009D2A42">
        <w:rPr>
          <w:rFonts w:ascii="Times New Roman" w:eastAsia="Times New Roman" w:hAnsi="Times New Roman" w:cs="Times New Roman"/>
          <w:sz w:val="20"/>
          <w:szCs w:val="20"/>
        </w:rPr>
        <w:fldChar w:fldCharType="separate"/>
      </w:r>
      <w:r w:rsidR="00144D6D" w:rsidRPr="009D2A42">
        <w:rPr>
          <w:rFonts w:ascii="Times New Roman" w:eastAsia="Times New Roman" w:hAnsi="Times New Roman" w:cs="Times New Roman"/>
          <w:noProof/>
          <w:sz w:val="20"/>
          <w:szCs w:val="20"/>
          <w:vertAlign w:val="superscript"/>
        </w:rPr>
        <w:t>2</w:t>
      </w:r>
      <w:r w:rsidR="00144D6D" w:rsidRPr="009D2A42">
        <w:rPr>
          <w:rFonts w:ascii="Times New Roman" w:eastAsia="Times New Roman" w:hAnsi="Times New Roman" w:cs="Times New Roman"/>
          <w:sz w:val="20"/>
          <w:szCs w:val="20"/>
        </w:rPr>
        <w:fldChar w:fldCharType="end"/>
      </w:r>
      <w:r w:rsidRPr="009D2A42">
        <w:rPr>
          <w:rFonts w:ascii="Times New Roman" w:eastAsia="Times New Roman" w:hAnsi="Times New Roman" w:cs="Times New Roman"/>
          <w:sz w:val="20"/>
          <w:szCs w:val="20"/>
        </w:rPr>
        <w:t xml:space="preserve">. </w:t>
      </w:r>
      <w:r w:rsidRPr="009D2A42">
        <w:rPr>
          <w:rFonts w:ascii="Times New Roman" w:eastAsia="Gungsuh" w:hAnsi="Times New Roman" w:cs="Times New Roman"/>
          <w:sz w:val="20"/>
          <w:szCs w:val="20"/>
        </w:rPr>
        <w:t xml:space="preserve">Video editing software was used to accurately replay forelimb touches frame by frame for analysis (Adobe Premier Pro 13.1, Adobe Systems). The first left, right or both forelimb cylinder touches from a total of 20 independent rears were recorded per session for each animal and used to calculate an asymmetry score used in </w:t>
      </w:r>
      <w:r w:rsidRPr="009D2A42">
        <w:rPr>
          <w:rFonts w:ascii="Times New Roman" w:eastAsia="Times New Roman" w:hAnsi="Times New Roman" w:cs="Times New Roman"/>
          <w:sz w:val="20"/>
          <w:szCs w:val="20"/>
        </w:rPr>
        <w:t xml:space="preserve">Li </w:t>
      </w:r>
      <w:r w:rsidRPr="009D2A42">
        <w:rPr>
          <w:rFonts w:ascii="Times New Roman" w:eastAsia="Times New Roman" w:hAnsi="Times New Roman" w:cs="Times New Roman"/>
          <w:i/>
          <w:sz w:val="20"/>
          <w:szCs w:val="20"/>
        </w:rPr>
        <w:t>et al</w:t>
      </w:r>
      <w:r w:rsidRPr="009D2A42">
        <w:rPr>
          <w:rFonts w:ascii="Times New Roman" w:eastAsia="Times New Roman" w:hAnsi="Times New Roman" w:cs="Times New Roman"/>
          <w:sz w:val="20"/>
          <w:szCs w:val="20"/>
        </w:rPr>
        <w:t xml:space="preserve"> 2003</w:t>
      </w:r>
      <w:r w:rsidR="00415372" w:rsidRPr="009D2A42">
        <w:rPr>
          <w:rFonts w:ascii="Times New Roman" w:eastAsia="Times New Roman" w:hAnsi="Times New Roman" w:cs="Times New Roman"/>
          <w:sz w:val="20"/>
          <w:szCs w:val="20"/>
        </w:rPr>
        <w:fldChar w:fldCharType="begin">
          <w:fldData xml:space="preserve">PEVuZE5vdGU+PENpdGU+PEF1dGhvcj5MaTwvQXV0aG9yPjxZZWFyPjIwMDQ8L1llYXI+PFJlY051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</w:fldData>
        </w:fldChar>
      </w:r>
      <w:r w:rsidR="00415372" w:rsidRPr="009D2A42">
        <w:rPr>
          <w:rFonts w:ascii="Times New Roman" w:eastAsia="Times New Roman" w:hAnsi="Times New Roman" w:cs="Times New Roman"/>
          <w:sz w:val="20"/>
          <w:szCs w:val="20"/>
        </w:rPr>
        <w:instrText xml:space="preserve"> ADDIN EN.CITE </w:instrText>
      </w:r>
      <w:r w:rsidR="00415372" w:rsidRPr="009D2A42">
        <w:rPr>
          <w:rFonts w:ascii="Times New Roman" w:eastAsia="Times New Roman" w:hAnsi="Times New Roman" w:cs="Times New Roman"/>
          <w:sz w:val="20"/>
          <w:szCs w:val="20"/>
        </w:rPr>
        <w:fldChar w:fldCharType="begin">
          <w:fldData xml:space="preserve">PEVuZE5vdGU+PENpdGU+PEF1dGhvcj5MaTwvQXV0aG9yPjxZZWFyPjIwMDQ8L1llYXI+PFJlY051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</w:fldData>
        </w:fldChar>
      </w:r>
      <w:r w:rsidR="00415372" w:rsidRPr="009D2A42">
        <w:rPr>
          <w:rFonts w:ascii="Times New Roman" w:eastAsia="Times New Roman" w:hAnsi="Times New Roman" w:cs="Times New Roman"/>
          <w:sz w:val="20"/>
          <w:szCs w:val="20"/>
        </w:rPr>
        <w:instrText xml:space="preserve"> ADDIN EN.CITE.DATA </w:instrText>
      </w:r>
      <w:r w:rsidR="00415372" w:rsidRPr="009D2A42">
        <w:rPr>
          <w:rFonts w:ascii="Times New Roman" w:eastAsia="Times New Roman" w:hAnsi="Times New Roman" w:cs="Times New Roman"/>
          <w:sz w:val="20"/>
          <w:szCs w:val="20"/>
        </w:rPr>
      </w:r>
      <w:r w:rsidR="00415372" w:rsidRPr="009D2A42">
        <w:rPr>
          <w:rFonts w:ascii="Times New Roman" w:eastAsia="Times New Roman" w:hAnsi="Times New Roman" w:cs="Times New Roman"/>
          <w:sz w:val="20"/>
          <w:szCs w:val="20"/>
        </w:rPr>
        <w:fldChar w:fldCharType="end"/>
      </w:r>
      <w:r w:rsidR="00415372" w:rsidRPr="009D2A42">
        <w:rPr>
          <w:rFonts w:ascii="Times New Roman" w:eastAsia="Times New Roman" w:hAnsi="Times New Roman" w:cs="Times New Roman"/>
          <w:sz w:val="20"/>
          <w:szCs w:val="20"/>
        </w:rPr>
      </w:r>
      <w:r w:rsidR="00415372" w:rsidRPr="009D2A42">
        <w:rPr>
          <w:rFonts w:ascii="Times New Roman" w:eastAsia="Times New Roman" w:hAnsi="Times New Roman" w:cs="Times New Roman"/>
          <w:sz w:val="20"/>
          <w:szCs w:val="20"/>
        </w:rPr>
        <w:fldChar w:fldCharType="separate"/>
      </w:r>
      <w:r w:rsidR="00415372" w:rsidRPr="009D2A42">
        <w:rPr>
          <w:rFonts w:ascii="Times New Roman" w:eastAsia="Times New Roman" w:hAnsi="Times New Roman" w:cs="Times New Roman"/>
          <w:noProof/>
          <w:sz w:val="20"/>
          <w:szCs w:val="20"/>
          <w:vertAlign w:val="superscript"/>
        </w:rPr>
        <w:t>3</w:t>
      </w:r>
      <w:r w:rsidR="00415372" w:rsidRPr="009D2A42">
        <w:rPr>
          <w:rFonts w:ascii="Times New Roman" w:eastAsia="Times New Roman" w:hAnsi="Times New Roman" w:cs="Times New Roman"/>
          <w:sz w:val="20"/>
          <w:szCs w:val="20"/>
        </w:rPr>
        <w:fldChar w:fldCharType="end"/>
      </w:r>
      <w:r w:rsidR="00D3416C" w:rsidRPr="009D2A42">
        <w:rPr>
          <w:rFonts w:ascii="Times New Roman" w:eastAsia="Times New Roman" w:hAnsi="Times New Roman" w:cs="Times New Roman"/>
          <w:sz w:val="20"/>
          <w:szCs w:val="20"/>
        </w:rPr>
        <w:t>.</w:t>
      </w:r>
      <w:r w:rsidR="00232119" w:rsidRPr="009D2A42">
        <w:rPr>
          <w:rFonts w:ascii="Times New Roman" w:eastAsia="Times New Roman" w:hAnsi="Times New Roman" w:cs="Times New Roman"/>
          <w:sz w:val="20"/>
          <w:szCs w:val="20"/>
        </w:rPr>
        <w:t xml:space="preserve"> </w:t>
      </w:r>
      <w:r w:rsidR="00D3416C" w:rsidRPr="009D2A42">
        <w:rPr>
          <w:rFonts w:ascii="Times New Roman" w:eastAsia="Times New Roman" w:hAnsi="Times New Roman" w:cs="Times New Roman"/>
          <w:sz w:val="20"/>
          <w:szCs w:val="20"/>
        </w:rPr>
        <w:t>T</w:t>
      </w:r>
      <w:r w:rsidR="00232119" w:rsidRPr="009D2A42">
        <w:rPr>
          <w:rFonts w:ascii="Times New Roman" w:eastAsia="Times New Roman" w:hAnsi="Times New Roman" w:cs="Times New Roman"/>
          <w:sz w:val="20"/>
          <w:szCs w:val="20"/>
        </w:rPr>
        <w:t>he greater the score</w:t>
      </w:r>
      <w:r w:rsidR="0052346A" w:rsidRPr="009D2A42">
        <w:rPr>
          <w:rFonts w:ascii="Times New Roman" w:eastAsia="Times New Roman" w:hAnsi="Times New Roman" w:cs="Times New Roman"/>
          <w:sz w:val="20"/>
          <w:szCs w:val="20"/>
        </w:rPr>
        <w:t>,</w:t>
      </w:r>
      <w:r w:rsidR="00232119" w:rsidRPr="009D2A42">
        <w:rPr>
          <w:rFonts w:ascii="Times New Roman" w:eastAsia="Times New Roman" w:hAnsi="Times New Roman" w:cs="Times New Roman"/>
          <w:sz w:val="20"/>
          <w:szCs w:val="20"/>
        </w:rPr>
        <w:t xml:space="preserve"> the </w:t>
      </w:r>
      <w:r w:rsidR="00A7120C" w:rsidRPr="009D2A42">
        <w:rPr>
          <w:rFonts w:ascii="Times New Roman" w:eastAsia="Times New Roman" w:hAnsi="Times New Roman" w:cs="Times New Roman"/>
          <w:sz w:val="20"/>
          <w:szCs w:val="20"/>
        </w:rPr>
        <w:t xml:space="preserve">greater </w:t>
      </w:r>
      <w:r w:rsidR="00D34BE1" w:rsidRPr="009D2A42">
        <w:rPr>
          <w:rFonts w:ascii="Times New Roman" w:eastAsia="Times New Roman" w:hAnsi="Times New Roman" w:cs="Times New Roman"/>
          <w:sz w:val="20"/>
          <w:szCs w:val="20"/>
        </w:rPr>
        <w:t xml:space="preserve">the </w:t>
      </w:r>
      <w:r w:rsidR="009976B1" w:rsidRPr="009D2A42">
        <w:rPr>
          <w:rFonts w:ascii="Times New Roman" w:eastAsia="Times New Roman" w:hAnsi="Times New Roman" w:cs="Times New Roman"/>
          <w:sz w:val="20"/>
          <w:szCs w:val="20"/>
        </w:rPr>
        <w:t>non</w:t>
      </w:r>
      <w:r w:rsidR="008078B2" w:rsidRPr="009D2A42">
        <w:rPr>
          <w:rFonts w:ascii="Times New Roman" w:eastAsia="Times New Roman" w:hAnsi="Times New Roman" w:cs="Times New Roman"/>
          <w:sz w:val="20"/>
          <w:szCs w:val="20"/>
        </w:rPr>
        <w:t>-</w:t>
      </w:r>
      <w:r w:rsidR="000477EE" w:rsidRPr="009D2A42">
        <w:rPr>
          <w:rFonts w:ascii="Times New Roman" w:eastAsia="Times New Roman" w:hAnsi="Times New Roman" w:cs="Times New Roman"/>
          <w:sz w:val="20"/>
          <w:szCs w:val="20"/>
        </w:rPr>
        <w:t>impaired forelimb preference</w:t>
      </w:r>
      <w:r w:rsidRPr="009D2A42">
        <w:rPr>
          <w:rFonts w:ascii="Times New Roman" w:eastAsia="Times New Roman" w:hAnsi="Times New Roman" w:cs="Times New Roman"/>
          <w:sz w:val="20"/>
          <w:szCs w:val="20"/>
        </w:rPr>
        <w:t>. Animals with 70% or greater non</w:t>
      </w:r>
      <w:r w:rsidR="008078B2" w:rsidRPr="009D2A42">
        <w:rPr>
          <w:rFonts w:ascii="Times New Roman" w:eastAsia="Times New Roman" w:hAnsi="Times New Roman" w:cs="Times New Roman"/>
          <w:sz w:val="20"/>
          <w:szCs w:val="20"/>
        </w:rPr>
        <w:t>-</w:t>
      </w:r>
      <w:r w:rsidRPr="009D2A42">
        <w:rPr>
          <w:rFonts w:ascii="Times New Roman" w:eastAsia="Times New Roman" w:hAnsi="Times New Roman" w:cs="Times New Roman"/>
          <w:sz w:val="20"/>
          <w:szCs w:val="20"/>
        </w:rPr>
        <w:t xml:space="preserve">impaired forelimb touches at baseline were excluded from analysis (2 animals treated with vehicle).  </w:t>
      </w:r>
    </w:p>
    <w:p w14:paraId="2D071137" w14:textId="77777777" w:rsidR="00A73C54" w:rsidRPr="009D2A42" w:rsidRDefault="00A73C54" w:rsidP="00A73C54">
      <w:pPr>
        <w:pStyle w:val="LO-normal"/>
        <w:spacing w:after="0" w:line="480" w:lineRule="auto"/>
        <w:jc w:val="both"/>
        <w:rPr>
          <w:rFonts w:ascii="Times New Roman" w:eastAsia="Gungsuh" w:hAnsi="Times New Roman" w:cs="Times New Roman"/>
          <w:sz w:val="20"/>
          <w:szCs w:val="20"/>
        </w:rPr>
      </w:pPr>
    </w:p>
    <w:p w14:paraId="11AE7625" w14:textId="77777777" w:rsidR="00F72E84" w:rsidRPr="009D2A42" w:rsidRDefault="00F72E84" w:rsidP="00A73C54">
      <w:pPr>
        <w:pStyle w:val="LO-normal"/>
        <w:spacing w:after="0" w:line="480" w:lineRule="auto"/>
        <w:jc w:val="both"/>
        <w:rPr>
          <w:rFonts w:ascii="Times New Roman" w:eastAsia="Times New Roman" w:hAnsi="Times New Roman" w:cs="Times New Roman"/>
          <w:b/>
          <w:sz w:val="20"/>
          <w:szCs w:val="20"/>
        </w:rPr>
      </w:pPr>
      <w:r w:rsidRPr="009D2A42">
        <w:rPr>
          <w:rFonts w:ascii="Times New Roman" w:eastAsia="Times New Roman" w:hAnsi="Times New Roman" w:cs="Times New Roman"/>
          <w:b/>
          <w:sz w:val="20"/>
          <w:szCs w:val="20"/>
        </w:rPr>
        <w:t xml:space="preserve">Nest building </w:t>
      </w:r>
    </w:p>
    <w:p w14:paraId="38ADF3F9" w14:textId="7CD4B90A" w:rsidR="00047E86" w:rsidRPr="009D2A42" w:rsidRDefault="00F72E84" w:rsidP="00A73C54">
      <w:pPr>
        <w:pStyle w:val="LO-normal"/>
        <w:spacing w:before="120" w:after="0" w:line="480" w:lineRule="auto"/>
        <w:jc w:val="both"/>
        <w:rPr>
          <w:rFonts w:ascii="Times New Roman" w:eastAsia="Gungsuh" w:hAnsi="Times New Roman" w:cs="Times New Roman"/>
          <w:sz w:val="20"/>
          <w:szCs w:val="20"/>
        </w:rPr>
      </w:pPr>
      <w:r w:rsidRPr="009D2A42">
        <w:rPr>
          <w:rFonts w:ascii="Times New Roman" w:eastAsia="Times New Roman" w:hAnsi="Times New Roman" w:cs="Times New Roman"/>
          <w:sz w:val="20"/>
          <w:szCs w:val="20"/>
        </w:rPr>
        <w:t>Nest building is a spontaneous home-cage behaviour and was used as an assessment of wellbeing. Animals were placed in individual cages containing 20 g of Sizzle-Nest nesting material (</w:t>
      </w:r>
      <w:proofErr w:type="spellStart"/>
      <w:r w:rsidRPr="009D2A42">
        <w:rPr>
          <w:rFonts w:ascii="Times New Roman" w:eastAsia="Times New Roman" w:hAnsi="Times New Roman" w:cs="Times New Roman"/>
          <w:sz w:val="20"/>
          <w:szCs w:val="20"/>
        </w:rPr>
        <w:t>Datesand</w:t>
      </w:r>
      <w:proofErr w:type="spellEnd"/>
      <w:r w:rsidRPr="009D2A42">
        <w:rPr>
          <w:rFonts w:ascii="Times New Roman" w:eastAsia="Times New Roman" w:hAnsi="Times New Roman" w:cs="Times New Roman"/>
          <w:sz w:val="20"/>
          <w:szCs w:val="20"/>
        </w:rPr>
        <w:t xml:space="preserve"> Ltd, UK) at least 1 h before the onset of the dark cycle. Mice were left over night and nests were scored in the morning after onset of the light cycle. </w:t>
      </w:r>
      <w:r w:rsidR="00047E86" w:rsidRPr="009D2A42">
        <w:rPr>
          <w:rFonts w:ascii="Times New Roman" w:eastAsia="Times New Roman" w:hAnsi="Times New Roman" w:cs="Times New Roman"/>
          <w:sz w:val="20"/>
          <w:szCs w:val="20"/>
        </w:rPr>
        <w:t>Nests were scored using the following</w:t>
      </w:r>
      <w:r w:rsidR="00047E86" w:rsidRPr="009D2A42">
        <w:rPr>
          <w:rFonts w:ascii="Times New Roman" w:eastAsia="Gungsuh" w:hAnsi="Times New Roman" w:cs="Times New Roman"/>
          <w:sz w:val="20"/>
          <w:szCs w:val="20"/>
        </w:rPr>
        <w:t>, 1= no manipulation of nesting material, 2= no obvious nest site present (majority of nesting material not   contained to one quadrant of cage), 3= nest present but flat, 4= nest has raised walls ≤ 30 mm in height, 4= nest walls 31 – 49 mm in height, 5= nest walls ≥ 50 mm in height.</w:t>
      </w:r>
    </w:p>
    <w:p w14:paraId="525C34DA" w14:textId="77777777" w:rsidR="00A73C54" w:rsidRPr="009D2A42" w:rsidRDefault="00A73C54" w:rsidP="00A73C54">
      <w:pPr>
        <w:pStyle w:val="LO-normal"/>
        <w:spacing w:after="0" w:line="480" w:lineRule="auto"/>
        <w:jc w:val="both"/>
        <w:rPr>
          <w:rFonts w:ascii="Times New Roman" w:eastAsia="Times New Roman" w:hAnsi="Times New Roman" w:cs="Times New Roman"/>
          <w:b/>
          <w:sz w:val="20"/>
          <w:szCs w:val="20"/>
        </w:rPr>
      </w:pPr>
    </w:p>
    <w:p w14:paraId="60E6FCE7" w14:textId="032C3790" w:rsidR="00F72E84" w:rsidRPr="009D2A42" w:rsidRDefault="00F72E84" w:rsidP="00A73C54">
      <w:pPr>
        <w:pStyle w:val="LO-normal"/>
        <w:spacing w:after="0" w:line="480" w:lineRule="auto"/>
        <w:jc w:val="both"/>
        <w:rPr>
          <w:rFonts w:ascii="Times New Roman" w:eastAsia="Times New Roman" w:hAnsi="Times New Roman" w:cs="Times New Roman"/>
          <w:b/>
          <w:sz w:val="20"/>
          <w:szCs w:val="20"/>
        </w:rPr>
      </w:pPr>
      <w:r w:rsidRPr="009D2A42">
        <w:rPr>
          <w:rFonts w:ascii="Times New Roman" w:eastAsia="Times New Roman" w:hAnsi="Times New Roman" w:cs="Times New Roman"/>
          <w:b/>
          <w:sz w:val="20"/>
          <w:szCs w:val="20"/>
        </w:rPr>
        <w:t>Burrowing</w:t>
      </w:r>
    </w:p>
    <w:p w14:paraId="188118D1" w14:textId="2D5E1671" w:rsidR="00F72E84" w:rsidRPr="009D2A42" w:rsidRDefault="00F72E84" w:rsidP="00A73C54">
      <w:pPr>
        <w:pStyle w:val="LO-normal"/>
        <w:spacing w:after="0" w:line="480" w:lineRule="auto"/>
        <w:jc w:val="both"/>
        <w:rPr>
          <w:rFonts w:ascii="Times New Roman" w:hAnsi="Times New Roman" w:cs="Times New Roman"/>
          <w:sz w:val="20"/>
          <w:szCs w:val="20"/>
        </w:rPr>
      </w:pPr>
      <w:r w:rsidRPr="009D2A42">
        <w:rPr>
          <w:rFonts w:ascii="Times New Roman" w:eastAsia="Times New Roman" w:hAnsi="Times New Roman" w:cs="Times New Roman"/>
          <w:sz w:val="20"/>
          <w:szCs w:val="20"/>
        </w:rPr>
        <w:t xml:space="preserve">Sickness behaviour was assessed with the burrowing task post-stroke. Burrowing tubes were made from 200 mm lengths of 68 mm diameter PVC downpipe as described previously </w:t>
      </w:r>
      <w:r w:rsidR="00415372" w:rsidRPr="009D2A42">
        <w:rPr>
          <w:rFonts w:ascii="Times New Roman" w:eastAsia="Times New Roman" w:hAnsi="Times New Roman" w:cs="Times New Roman"/>
          <w:sz w:val="20"/>
          <w:szCs w:val="20"/>
        </w:rPr>
        <w:t xml:space="preserve">by </w:t>
      </w:r>
      <w:r w:rsidRPr="009D2A42">
        <w:rPr>
          <w:rFonts w:ascii="Times New Roman" w:eastAsia="Times New Roman" w:hAnsi="Times New Roman" w:cs="Times New Roman"/>
          <w:sz w:val="20"/>
          <w:szCs w:val="20"/>
        </w:rPr>
        <w:t xml:space="preserve">Deacon </w:t>
      </w:r>
      <w:r w:rsidRPr="009D2A42">
        <w:rPr>
          <w:rFonts w:ascii="Times New Roman" w:eastAsia="Times New Roman" w:hAnsi="Times New Roman" w:cs="Times New Roman"/>
          <w:i/>
          <w:sz w:val="20"/>
          <w:szCs w:val="20"/>
        </w:rPr>
        <w:t>et al</w:t>
      </w:r>
      <w:r w:rsidRPr="009D2A42">
        <w:rPr>
          <w:rFonts w:ascii="Times New Roman" w:eastAsia="Times New Roman" w:hAnsi="Times New Roman" w:cs="Times New Roman"/>
          <w:sz w:val="20"/>
          <w:szCs w:val="20"/>
        </w:rPr>
        <w:t xml:space="preserve"> 2012</w:t>
      </w:r>
      <w:r w:rsidR="00415372" w:rsidRPr="009D2A42">
        <w:rPr>
          <w:rFonts w:ascii="Times New Roman" w:eastAsia="Times New Roman" w:hAnsi="Times New Roman" w:cs="Times New Roman"/>
          <w:sz w:val="20"/>
          <w:szCs w:val="20"/>
        </w:rPr>
        <w:fldChar w:fldCharType="begin"/>
      </w:r>
      <w:r w:rsidR="00415372" w:rsidRPr="009D2A42">
        <w:rPr>
          <w:rFonts w:ascii="Times New Roman" w:eastAsia="Times New Roman" w:hAnsi="Times New Roman" w:cs="Times New Roman"/>
          <w:sz w:val="20"/>
          <w:szCs w:val="20"/>
        </w:rPr>
        <w:instrText xml:space="preserve"> ADDIN EN.CITE &lt;EndNote&gt;&lt;Cite&gt;&lt;Author&gt;Deacon&lt;/Author&gt;&lt;Year&gt;2012&lt;/Year&gt;&lt;RecNum&gt;255&lt;/RecNum&gt;&lt;DisplayText&gt;&lt;style face="superscript"&gt;4&lt;/style&gt;&lt;/DisplayText&gt;&lt;record&gt;&lt;rec-number&gt;255&lt;/rec-number&gt;&lt;foreign-keys&gt;&lt;key app="EN" db-id="xevxefzvhpzs9ue0fr45aea3tta0rxftvd2d" timestamp="1574877089" guid="848ffed4-4432-469a-a9e1-dd30071b9549"&gt;255&lt;/key&gt;&lt;/foreign-keys&gt;&lt;ref-type name="Journal Article"&gt;17&lt;/ref-type&gt;&lt;contributors&gt;&lt;authors&gt;&lt;author&gt;Deacon, R.&lt;/author&gt;&lt;/authors&gt;&lt;/contributors&gt;&lt;auth-address&gt;Department of Experimental Psychology, University of Oxford. Robert.deacon@psy.ox.ac.uk&lt;/auth-address&gt;&lt;titles&gt;&lt;title&gt;Assessing burrowing, nest construction, and hoarding in mice&lt;/title&gt;&lt;secondary-title&gt;J Vis Exp&lt;/secondary-title&gt;&lt;alt-title&gt;Journal of visualized experiments : JoVE&lt;/alt-title&gt;&lt;/titles&gt;&lt;periodical&gt;&lt;full-title&gt;J Vis Exp&lt;/full-title&gt;&lt;abbr-1&gt;Journal of visualized experiments : JoVE&lt;/abbr-1&gt;&lt;/periodical&gt;&lt;alt-periodical&gt;&lt;full-title&gt;J Vis Exp&lt;/full-title&gt;&lt;abbr-1&gt;Journal of visualized experiments : JoVE&lt;/abbr-1&gt;&lt;/alt-periodical&gt;&lt;pages&gt;e2607&lt;/pages&gt;&lt;number&gt;59&lt;/number&gt;&lt;edition&gt;2012/01/20&lt;/edition&gt;&lt;keywords&gt;&lt;keyword&gt;Animals&lt;/keyword&gt;&lt;keyword&gt;*Behavior, Animal&lt;/keyword&gt;&lt;keyword&gt;*Hoarding&lt;/keyword&gt;&lt;keyword&gt;Mice&lt;/keyword&gt;&lt;/keywords&gt;&lt;dates&gt;&lt;year&gt;2012&lt;/year&gt;&lt;pub-dates&gt;&lt;date&gt;Jan 5&lt;/date&gt;&lt;/pub-dates&gt;&lt;/dates&gt;&lt;isbn&gt;1940-087x&lt;/isbn&gt;&lt;accession-num&gt;22258546&lt;/accession-num&gt;&lt;urls&gt;&lt;/urls&gt;&lt;custom2&gt;PMC3369766&lt;/custom2&gt;&lt;electronic-resource-num&gt;10.3791/2607&lt;/electronic-resource-num&gt;&lt;remote-database-provider&gt;NLM&lt;/remote-database-provider&gt;&lt;language&gt;eng&lt;/language&gt;&lt;/record&gt;&lt;/Cite&gt;&lt;/EndNote&gt;</w:instrText>
      </w:r>
      <w:r w:rsidR="00415372" w:rsidRPr="009D2A42">
        <w:rPr>
          <w:rFonts w:ascii="Times New Roman" w:eastAsia="Times New Roman" w:hAnsi="Times New Roman" w:cs="Times New Roman"/>
          <w:sz w:val="20"/>
          <w:szCs w:val="20"/>
        </w:rPr>
        <w:fldChar w:fldCharType="separate"/>
      </w:r>
      <w:r w:rsidR="00415372" w:rsidRPr="009D2A42">
        <w:rPr>
          <w:rFonts w:ascii="Times New Roman" w:eastAsia="Times New Roman" w:hAnsi="Times New Roman" w:cs="Times New Roman"/>
          <w:noProof/>
          <w:sz w:val="20"/>
          <w:szCs w:val="20"/>
          <w:vertAlign w:val="superscript"/>
        </w:rPr>
        <w:t>4</w:t>
      </w:r>
      <w:r w:rsidR="00415372" w:rsidRPr="009D2A42">
        <w:rPr>
          <w:rFonts w:ascii="Times New Roman" w:eastAsia="Times New Roman" w:hAnsi="Times New Roman" w:cs="Times New Roman"/>
          <w:sz w:val="20"/>
          <w:szCs w:val="20"/>
        </w:rPr>
        <w:fldChar w:fldCharType="end"/>
      </w:r>
      <w:r w:rsidRPr="009D2A42">
        <w:rPr>
          <w:rFonts w:ascii="Times New Roman" w:eastAsia="Times New Roman" w:hAnsi="Times New Roman" w:cs="Times New Roman"/>
          <w:sz w:val="20"/>
          <w:szCs w:val="20"/>
        </w:rPr>
        <w:t>. Animals were placed in individual cages with a burrowing tube containing 150 g standard rodent diet food pellets (SDS, UK). After 2 h, the food remaining in the tubes was weighed and subtracted from the initial weight (150 g) to calculate the mass burrowed. Two baseline sessions were conducted at least 48 h apart prior to MCAO. Mice which burrowed &lt;30 g at baseline, were excluded from analysis (3 animals treated with vehicle).</w:t>
      </w:r>
    </w:p>
    <w:p w14:paraId="2BA1B6CF" w14:textId="77777777" w:rsidR="00F72E84" w:rsidRPr="009D2A42" w:rsidRDefault="00F72E84" w:rsidP="00A73C54">
      <w:pPr>
        <w:pStyle w:val="LO-normal"/>
        <w:spacing w:after="0" w:line="480" w:lineRule="auto"/>
        <w:jc w:val="both"/>
        <w:rPr>
          <w:rFonts w:ascii="Times New Roman" w:eastAsia="Times New Roman" w:hAnsi="Times New Roman" w:cs="Times New Roman"/>
          <w:sz w:val="20"/>
          <w:szCs w:val="20"/>
        </w:rPr>
      </w:pPr>
    </w:p>
    <w:p w14:paraId="4884B262" w14:textId="77777777" w:rsidR="00D70F3E" w:rsidRPr="009D2A42" w:rsidRDefault="00D70F3E" w:rsidP="00FE49D1">
      <w:pPr>
        <w:pBdr>
          <w:top w:val="nil"/>
          <w:left w:val="nil"/>
          <w:bottom w:val="nil"/>
          <w:right w:val="nil"/>
          <w:between w:val="nil"/>
        </w:pBdr>
        <w:spacing w:after="0" w:line="480" w:lineRule="auto"/>
        <w:jc w:val="both"/>
        <w:rPr>
          <w:rFonts w:ascii="Times New Roman" w:eastAsia="Times New Roman" w:hAnsi="Times New Roman" w:cs="Times New Roman"/>
          <w:b/>
          <w:color w:val="000000"/>
          <w:sz w:val="20"/>
          <w:szCs w:val="20"/>
        </w:rPr>
      </w:pPr>
      <w:r w:rsidRPr="009D2A42">
        <w:rPr>
          <w:rFonts w:ascii="Times New Roman" w:eastAsia="Times New Roman" w:hAnsi="Times New Roman" w:cs="Times New Roman"/>
          <w:b/>
          <w:color w:val="000000"/>
          <w:sz w:val="20"/>
          <w:szCs w:val="20"/>
        </w:rPr>
        <w:t>Tissue processing and histology</w:t>
      </w:r>
    </w:p>
    <w:p w14:paraId="25BC3072" w14:textId="16BD9CAE" w:rsidR="00D70F3E" w:rsidRPr="009D2A42" w:rsidRDefault="00D70F3E" w:rsidP="00FE49D1">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rPr>
      </w:pPr>
      <w:r w:rsidRPr="009D2A42">
        <w:rPr>
          <w:rFonts w:ascii="Times New Roman" w:eastAsia="Times New Roman" w:hAnsi="Times New Roman" w:cs="Times New Roman"/>
          <w:color w:val="000000"/>
          <w:sz w:val="20"/>
          <w:szCs w:val="20"/>
        </w:rPr>
        <w:t xml:space="preserve">Mice were either perfused </w:t>
      </w:r>
      <w:proofErr w:type="spellStart"/>
      <w:r w:rsidRPr="009D2A42">
        <w:rPr>
          <w:rFonts w:ascii="Times New Roman" w:eastAsia="Times New Roman" w:hAnsi="Times New Roman" w:cs="Times New Roman"/>
          <w:color w:val="000000"/>
          <w:sz w:val="20"/>
          <w:szCs w:val="20"/>
        </w:rPr>
        <w:t>transcardially</w:t>
      </w:r>
      <w:proofErr w:type="spellEnd"/>
      <w:r w:rsidRPr="009D2A42">
        <w:rPr>
          <w:rFonts w:ascii="Times New Roman" w:eastAsia="Times New Roman" w:hAnsi="Times New Roman" w:cs="Times New Roman"/>
          <w:color w:val="000000"/>
          <w:sz w:val="20"/>
          <w:szCs w:val="20"/>
        </w:rPr>
        <w:t xml:space="preserve"> with 0.9% saline followed by </w:t>
      </w:r>
      <w:r w:rsidR="00936130">
        <w:rPr>
          <w:rFonts w:ascii="Times New Roman" w:eastAsia="Times New Roman" w:hAnsi="Times New Roman" w:cs="Times New Roman"/>
          <w:color w:val="000000"/>
          <w:sz w:val="20"/>
          <w:szCs w:val="20"/>
        </w:rPr>
        <w:t>p</w:t>
      </w:r>
      <w:r w:rsidRPr="009D2A42">
        <w:rPr>
          <w:rFonts w:ascii="Times New Roman" w:eastAsia="Times New Roman" w:hAnsi="Times New Roman" w:cs="Times New Roman"/>
          <w:color w:val="000000"/>
          <w:sz w:val="20"/>
          <w:szCs w:val="20"/>
        </w:rPr>
        <w:t>araformaldehyde (PFA) under terminal 4% isoflurane (4% in 30% O</w:t>
      </w:r>
      <w:r w:rsidRPr="009D2A42">
        <w:rPr>
          <w:rFonts w:ascii="Times New Roman" w:eastAsia="Times New Roman" w:hAnsi="Times New Roman" w:cs="Times New Roman"/>
          <w:color w:val="000000"/>
          <w:sz w:val="20"/>
          <w:szCs w:val="20"/>
          <w:vertAlign w:val="superscript"/>
        </w:rPr>
        <w:t>2</w:t>
      </w:r>
      <w:r w:rsidRPr="009D2A42">
        <w:rPr>
          <w:rFonts w:ascii="Times New Roman" w:eastAsia="Times New Roman" w:hAnsi="Times New Roman" w:cs="Times New Roman"/>
          <w:color w:val="000000"/>
          <w:sz w:val="20"/>
          <w:szCs w:val="20"/>
        </w:rPr>
        <w:t xml:space="preserve"> and 70% N</w:t>
      </w:r>
      <w:r w:rsidRPr="009D2A42">
        <w:rPr>
          <w:rFonts w:ascii="Times New Roman" w:eastAsia="Times New Roman" w:hAnsi="Times New Roman" w:cs="Times New Roman"/>
          <w:color w:val="000000"/>
          <w:sz w:val="20"/>
          <w:szCs w:val="20"/>
          <w:vertAlign w:val="subscript"/>
        </w:rPr>
        <w:t>2</w:t>
      </w:r>
      <w:r w:rsidRPr="009D2A42">
        <w:rPr>
          <w:rFonts w:ascii="Times New Roman" w:eastAsia="Times New Roman" w:hAnsi="Times New Roman" w:cs="Times New Roman"/>
          <w:color w:val="000000"/>
          <w:sz w:val="20"/>
          <w:szCs w:val="20"/>
        </w:rPr>
        <w:t xml:space="preserve">O) for </w:t>
      </w:r>
      <w:r w:rsidR="000E357F">
        <w:rPr>
          <w:rFonts w:ascii="Times New Roman" w:eastAsia="Times New Roman" w:hAnsi="Times New Roman" w:cs="Times New Roman"/>
          <w:color w:val="000000"/>
          <w:sz w:val="20"/>
          <w:szCs w:val="20"/>
        </w:rPr>
        <w:t>the short-term</w:t>
      </w:r>
      <w:r w:rsidRPr="009D2A42">
        <w:rPr>
          <w:rFonts w:ascii="Times New Roman" w:eastAsia="Times New Roman" w:hAnsi="Times New Roman" w:cs="Times New Roman"/>
          <w:color w:val="000000"/>
          <w:sz w:val="20"/>
          <w:szCs w:val="20"/>
        </w:rPr>
        <w:t xml:space="preserve"> (3 days post-stroke) and </w:t>
      </w:r>
      <w:r w:rsidR="00C8212D">
        <w:rPr>
          <w:rFonts w:ascii="Times New Roman" w:eastAsia="Times New Roman" w:hAnsi="Times New Roman" w:cs="Times New Roman"/>
          <w:color w:val="000000"/>
          <w:sz w:val="20"/>
          <w:szCs w:val="20"/>
        </w:rPr>
        <w:t>longer-term experiment</w:t>
      </w:r>
      <w:r w:rsidRPr="009D2A42">
        <w:rPr>
          <w:rFonts w:ascii="Times New Roman" w:eastAsia="Times New Roman" w:hAnsi="Times New Roman" w:cs="Times New Roman"/>
          <w:color w:val="000000"/>
          <w:sz w:val="20"/>
          <w:szCs w:val="20"/>
        </w:rPr>
        <w:t xml:space="preserve"> (14 days post-stroke) or by terminal rising CO</w:t>
      </w:r>
      <w:r w:rsidRPr="009D2A42">
        <w:rPr>
          <w:rFonts w:ascii="Times New Roman" w:eastAsia="Times New Roman" w:hAnsi="Times New Roman" w:cs="Times New Roman"/>
          <w:color w:val="000000"/>
          <w:sz w:val="20"/>
          <w:szCs w:val="20"/>
          <w:vertAlign w:val="subscript"/>
        </w:rPr>
        <w:t>2</w:t>
      </w:r>
      <w:r w:rsidRPr="009D2A42">
        <w:rPr>
          <w:rFonts w:ascii="Times New Roman" w:eastAsia="Times New Roman" w:hAnsi="Times New Roman" w:cs="Times New Roman"/>
          <w:color w:val="000000"/>
          <w:sz w:val="20"/>
          <w:szCs w:val="20"/>
        </w:rPr>
        <w:t xml:space="preserve"> concentrations for animals allocated for blood flow and biodistribution (5.5 h post-stroke) studies. Tissue processing and </w:t>
      </w:r>
      <w:proofErr w:type="spellStart"/>
      <w:r w:rsidRPr="009D2A42">
        <w:rPr>
          <w:rFonts w:ascii="Times New Roman" w:eastAsia="Times New Roman" w:hAnsi="Times New Roman" w:cs="Times New Roman"/>
          <w:color w:val="000000"/>
          <w:sz w:val="20"/>
          <w:szCs w:val="20"/>
        </w:rPr>
        <w:t>cresyl</w:t>
      </w:r>
      <w:proofErr w:type="spellEnd"/>
      <w:r w:rsidRPr="009D2A42">
        <w:rPr>
          <w:rFonts w:ascii="Times New Roman" w:eastAsia="Times New Roman" w:hAnsi="Times New Roman" w:cs="Times New Roman"/>
          <w:color w:val="000000"/>
          <w:sz w:val="20"/>
          <w:szCs w:val="20"/>
        </w:rPr>
        <w:t xml:space="preserve"> violet staining was performed to measure lesion volume, as previously described </w:t>
      </w:r>
      <w:r w:rsidRPr="009D2A42">
        <w:rPr>
          <w:rFonts w:ascii="Times New Roman" w:eastAsia="Times New Roman" w:hAnsi="Times New Roman" w:cs="Times New Roman"/>
          <w:color w:val="000000"/>
          <w:sz w:val="20"/>
          <w:szCs w:val="20"/>
          <w:vertAlign w:val="superscript"/>
        </w:rPr>
        <w:t>5</w:t>
      </w:r>
      <w:r w:rsidRPr="009D2A42">
        <w:rPr>
          <w:rFonts w:ascii="Times New Roman" w:eastAsia="Times New Roman" w:hAnsi="Times New Roman" w:cs="Times New Roman"/>
          <w:color w:val="000000"/>
          <w:sz w:val="20"/>
          <w:szCs w:val="20"/>
        </w:rPr>
        <w:t xml:space="preserve">. For each brain, infarct volumes were measured on deﬁned coronal sections (using image J), spaced at approximately 360µm apart. Each deﬁned coronal section, with its brain co-ordinates and lesion was integrated to estimate total lesion volume for each brain and corrected for oedema. MSCs were identified and counted by </w:t>
      </w:r>
      <w:proofErr w:type="spellStart"/>
      <w:r w:rsidRPr="009D2A42">
        <w:rPr>
          <w:rFonts w:ascii="Times New Roman" w:eastAsia="Times New Roman" w:hAnsi="Times New Roman" w:cs="Times New Roman"/>
          <w:color w:val="000000"/>
          <w:sz w:val="20"/>
          <w:szCs w:val="20"/>
        </w:rPr>
        <w:t>colocalising</w:t>
      </w:r>
      <w:proofErr w:type="spellEnd"/>
      <w:r w:rsidRPr="009D2A42">
        <w:rPr>
          <w:rFonts w:ascii="Times New Roman" w:eastAsia="Times New Roman" w:hAnsi="Times New Roman" w:cs="Times New Roman"/>
          <w:color w:val="000000"/>
          <w:sz w:val="20"/>
          <w:szCs w:val="20"/>
        </w:rPr>
        <w:t xml:space="preserve"> DAPI and </w:t>
      </w:r>
      <w:proofErr w:type="spellStart"/>
      <w:r w:rsidRPr="009D2A42">
        <w:rPr>
          <w:rFonts w:ascii="Times New Roman" w:eastAsia="Times New Roman" w:hAnsi="Times New Roman" w:cs="Times New Roman"/>
          <w:color w:val="000000"/>
          <w:sz w:val="20"/>
          <w:szCs w:val="20"/>
        </w:rPr>
        <w:t>CellTracker</w:t>
      </w:r>
      <w:r w:rsidRPr="009D2A42">
        <w:rPr>
          <w:rFonts w:ascii="Times New Roman" w:eastAsia="Times New Roman" w:hAnsi="Times New Roman" w:cs="Times New Roman"/>
          <w:color w:val="000000"/>
          <w:sz w:val="20"/>
          <w:szCs w:val="20"/>
          <w:vertAlign w:val="superscript"/>
        </w:rPr>
        <w:t>TM</w:t>
      </w:r>
      <w:proofErr w:type="spellEnd"/>
      <w:r w:rsidRPr="009D2A42">
        <w:rPr>
          <w:rFonts w:ascii="Times New Roman" w:eastAsia="Times New Roman" w:hAnsi="Times New Roman" w:cs="Times New Roman"/>
          <w:color w:val="000000"/>
          <w:sz w:val="20"/>
          <w:szCs w:val="20"/>
        </w:rPr>
        <w:t xml:space="preserve"> Deep Red positively stained cells across sections by </w:t>
      </w:r>
      <w:proofErr w:type="spellStart"/>
      <w:r w:rsidRPr="009D2A42">
        <w:rPr>
          <w:rFonts w:ascii="Times New Roman" w:eastAsia="Times New Roman" w:hAnsi="Times New Roman" w:cs="Times New Roman"/>
          <w:color w:val="000000"/>
          <w:sz w:val="20"/>
          <w:szCs w:val="20"/>
        </w:rPr>
        <w:t>QuPath</w:t>
      </w:r>
      <w:proofErr w:type="spellEnd"/>
      <w:r w:rsidRPr="009D2A42">
        <w:rPr>
          <w:rFonts w:ascii="Times New Roman" w:eastAsia="Times New Roman" w:hAnsi="Times New Roman" w:cs="Times New Roman"/>
          <w:color w:val="000000"/>
          <w:sz w:val="20"/>
          <w:szCs w:val="20"/>
        </w:rPr>
        <w:t xml:space="preserve"> 0.3.2.</w:t>
      </w:r>
    </w:p>
    <w:p w14:paraId="5D0179E1" w14:textId="77777777" w:rsidR="00BE6211" w:rsidRPr="009D2A42" w:rsidRDefault="00BE6211" w:rsidP="00BE6211">
      <w:pPr>
        <w:pBdr>
          <w:top w:val="nil"/>
          <w:left w:val="nil"/>
          <w:bottom w:val="nil"/>
          <w:right w:val="nil"/>
          <w:between w:val="nil"/>
        </w:pBdr>
        <w:spacing w:before="280" w:after="280" w:line="480" w:lineRule="auto"/>
        <w:jc w:val="both"/>
        <w:rPr>
          <w:rFonts w:ascii="Times New Roman" w:eastAsia="Times New Roman" w:hAnsi="Times New Roman" w:cs="Times New Roman"/>
          <w:b/>
          <w:color w:val="000000"/>
          <w:sz w:val="20"/>
          <w:szCs w:val="20"/>
        </w:rPr>
      </w:pPr>
    </w:p>
    <w:p w14:paraId="73A770A0" w14:textId="77777777" w:rsidR="003766CB" w:rsidRDefault="003766CB" w:rsidP="00BE6211">
      <w:pPr>
        <w:pBdr>
          <w:top w:val="nil"/>
          <w:left w:val="nil"/>
          <w:bottom w:val="nil"/>
          <w:right w:val="nil"/>
          <w:between w:val="nil"/>
        </w:pBdr>
        <w:spacing w:before="280" w:after="280" w:line="480" w:lineRule="auto"/>
        <w:jc w:val="both"/>
        <w:rPr>
          <w:rFonts w:ascii="Times New Roman" w:eastAsia="Times New Roman" w:hAnsi="Times New Roman" w:cs="Times New Roman"/>
          <w:b/>
          <w:color w:val="000000"/>
          <w:sz w:val="20"/>
          <w:szCs w:val="20"/>
        </w:rPr>
      </w:pPr>
    </w:p>
    <w:p w14:paraId="6942969E" w14:textId="77777777" w:rsidR="00FE49D1" w:rsidRPr="00FE49D1" w:rsidRDefault="00FE49D1" w:rsidP="00CD0351">
      <w:pPr>
        <w:pBdr>
          <w:top w:val="nil"/>
          <w:left w:val="nil"/>
          <w:bottom w:val="nil"/>
          <w:right w:val="nil"/>
          <w:between w:val="nil"/>
        </w:pBdr>
        <w:spacing w:before="280" w:after="280" w:line="480" w:lineRule="auto"/>
        <w:jc w:val="both"/>
        <w:rPr>
          <w:rFonts w:ascii="Times New Roman" w:eastAsia="Times New Roman" w:hAnsi="Times New Roman" w:cs="Times New Roman"/>
          <w:b/>
          <w:bCs/>
          <w:color w:val="000000"/>
          <w:sz w:val="20"/>
          <w:szCs w:val="20"/>
        </w:rPr>
      </w:pPr>
      <w:proofErr w:type="spellStart"/>
      <w:r w:rsidRPr="00FE49D1">
        <w:rPr>
          <w:rFonts w:ascii="Times New Roman" w:eastAsia="Times New Roman" w:hAnsi="Times New Roman" w:cs="Times New Roman"/>
          <w:b/>
          <w:bCs/>
          <w:color w:val="000000"/>
          <w:sz w:val="20"/>
          <w:szCs w:val="20"/>
        </w:rPr>
        <w:t>Immunofluorrescence</w:t>
      </w:r>
      <w:proofErr w:type="spellEnd"/>
    </w:p>
    <w:p w14:paraId="177BC637" w14:textId="48F48FEF" w:rsidR="00F72E84" w:rsidRPr="00CD0351" w:rsidRDefault="00BE6211" w:rsidP="00CD0351">
      <w:pPr>
        <w:pBdr>
          <w:top w:val="nil"/>
          <w:left w:val="nil"/>
          <w:bottom w:val="nil"/>
          <w:right w:val="nil"/>
          <w:between w:val="nil"/>
        </w:pBdr>
        <w:spacing w:before="280" w:after="280" w:line="480" w:lineRule="auto"/>
        <w:jc w:val="both"/>
        <w:rPr>
          <w:rFonts w:ascii="Times New Roman" w:eastAsia="Times New Roman" w:hAnsi="Times New Roman" w:cs="Times New Roman"/>
          <w:b/>
          <w:color w:val="000000"/>
          <w:sz w:val="20"/>
          <w:szCs w:val="20"/>
        </w:rPr>
      </w:pPr>
      <w:r w:rsidRPr="009D2A42">
        <w:rPr>
          <w:rFonts w:ascii="Times New Roman" w:eastAsia="Times New Roman" w:hAnsi="Times New Roman" w:cs="Times New Roman"/>
          <w:color w:val="000000"/>
          <w:sz w:val="20"/>
          <w:szCs w:val="20"/>
        </w:rPr>
        <w:t xml:space="preserve">Immunofluorescence staining was performed by incubating brain sections with blocking buffer consisting of 5% normal donkey serum (Jackson laboratories, Bar </w:t>
      </w:r>
      <w:proofErr w:type="spellStart"/>
      <w:r w:rsidRPr="009D2A42">
        <w:rPr>
          <w:rFonts w:ascii="Times New Roman" w:eastAsia="Times New Roman" w:hAnsi="Times New Roman" w:cs="Times New Roman"/>
          <w:color w:val="000000"/>
          <w:sz w:val="20"/>
          <w:szCs w:val="20"/>
        </w:rPr>
        <w:t>Harbor</w:t>
      </w:r>
      <w:proofErr w:type="spellEnd"/>
      <w:r w:rsidRPr="009D2A42">
        <w:rPr>
          <w:rFonts w:ascii="Times New Roman" w:eastAsia="Times New Roman" w:hAnsi="Times New Roman" w:cs="Times New Roman"/>
          <w:color w:val="000000"/>
          <w:sz w:val="20"/>
          <w:szCs w:val="20"/>
        </w:rPr>
        <w:t xml:space="preserve">, ME, USA), 1% bovine serum albumin (BSA), 0.1% Triton X-100, 0.05% Tween 20 (Sigma-Aldrich), 0.2 M Glycine (Fisher Scientific) in PBS for 1 h. Blocking buffer was then removed and brain sections were incubated with </w:t>
      </w:r>
      <w:r w:rsidRPr="009D2A42">
        <w:rPr>
          <w:rFonts w:ascii="Times New Roman" w:eastAsia="Times New Roman" w:hAnsi="Times New Roman" w:cs="Times New Roman"/>
          <w:color w:val="222222"/>
          <w:sz w:val="20"/>
          <w:szCs w:val="20"/>
        </w:rPr>
        <w:t>goat anti-CD31 (1:200, R&amp;D Systems, #AF3628)</w:t>
      </w:r>
      <w:r w:rsidRPr="009D2A42">
        <w:rPr>
          <w:rFonts w:ascii="Times New Roman" w:eastAsia="Times New Roman" w:hAnsi="Times New Roman" w:cs="Times New Roman"/>
          <w:color w:val="000000"/>
          <w:sz w:val="20"/>
          <w:szCs w:val="20"/>
        </w:rPr>
        <w:t xml:space="preserve"> primary antibody, diluted in primary antibody buffer (1% BSA, 0.3% Triton X-100 in PBS) at 4 °C overnight. . Sections were washed in 0.1% Tween in PBS, and incubated with goat derived Alexa-Fluor 594 (1:500, </w:t>
      </w:r>
      <w:proofErr w:type="spellStart"/>
      <w:r w:rsidRPr="009D2A42">
        <w:rPr>
          <w:rFonts w:ascii="Times New Roman" w:eastAsia="Times New Roman" w:hAnsi="Times New Roman" w:cs="Times New Roman"/>
          <w:color w:val="000000"/>
          <w:sz w:val="20"/>
          <w:szCs w:val="20"/>
        </w:rPr>
        <w:t>ThermoFisher</w:t>
      </w:r>
      <w:proofErr w:type="spellEnd"/>
      <w:r w:rsidRPr="009D2A42">
        <w:rPr>
          <w:rFonts w:ascii="Times New Roman" w:eastAsia="Times New Roman" w:hAnsi="Times New Roman" w:cs="Times New Roman"/>
          <w:color w:val="000000"/>
          <w:sz w:val="20"/>
          <w:szCs w:val="20"/>
        </w:rPr>
        <w:t>, UK) secondary antibody diluted in 0.05% tween in PBS. After 2 h incubation, the secondary antibody was removed, and sections were then incubated with DAPI solution for 5 minutes prior to washing with 0.1% Tween in PBS, mounted on glass slides and left to dry in the dark, before being cover slipped with mounting medium (</w:t>
      </w:r>
      <w:proofErr w:type="spellStart"/>
      <w:r w:rsidRPr="009D2A42">
        <w:rPr>
          <w:rFonts w:ascii="Times New Roman" w:eastAsia="Times New Roman" w:hAnsi="Times New Roman" w:cs="Times New Roman"/>
          <w:color w:val="000000"/>
          <w:sz w:val="20"/>
          <w:szCs w:val="20"/>
        </w:rPr>
        <w:t>ProLong</w:t>
      </w:r>
      <w:proofErr w:type="spellEnd"/>
      <w:r w:rsidRPr="009D2A42">
        <w:rPr>
          <w:rFonts w:ascii="Times New Roman" w:eastAsia="Times New Roman" w:hAnsi="Times New Roman" w:cs="Times New Roman"/>
          <w:color w:val="000000"/>
          <w:sz w:val="20"/>
          <w:szCs w:val="20"/>
        </w:rPr>
        <w:t xml:space="preserve"> Gold without DAPI , </w:t>
      </w:r>
      <w:proofErr w:type="spellStart"/>
      <w:r w:rsidRPr="009D2A42">
        <w:rPr>
          <w:rFonts w:ascii="Times New Roman" w:eastAsia="Times New Roman" w:hAnsi="Times New Roman" w:cs="Times New Roman"/>
          <w:color w:val="000000"/>
          <w:sz w:val="20"/>
          <w:szCs w:val="20"/>
        </w:rPr>
        <w:t>ThermoFisher</w:t>
      </w:r>
      <w:proofErr w:type="spellEnd"/>
      <w:r w:rsidRPr="009D2A42">
        <w:rPr>
          <w:rFonts w:ascii="Times New Roman" w:eastAsia="Times New Roman" w:hAnsi="Times New Roman" w:cs="Times New Roman"/>
          <w:color w:val="000000"/>
          <w:sz w:val="20"/>
          <w:szCs w:val="20"/>
        </w:rPr>
        <w:t>, UK).</w:t>
      </w:r>
    </w:p>
    <w:p w14:paraId="685757CD" w14:textId="77777777" w:rsidR="00FE49D1" w:rsidRDefault="00FE49D1" w:rsidP="00A73C54">
      <w:pPr>
        <w:pStyle w:val="LO-normal"/>
        <w:spacing w:after="0" w:line="480" w:lineRule="auto"/>
        <w:rPr>
          <w:rFonts w:ascii="Times New Roman" w:eastAsia="Times New Roman" w:hAnsi="Times New Roman" w:cs="Times New Roman"/>
          <w:b/>
          <w:sz w:val="20"/>
          <w:szCs w:val="20"/>
        </w:rPr>
      </w:pPr>
    </w:p>
    <w:p w14:paraId="026FFAF5" w14:textId="24BFACDD" w:rsidR="00F72E84" w:rsidRPr="009D2A42" w:rsidRDefault="00F72E84" w:rsidP="00A73C54">
      <w:pPr>
        <w:pStyle w:val="LO-normal"/>
        <w:spacing w:after="0" w:line="480" w:lineRule="auto"/>
        <w:rPr>
          <w:rFonts w:ascii="Times New Roman" w:hAnsi="Times New Roman" w:cs="Times New Roman"/>
          <w:sz w:val="20"/>
          <w:szCs w:val="20"/>
        </w:rPr>
      </w:pPr>
      <w:r w:rsidRPr="009D2A42">
        <w:rPr>
          <w:rFonts w:ascii="Times New Roman" w:eastAsia="Times New Roman" w:hAnsi="Times New Roman" w:cs="Times New Roman"/>
          <w:b/>
          <w:sz w:val="20"/>
          <w:szCs w:val="20"/>
        </w:rPr>
        <w:t>Statistical Analysis</w:t>
      </w:r>
    </w:p>
    <w:p w14:paraId="6D34ACB6" w14:textId="6560BFE0" w:rsidR="00047E86" w:rsidRPr="009D2A42" w:rsidRDefault="00F72E84" w:rsidP="00A73C54">
      <w:pPr>
        <w:pStyle w:val="LO-normal"/>
        <w:spacing w:after="0" w:line="480" w:lineRule="auto"/>
        <w:jc w:val="both"/>
        <w:rPr>
          <w:rFonts w:ascii="Times New Roman" w:hAnsi="Times New Roman" w:cs="Times New Roman"/>
          <w:sz w:val="20"/>
          <w:szCs w:val="20"/>
        </w:rPr>
      </w:pPr>
      <w:r w:rsidRPr="009D2A42">
        <w:rPr>
          <w:rFonts w:ascii="Times New Roman" w:eastAsia="Times New Roman" w:hAnsi="Times New Roman" w:cs="Times New Roman"/>
          <w:sz w:val="20"/>
          <w:szCs w:val="20"/>
        </w:rPr>
        <w:t xml:space="preserve">Sample size for experiments was determined by a priori power calculation using G*Power 3.1.9.4 with mean differences and standard deviations based on pilot studies and previous experiments on lesion volume as the primary outcome (power 80%, α 0.05). Data were assessed for normal distribution using the Shapiro-Wilk test </w:t>
      </w:r>
      <w:r w:rsidR="00A105FF" w:rsidRPr="009D2A42">
        <w:rPr>
          <w:rFonts w:ascii="Times New Roman" w:eastAsia="Times New Roman" w:hAnsi="Times New Roman" w:cs="Times New Roman"/>
          <w:sz w:val="20"/>
          <w:szCs w:val="20"/>
        </w:rPr>
        <w:t>to</w:t>
      </w:r>
      <w:r w:rsidRPr="009D2A42">
        <w:rPr>
          <w:rFonts w:ascii="Times New Roman" w:eastAsia="Times New Roman" w:hAnsi="Times New Roman" w:cs="Times New Roman"/>
          <w:sz w:val="20"/>
          <w:szCs w:val="20"/>
        </w:rPr>
        <w:t xml:space="preserve"> determine parametric or non-parametric analysis. Analysis of non-repeated data was by one-way ANOVA followed by post-hoc Tukey multiple comparisons for parametric (lesion volumes and burrowing at day 3 end point) and Kruskal-Wallis test combined with Dunn’s multiple comparisons for non-parametric data (neurological score at day 3 end point). Repeated parametric data was analysed by linear mixed model (burrowing and weights), whil</w:t>
      </w:r>
      <w:r w:rsidR="008078B2" w:rsidRPr="009D2A42">
        <w:rPr>
          <w:rFonts w:ascii="Times New Roman" w:eastAsia="Times New Roman" w:hAnsi="Times New Roman" w:cs="Times New Roman"/>
          <w:sz w:val="20"/>
          <w:szCs w:val="20"/>
        </w:rPr>
        <w:t>st</w:t>
      </w:r>
      <w:r w:rsidRPr="009D2A42">
        <w:rPr>
          <w:rFonts w:ascii="Times New Roman" w:eastAsia="Times New Roman" w:hAnsi="Times New Roman" w:cs="Times New Roman"/>
          <w:sz w:val="20"/>
          <w:szCs w:val="20"/>
        </w:rPr>
        <w:t xml:space="preserve"> repeated nonparametric </w:t>
      </w:r>
      <w:r w:rsidR="0075240D" w:rsidRPr="009D2A42">
        <w:rPr>
          <w:rFonts w:ascii="Times New Roman" w:eastAsia="Times New Roman" w:hAnsi="Times New Roman" w:cs="Times New Roman"/>
          <w:sz w:val="20"/>
          <w:szCs w:val="20"/>
        </w:rPr>
        <w:t xml:space="preserve">data </w:t>
      </w:r>
      <w:r w:rsidRPr="009D2A42">
        <w:rPr>
          <w:rFonts w:ascii="Times New Roman" w:eastAsia="Times New Roman" w:hAnsi="Times New Roman" w:cs="Times New Roman"/>
          <w:sz w:val="20"/>
          <w:szCs w:val="20"/>
        </w:rPr>
        <w:t xml:space="preserve">was </w:t>
      </w:r>
      <w:r w:rsidR="0075240D" w:rsidRPr="009D2A42">
        <w:rPr>
          <w:rFonts w:ascii="Times New Roman" w:eastAsia="Times New Roman" w:hAnsi="Times New Roman" w:cs="Times New Roman"/>
          <w:sz w:val="20"/>
          <w:szCs w:val="20"/>
        </w:rPr>
        <w:t xml:space="preserve">analysed </w:t>
      </w:r>
      <w:r w:rsidRPr="009D2A42">
        <w:rPr>
          <w:rFonts w:ascii="Times New Roman" w:eastAsia="Times New Roman" w:hAnsi="Times New Roman" w:cs="Times New Roman"/>
          <w:sz w:val="20"/>
          <w:szCs w:val="20"/>
        </w:rPr>
        <w:t xml:space="preserve">by logistical linear regression (neurological scores, nest building and cylinder test) (SPSS version 25.0, IBM Corp). </w:t>
      </w:r>
    </w:p>
    <w:p w14:paraId="574A6D65" w14:textId="77777777" w:rsidR="00144D6D" w:rsidRPr="009D2A42" w:rsidRDefault="00144D6D">
      <w:pPr>
        <w:rPr>
          <w:rFonts w:ascii="Times New Roman" w:hAnsi="Times New Roman" w:cs="Times New Roman"/>
          <w:sz w:val="20"/>
          <w:szCs w:val="20"/>
        </w:rPr>
      </w:pPr>
    </w:p>
    <w:p w14:paraId="6E1A4BDB" w14:textId="6D5632C1" w:rsidR="00144D6D" w:rsidRPr="009D2A42" w:rsidRDefault="00415372">
      <w:pPr>
        <w:rPr>
          <w:rFonts w:ascii="Times New Roman" w:hAnsi="Times New Roman" w:cs="Times New Roman"/>
          <w:b/>
          <w:sz w:val="20"/>
          <w:szCs w:val="20"/>
        </w:rPr>
      </w:pPr>
      <w:r w:rsidRPr="009D2A42">
        <w:rPr>
          <w:rFonts w:ascii="Times New Roman" w:hAnsi="Times New Roman" w:cs="Times New Roman"/>
          <w:b/>
          <w:sz w:val="20"/>
          <w:szCs w:val="20"/>
        </w:rPr>
        <w:t>References</w:t>
      </w:r>
    </w:p>
    <w:p w14:paraId="7681C462" w14:textId="77777777" w:rsidR="00415372" w:rsidRPr="009D2A42" w:rsidRDefault="00144D6D" w:rsidP="00C904C4">
      <w:pPr>
        <w:pStyle w:val="EndNoteBibliography"/>
        <w:spacing w:after="0" w:line="360" w:lineRule="auto"/>
        <w:ind w:left="720" w:hanging="720"/>
        <w:rPr>
          <w:rFonts w:ascii="Times New Roman" w:hAnsi="Times New Roman" w:cs="Times New Roman"/>
          <w:sz w:val="20"/>
          <w:szCs w:val="20"/>
        </w:rPr>
      </w:pPr>
      <w:r w:rsidRPr="009D2A42">
        <w:rPr>
          <w:rFonts w:ascii="Times New Roman" w:hAnsi="Times New Roman" w:cs="Times New Roman"/>
          <w:sz w:val="20"/>
          <w:szCs w:val="20"/>
        </w:rPr>
        <w:fldChar w:fldCharType="begin"/>
      </w:r>
      <w:r w:rsidRPr="009D2A42">
        <w:rPr>
          <w:rFonts w:ascii="Times New Roman" w:hAnsi="Times New Roman" w:cs="Times New Roman"/>
          <w:sz w:val="20"/>
          <w:szCs w:val="20"/>
        </w:rPr>
        <w:instrText xml:space="preserve"> ADDIN EN.REFLIST </w:instrText>
      </w:r>
      <w:r w:rsidRPr="009D2A42">
        <w:rPr>
          <w:rFonts w:ascii="Times New Roman" w:hAnsi="Times New Roman" w:cs="Times New Roman"/>
          <w:sz w:val="20"/>
          <w:szCs w:val="20"/>
        </w:rPr>
        <w:fldChar w:fldCharType="separate"/>
      </w:r>
      <w:r w:rsidR="00415372" w:rsidRPr="009D2A42">
        <w:rPr>
          <w:rFonts w:ascii="Times New Roman" w:hAnsi="Times New Roman" w:cs="Times New Roman"/>
          <w:sz w:val="20"/>
          <w:szCs w:val="20"/>
        </w:rPr>
        <w:t>1.</w:t>
      </w:r>
      <w:r w:rsidR="00415372" w:rsidRPr="009D2A42">
        <w:rPr>
          <w:rFonts w:ascii="Times New Roman" w:hAnsi="Times New Roman" w:cs="Times New Roman"/>
          <w:sz w:val="20"/>
          <w:szCs w:val="20"/>
        </w:rPr>
        <w:tab/>
        <w:t xml:space="preserve">Clark W, Gunion-Rinker L, Lessov N, Hazel K. Citicoline treatment for experimental intracerebral hemorrhage in mice. </w:t>
      </w:r>
      <w:r w:rsidR="00415372" w:rsidRPr="009D2A42">
        <w:rPr>
          <w:rFonts w:ascii="Times New Roman" w:hAnsi="Times New Roman" w:cs="Times New Roman"/>
          <w:i/>
          <w:sz w:val="20"/>
          <w:szCs w:val="20"/>
        </w:rPr>
        <w:t>Stroke</w:t>
      </w:r>
      <w:r w:rsidR="00415372" w:rsidRPr="009D2A42">
        <w:rPr>
          <w:rFonts w:ascii="Times New Roman" w:hAnsi="Times New Roman" w:cs="Times New Roman"/>
          <w:sz w:val="20"/>
          <w:szCs w:val="20"/>
        </w:rPr>
        <w:t>. 1998;29:2136-2140</w:t>
      </w:r>
    </w:p>
    <w:p w14:paraId="603A19BF" w14:textId="77777777" w:rsidR="00415372" w:rsidRPr="009D2A42" w:rsidRDefault="00415372" w:rsidP="00C904C4">
      <w:pPr>
        <w:pStyle w:val="EndNoteBibliography"/>
        <w:spacing w:after="0" w:line="360" w:lineRule="auto"/>
        <w:ind w:left="720" w:hanging="720"/>
        <w:rPr>
          <w:rFonts w:ascii="Times New Roman" w:hAnsi="Times New Roman" w:cs="Times New Roman"/>
          <w:sz w:val="20"/>
          <w:szCs w:val="20"/>
        </w:rPr>
      </w:pPr>
      <w:r w:rsidRPr="009D2A42">
        <w:rPr>
          <w:rFonts w:ascii="Times New Roman" w:hAnsi="Times New Roman" w:cs="Times New Roman"/>
          <w:sz w:val="20"/>
          <w:szCs w:val="20"/>
        </w:rPr>
        <w:t>2.</w:t>
      </w:r>
      <w:r w:rsidRPr="009D2A42">
        <w:rPr>
          <w:rFonts w:ascii="Times New Roman" w:hAnsi="Times New Roman" w:cs="Times New Roman"/>
          <w:sz w:val="20"/>
          <w:szCs w:val="20"/>
        </w:rPr>
        <w:tab/>
        <w:t xml:space="preserve">Roome RB, Vanderluit JL. Paw-dragging: A novel, sensitive analysis of the mouse cylinder test. </w:t>
      </w:r>
      <w:r w:rsidRPr="009D2A42">
        <w:rPr>
          <w:rFonts w:ascii="Times New Roman" w:hAnsi="Times New Roman" w:cs="Times New Roman"/>
          <w:i/>
          <w:sz w:val="20"/>
          <w:szCs w:val="20"/>
        </w:rPr>
        <w:t>Journal of visualized experiments : JoVE</w:t>
      </w:r>
      <w:r w:rsidRPr="009D2A42">
        <w:rPr>
          <w:rFonts w:ascii="Times New Roman" w:hAnsi="Times New Roman" w:cs="Times New Roman"/>
          <w:sz w:val="20"/>
          <w:szCs w:val="20"/>
        </w:rPr>
        <w:t>. 2015:e52701</w:t>
      </w:r>
    </w:p>
    <w:p w14:paraId="4EF91028" w14:textId="77777777" w:rsidR="00415372" w:rsidRPr="009D2A42" w:rsidRDefault="00415372" w:rsidP="00C904C4">
      <w:pPr>
        <w:pStyle w:val="EndNoteBibliography"/>
        <w:spacing w:after="0" w:line="360" w:lineRule="auto"/>
        <w:ind w:left="720" w:hanging="720"/>
        <w:rPr>
          <w:rFonts w:ascii="Times New Roman" w:hAnsi="Times New Roman" w:cs="Times New Roman"/>
          <w:sz w:val="20"/>
          <w:szCs w:val="20"/>
        </w:rPr>
      </w:pPr>
      <w:r w:rsidRPr="009D2A42">
        <w:rPr>
          <w:rFonts w:ascii="Times New Roman" w:hAnsi="Times New Roman" w:cs="Times New Roman"/>
          <w:sz w:val="20"/>
          <w:szCs w:val="20"/>
        </w:rPr>
        <w:t>3.</w:t>
      </w:r>
      <w:r w:rsidRPr="009D2A42">
        <w:rPr>
          <w:rFonts w:ascii="Times New Roman" w:hAnsi="Times New Roman" w:cs="Times New Roman"/>
          <w:sz w:val="20"/>
          <w:szCs w:val="20"/>
        </w:rPr>
        <w:tab/>
      </w:r>
      <w:bookmarkStart w:id="1" w:name="OLE_LINK1"/>
      <w:r w:rsidRPr="009D2A42">
        <w:rPr>
          <w:rFonts w:ascii="Times New Roman" w:hAnsi="Times New Roman" w:cs="Times New Roman"/>
          <w:sz w:val="20"/>
          <w:szCs w:val="20"/>
        </w:rPr>
        <w:t xml:space="preserve">Li X, Blizzard KK, Zeng Z, DeVries AC, Hurn PD, McCullough LD. Chronic behavioral testing after focal ischemia in the mouse: Functional recovery and the effects of gender. </w:t>
      </w:r>
      <w:bookmarkEnd w:id="1"/>
      <w:r w:rsidRPr="009D2A42">
        <w:rPr>
          <w:rFonts w:ascii="Times New Roman" w:hAnsi="Times New Roman" w:cs="Times New Roman"/>
          <w:i/>
          <w:sz w:val="20"/>
          <w:szCs w:val="20"/>
        </w:rPr>
        <w:t>Experimental neurology</w:t>
      </w:r>
      <w:r w:rsidRPr="009D2A42">
        <w:rPr>
          <w:rFonts w:ascii="Times New Roman" w:hAnsi="Times New Roman" w:cs="Times New Roman"/>
          <w:sz w:val="20"/>
          <w:szCs w:val="20"/>
        </w:rPr>
        <w:t>. 2004;187:94-104</w:t>
      </w:r>
    </w:p>
    <w:p w14:paraId="12B3EFE8" w14:textId="77777777" w:rsidR="00415372" w:rsidRPr="009D2A42" w:rsidRDefault="00415372" w:rsidP="00C904C4">
      <w:pPr>
        <w:pStyle w:val="EndNoteBibliography"/>
        <w:spacing w:after="0" w:line="360" w:lineRule="auto"/>
        <w:ind w:left="720" w:hanging="720"/>
        <w:rPr>
          <w:rFonts w:ascii="Times New Roman" w:hAnsi="Times New Roman" w:cs="Times New Roman"/>
          <w:sz w:val="20"/>
          <w:szCs w:val="20"/>
        </w:rPr>
      </w:pPr>
      <w:r w:rsidRPr="009D2A42">
        <w:rPr>
          <w:rFonts w:ascii="Times New Roman" w:hAnsi="Times New Roman" w:cs="Times New Roman"/>
          <w:sz w:val="20"/>
          <w:szCs w:val="20"/>
        </w:rPr>
        <w:t>4.</w:t>
      </w:r>
      <w:r w:rsidRPr="009D2A42">
        <w:rPr>
          <w:rFonts w:ascii="Times New Roman" w:hAnsi="Times New Roman" w:cs="Times New Roman"/>
          <w:sz w:val="20"/>
          <w:szCs w:val="20"/>
        </w:rPr>
        <w:tab/>
        <w:t xml:space="preserve">Deacon R. Assessing burrowing, nest construction, and hoarding in mice. </w:t>
      </w:r>
      <w:r w:rsidRPr="009D2A42">
        <w:rPr>
          <w:rFonts w:ascii="Times New Roman" w:hAnsi="Times New Roman" w:cs="Times New Roman"/>
          <w:i/>
          <w:sz w:val="20"/>
          <w:szCs w:val="20"/>
        </w:rPr>
        <w:t>Journal of visualized experiments : JoVE</w:t>
      </w:r>
      <w:r w:rsidRPr="009D2A42">
        <w:rPr>
          <w:rFonts w:ascii="Times New Roman" w:hAnsi="Times New Roman" w:cs="Times New Roman"/>
          <w:sz w:val="20"/>
          <w:szCs w:val="20"/>
        </w:rPr>
        <w:t>. 2012:e2607</w:t>
      </w:r>
    </w:p>
    <w:p w14:paraId="0172027C" w14:textId="77777777" w:rsidR="00415372" w:rsidRPr="009D2A42" w:rsidRDefault="00415372" w:rsidP="00C904C4">
      <w:pPr>
        <w:pStyle w:val="EndNoteBibliography"/>
        <w:spacing w:line="360" w:lineRule="auto"/>
        <w:ind w:left="720" w:hanging="720"/>
        <w:rPr>
          <w:rFonts w:ascii="Times New Roman" w:hAnsi="Times New Roman" w:cs="Times New Roman"/>
          <w:sz w:val="20"/>
          <w:szCs w:val="20"/>
        </w:rPr>
      </w:pPr>
      <w:r w:rsidRPr="009D2A42">
        <w:rPr>
          <w:rFonts w:ascii="Times New Roman" w:hAnsi="Times New Roman" w:cs="Times New Roman"/>
          <w:sz w:val="20"/>
          <w:szCs w:val="20"/>
        </w:rPr>
        <w:t>5.</w:t>
      </w:r>
      <w:r w:rsidRPr="009D2A42">
        <w:rPr>
          <w:rFonts w:ascii="Times New Roman" w:hAnsi="Times New Roman" w:cs="Times New Roman"/>
          <w:sz w:val="20"/>
          <w:szCs w:val="20"/>
        </w:rPr>
        <w:tab/>
        <w:t xml:space="preserve">Wong R, Lenart N, Hill L, Toms L, Coutts G, Martinecz B, et al. Interleukin-1 mediates ischaemic brain injury via distinct actions on endothelial cells and cholinergic neurons. </w:t>
      </w:r>
      <w:r w:rsidRPr="009D2A42">
        <w:rPr>
          <w:rFonts w:ascii="Times New Roman" w:hAnsi="Times New Roman" w:cs="Times New Roman"/>
          <w:i/>
          <w:sz w:val="20"/>
          <w:szCs w:val="20"/>
        </w:rPr>
        <w:t>Brain Behav Immun</w:t>
      </w:r>
      <w:r w:rsidRPr="009D2A42">
        <w:rPr>
          <w:rFonts w:ascii="Times New Roman" w:hAnsi="Times New Roman" w:cs="Times New Roman"/>
          <w:sz w:val="20"/>
          <w:szCs w:val="20"/>
        </w:rPr>
        <w:t>. 2019;76:126-138</w:t>
      </w:r>
    </w:p>
    <w:p w14:paraId="3744EC0B" w14:textId="5FE57979" w:rsidR="00047E86" w:rsidRDefault="00144D6D" w:rsidP="00C904C4">
      <w:pPr>
        <w:spacing w:line="360" w:lineRule="auto"/>
      </w:pPr>
      <w:r w:rsidRPr="009D2A42">
        <w:rPr>
          <w:rFonts w:ascii="Times New Roman" w:hAnsi="Times New Roman" w:cs="Times New Roman"/>
          <w:sz w:val="20"/>
          <w:szCs w:val="20"/>
        </w:rPr>
        <w:fldChar w:fldCharType="end"/>
      </w:r>
    </w:p>
    <w:sectPr w:rsidR="00047E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Gungsuh">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trok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vxefzvhpzs9ue0fr45aea3tta0rxftvd2d&quot;&gt;Test EndNote Library&lt;record-ids&gt;&lt;item&gt;251&lt;/item&gt;&lt;item&gt;252&lt;/item&gt;&lt;item&gt;253&lt;/item&gt;&lt;item&gt;254&lt;/item&gt;&lt;item&gt;255&lt;/item&gt;&lt;/record-ids&gt;&lt;/item&gt;&lt;/Libraries&gt;"/>
  </w:docVars>
  <w:rsids>
    <w:rsidRoot w:val="00047E86"/>
    <w:rsid w:val="000047D5"/>
    <w:rsid w:val="000151EE"/>
    <w:rsid w:val="000477EE"/>
    <w:rsid w:val="00047E86"/>
    <w:rsid w:val="00092A58"/>
    <w:rsid w:val="000E357F"/>
    <w:rsid w:val="00144D6D"/>
    <w:rsid w:val="001D4EB5"/>
    <w:rsid w:val="001F3E3D"/>
    <w:rsid w:val="002069F8"/>
    <w:rsid w:val="00211425"/>
    <w:rsid w:val="00232119"/>
    <w:rsid w:val="002D2D30"/>
    <w:rsid w:val="00315F8A"/>
    <w:rsid w:val="00324017"/>
    <w:rsid w:val="003766CB"/>
    <w:rsid w:val="00415372"/>
    <w:rsid w:val="0052346A"/>
    <w:rsid w:val="005A46C9"/>
    <w:rsid w:val="006820FF"/>
    <w:rsid w:val="006D248F"/>
    <w:rsid w:val="0075240D"/>
    <w:rsid w:val="00784C02"/>
    <w:rsid w:val="007B68D4"/>
    <w:rsid w:val="007C1540"/>
    <w:rsid w:val="008078B2"/>
    <w:rsid w:val="00814AAD"/>
    <w:rsid w:val="00861335"/>
    <w:rsid w:val="00894B40"/>
    <w:rsid w:val="00936130"/>
    <w:rsid w:val="00981139"/>
    <w:rsid w:val="009976B1"/>
    <w:rsid w:val="009C0063"/>
    <w:rsid w:val="009D2A42"/>
    <w:rsid w:val="00A105FF"/>
    <w:rsid w:val="00A7120C"/>
    <w:rsid w:val="00A73C54"/>
    <w:rsid w:val="00BD5022"/>
    <w:rsid w:val="00BE3587"/>
    <w:rsid w:val="00BE6211"/>
    <w:rsid w:val="00C8212D"/>
    <w:rsid w:val="00C904C4"/>
    <w:rsid w:val="00CC799B"/>
    <w:rsid w:val="00CD0351"/>
    <w:rsid w:val="00D3416C"/>
    <w:rsid w:val="00D34BE1"/>
    <w:rsid w:val="00D57FD3"/>
    <w:rsid w:val="00D63118"/>
    <w:rsid w:val="00D70F3E"/>
    <w:rsid w:val="00D92058"/>
    <w:rsid w:val="00EB28AC"/>
    <w:rsid w:val="00F17761"/>
    <w:rsid w:val="00F72E84"/>
    <w:rsid w:val="00FB0AAC"/>
    <w:rsid w:val="00FC463B"/>
    <w:rsid w:val="00FE49D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0D858"/>
  <w15:chartTrackingRefBased/>
  <w15:docId w15:val="{45C444A5-92D7-4D8E-B23F-207C2C4B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7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E86"/>
    <w:rPr>
      <w:rFonts w:ascii="Segoe UI" w:hAnsi="Segoe UI" w:cs="Segoe UI"/>
      <w:sz w:val="18"/>
      <w:szCs w:val="18"/>
    </w:rPr>
  </w:style>
  <w:style w:type="paragraph" w:customStyle="1" w:styleId="LO-normal">
    <w:name w:val="LO-normal"/>
    <w:link w:val="LO-normalChar"/>
    <w:qFormat/>
    <w:rsid w:val="00047E86"/>
    <w:pPr>
      <w:spacing w:after="200" w:line="276" w:lineRule="auto"/>
    </w:pPr>
    <w:rPr>
      <w:rFonts w:ascii="Calibri" w:eastAsia="Calibri" w:hAnsi="Calibri" w:cs="Calibri"/>
      <w:lang w:eastAsia="zh-CN" w:bidi="hi-IN"/>
    </w:rPr>
  </w:style>
  <w:style w:type="paragraph" w:styleId="CommentText">
    <w:name w:val="annotation text"/>
    <w:basedOn w:val="Normal"/>
    <w:link w:val="CommentTextChar"/>
    <w:uiPriority w:val="99"/>
    <w:semiHidden/>
    <w:unhideWhenUsed/>
    <w:qFormat/>
    <w:pPr>
      <w:spacing w:line="240" w:lineRule="auto"/>
    </w:pPr>
    <w:rPr>
      <w:sz w:val="20"/>
      <w:szCs w:val="20"/>
    </w:rPr>
  </w:style>
  <w:style w:type="character" w:customStyle="1" w:styleId="CommentTextChar">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paragraph" w:customStyle="1" w:styleId="EndNoteBibliographyTitle">
    <w:name w:val="EndNote Bibliography Title"/>
    <w:basedOn w:val="Normal"/>
    <w:link w:val="EndNoteBibliographyTitleChar"/>
    <w:rsid w:val="00144D6D"/>
    <w:pPr>
      <w:spacing w:after="0"/>
      <w:jc w:val="center"/>
    </w:pPr>
    <w:rPr>
      <w:rFonts w:ascii="Calibri" w:hAnsi="Calibri" w:cs="Calibri"/>
      <w:noProof/>
      <w:lang w:val="en-US"/>
    </w:rPr>
  </w:style>
  <w:style w:type="character" w:customStyle="1" w:styleId="LO-normalChar">
    <w:name w:val="LO-normal Char"/>
    <w:basedOn w:val="DefaultParagraphFont"/>
    <w:link w:val="LO-normal"/>
    <w:rsid w:val="00144D6D"/>
    <w:rPr>
      <w:rFonts w:ascii="Calibri" w:eastAsia="Calibri" w:hAnsi="Calibri" w:cs="Calibri"/>
      <w:lang w:eastAsia="zh-CN" w:bidi="hi-IN"/>
    </w:rPr>
  </w:style>
  <w:style w:type="character" w:customStyle="1" w:styleId="EndNoteBibliographyTitleChar">
    <w:name w:val="EndNote Bibliography Title Char"/>
    <w:basedOn w:val="LO-normalChar"/>
    <w:link w:val="EndNoteBibliographyTitle"/>
    <w:rsid w:val="00144D6D"/>
    <w:rPr>
      <w:rFonts w:ascii="Calibri" w:eastAsia="Calibri" w:hAnsi="Calibri" w:cs="Calibri"/>
      <w:noProof/>
      <w:lang w:val="en-US" w:eastAsia="zh-CN" w:bidi="hi-IN"/>
    </w:rPr>
  </w:style>
  <w:style w:type="paragraph" w:customStyle="1" w:styleId="EndNoteBibliography">
    <w:name w:val="EndNote Bibliography"/>
    <w:basedOn w:val="Normal"/>
    <w:link w:val="EndNoteBibliographyChar"/>
    <w:rsid w:val="00144D6D"/>
    <w:pPr>
      <w:spacing w:line="240" w:lineRule="auto"/>
    </w:pPr>
    <w:rPr>
      <w:rFonts w:ascii="Calibri" w:hAnsi="Calibri" w:cs="Calibri"/>
      <w:noProof/>
      <w:lang w:val="en-US"/>
    </w:rPr>
  </w:style>
  <w:style w:type="character" w:customStyle="1" w:styleId="EndNoteBibliographyChar">
    <w:name w:val="EndNote Bibliography Char"/>
    <w:basedOn w:val="LO-normalChar"/>
    <w:link w:val="EndNoteBibliography"/>
    <w:rsid w:val="00144D6D"/>
    <w:rPr>
      <w:rFonts w:ascii="Calibri" w:eastAsia="Calibri" w:hAnsi="Calibri" w:cs="Calibri"/>
      <w:noProof/>
      <w:lang w:val="en-US" w:eastAsia="zh-CN" w:bidi="hi-IN"/>
    </w:rPr>
  </w:style>
  <w:style w:type="paragraph" w:styleId="Revision">
    <w:name w:val="Revision"/>
    <w:hidden/>
    <w:uiPriority w:val="99"/>
    <w:semiHidden/>
    <w:rsid w:val="00D57F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Wong</dc:creator>
  <cp:keywords/>
  <dc:description/>
  <cp:lastModifiedBy>Raymond Wong</cp:lastModifiedBy>
  <cp:revision>2</cp:revision>
  <dcterms:created xsi:type="dcterms:W3CDTF">2022-11-02T11:24:00Z</dcterms:created>
  <dcterms:modified xsi:type="dcterms:W3CDTF">2022-11-02T11:24:00Z</dcterms:modified>
</cp:coreProperties>
</file>