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FF5F" w14:textId="77777777" w:rsidR="003B1DEE" w:rsidRPr="003B40E6" w:rsidRDefault="003B1DEE" w:rsidP="003B1DEE">
      <w:pPr>
        <w:jc w:val="center"/>
        <w:rPr>
          <w:sz w:val="36"/>
          <w:szCs w:val="36"/>
        </w:rPr>
      </w:pPr>
      <w:r>
        <w:rPr>
          <w:sz w:val="36"/>
          <w:szCs w:val="36"/>
        </w:rPr>
        <w:t>Supplementary Materials for</w:t>
      </w:r>
    </w:p>
    <w:p w14:paraId="366AA44C" w14:textId="77777777" w:rsidR="003B1DEE" w:rsidRDefault="003B1DEE" w:rsidP="003B1DEE"/>
    <w:p w14:paraId="342DC7B5" w14:textId="2077171B" w:rsidR="003B1DEE" w:rsidRDefault="003B1DEE" w:rsidP="003B1DEE">
      <w:pPr>
        <w:jc w:val="center"/>
        <w:rPr>
          <w:sz w:val="28"/>
          <w:szCs w:val="28"/>
        </w:rPr>
      </w:pPr>
      <w:r>
        <w:rPr>
          <w:sz w:val="28"/>
          <w:szCs w:val="28"/>
        </w:rPr>
        <w:t>Probing the Chemical "Reactome" with High Throughput Experimentation Data</w:t>
      </w:r>
    </w:p>
    <w:p w14:paraId="5B534B43" w14:textId="77777777" w:rsidR="003B1DEE" w:rsidRPr="007108F5" w:rsidRDefault="003B1DEE" w:rsidP="003B1DEE">
      <w:pPr>
        <w:jc w:val="center"/>
        <w:rPr>
          <w:sz w:val="28"/>
          <w:szCs w:val="28"/>
        </w:rPr>
      </w:pPr>
    </w:p>
    <w:p w14:paraId="257B2162" w14:textId="72E3CEF4" w:rsidR="003B1DEE" w:rsidRDefault="003B1DEE" w:rsidP="003B1DEE">
      <w:pPr>
        <w:jc w:val="center"/>
        <w:rPr>
          <w:vertAlign w:val="superscript"/>
        </w:rPr>
      </w:pPr>
      <w:r w:rsidRPr="00DD3032">
        <w:t>Emma King-Smith,</w:t>
      </w:r>
      <w:r>
        <w:t xml:space="preserve"> Simon </w:t>
      </w:r>
      <w:proofErr w:type="spellStart"/>
      <w:r>
        <w:t>Berritt</w:t>
      </w:r>
      <w:proofErr w:type="spellEnd"/>
      <w:r>
        <w:t xml:space="preserve">, Louise Bernier, </w:t>
      </w:r>
      <w:proofErr w:type="spellStart"/>
      <w:r>
        <w:t>Xinjun</w:t>
      </w:r>
      <w:proofErr w:type="spellEnd"/>
      <w:r>
        <w:t xml:space="preserve"> Hou, Jacquelyn L. Klug-McLeod, Jason </w:t>
      </w:r>
      <w:proofErr w:type="spellStart"/>
      <w:r>
        <w:t>Mustakis</w:t>
      </w:r>
      <w:proofErr w:type="spellEnd"/>
      <w:r>
        <w:t xml:space="preserve">, Neal W. </w:t>
      </w:r>
      <w:proofErr w:type="spellStart"/>
      <w:r>
        <w:t>Sach</w:t>
      </w:r>
      <w:proofErr w:type="spellEnd"/>
      <w:r>
        <w:t xml:space="preserve">, Joseph Tucker, </w:t>
      </w:r>
      <w:proofErr w:type="spellStart"/>
      <w:r>
        <w:t>Qingyi</w:t>
      </w:r>
      <w:proofErr w:type="spellEnd"/>
      <w:r>
        <w:t xml:space="preserve"> Yang,</w:t>
      </w:r>
      <w:r w:rsidRPr="00DD3032">
        <w:t xml:space="preserve"> </w:t>
      </w:r>
      <w:r w:rsidR="00310355">
        <w:t xml:space="preserve">Roger M. Howard*, </w:t>
      </w:r>
      <w:r w:rsidRPr="00DD3032">
        <w:t>Alpha A. Lee</w:t>
      </w:r>
      <w:r w:rsidR="00310355">
        <w:t>*</w:t>
      </w:r>
    </w:p>
    <w:p w14:paraId="7FBC707C" w14:textId="3450CC61" w:rsidR="003B1DEE" w:rsidRDefault="003B1DEE" w:rsidP="003B1DEE">
      <w:pPr>
        <w:jc w:val="center"/>
        <w:rPr>
          <w:szCs w:val="24"/>
        </w:rPr>
      </w:pPr>
    </w:p>
    <w:p w14:paraId="1ABD683A" w14:textId="6894B5E1" w:rsidR="00F23CF3" w:rsidRDefault="00F23CF3" w:rsidP="003B1DEE">
      <w:pPr>
        <w:jc w:val="center"/>
        <w:rPr>
          <w:szCs w:val="24"/>
        </w:rPr>
      </w:pPr>
      <w:r>
        <w:rPr>
          <w:szCs w:val="24"/>
        </w:rPr>
        <w:t xml:space="preserve">Correspondence </w:t>
      </w:r>
      <w:r>
        <w:t xml:space="preserve">for dataset queries to: </w:t>
      </w:r>
      <w:r w:rsidRPr="00CA5B3C">
        <w:t>roger.howard@pfizer.com</w:t>
      </w:r>
    </w:p>
    <w:p w14:paraId="7B34349D" w14:textId="77777777" w:rsidR="003B1DEE" w:rsidRDefault="003B1DEE" w:rsidP="003B1DEE">
      <w:pPr>
        <w:jc w:val="center"/>
        <w:rPr>
          <w:szCs w:val="24"/>
        </w:rPr>
      </w:pPr>
      <w:r>
        <w:rPr>
          <w:szCs w:val="24"/>
        </w:rPr>
        <w:t xml:space="preserve">Correspondence to: </w:t>
      </w:r>
      <w:r w:rsidRPr="00DD3032">
        <w:t>aal44@cam.ac.uk</w:t>
      </w:r>
    </w:p>
    <w:p w14:paraId="1CD356B6" w14:textId="77777777" w:rsidR="003B1DEE" w:rsidRDefault="003B1DEE" w:rsidP="003B1DEE"/>
    <w:p w14:paraId="72B23857" w14:textId="77777777" w:rsidR="003B1DEE" w:rsidRDefault="003B1DEE" w:rsidP="003B1DEE">
      <w:pPr>
        <w:rPr>
          <w:b/>
        </w:rPr>
      </w:pPr>
    </w:p>
    <w:p w14:paraId="3A285299" w14:textId="35AD4B3A" w:rsidR="003B1DEE" w:rsidRPr="00262D72" w:rsidRDefault="003B1DEE" w:rsidP="003B1DEE">
      <w:pPr>
        <w:rPr>
          <w:b/>
        </w:rPr>
      </w:pPr>
      <w:r>
        <w:rPr>
          <w:b/>
        </w:rPr>
        <w:t xml:space="preserve">This file </w:t>
      </w:r>
      <w:r w:rsidRPr="00262D72">
        <w:rPr>
          <w:b/>
        </w:rPr>
        <w:t>includes:</w:t>
      </w:r>
    </w:p>
    <w:p w14:paraId="37F58E20" w14:textId="77777777" w:rsidR="003B1DEE" w:rsidRDefault="003B1DEE" w:rsidP="003B1DEE"/>
    <w:p w14:paraId="625A3398" w14:textId="77777777" w:rsidR="003B1DEE" w:rsidRDefault="003B1DEE" w:rsidP="003B1DEE">
      <w:pPr>
        <w:ind w:left="720"/>
      </w:pPr>
      <w:r>
        <w:t>Materials and Methods</w:t>
      </w:r>
    </w:p>
    <w:p w14:paraId="397A437B" w14:textId="77777777" w:rsidR="003B1DEE" w:rsidRDefault="003B1DEE" w:rsidP="003B1DEE">
      <w:pPr>
        <w:ind w:left="720"/>
      </w:pPr>
      <w:r>
        <w:t>Supplementary Text</w:t>
      </w:r>
    </w:p>
    <w:p w14:paraId="227BA9CA" w14:textId="63E5BFBE" w:rsidR="003B1DEE" w:rsidRDefault="003B1DEE" w:rsidP="003B1DEE">
      <w:pPr>
        <w:ind w:left="720"/>
      </w:pPr>
      <w:r>
        <w:t>Figs. S1 to S</w:t>
      </w:r>
      <w:r w:rsidR="0080111F">
        <w:t>6</w:t>
      </w:r>
    </w:p>
    <w:p w14:paraId="7D2D77A1" w14:textId="77777777" w:rsidR="003B1DEE" w:rsidRDefault="003B1DEE" w:rsidP="003B1DEE">
      <w:pPr>
        <w:ind w:left="720"/>
      </w:pPr>
    </w:p>
    <w:p w14:paraId="5453661B" w14:textId="77777777" w:rsidR="003B1DEE" w:rsidRDefault="003B1DEE" w:rsidP="003B1DEE">
      <w:pPr>
        <w:ind w:left="720"/>
      </w:pPr>
      <w:r>
        <w:br/>
      </w:r>
    </w:p>
    <w:p w14:paraId="1E80F526" w14:textId="77777777" w:rsidR="003B1DEE" w:rsidRDefault="003B1DEE" w:rsidP="003B1DEE">
      <w:pPr>
        <w:pStyle w:val="SMHeading"/>
      </w:pPr>
      <w:r>
        <w:br w:type="page"/>
      </w:r>
      <w:bookmarkStart w:id="0" w:name="Tables"/>
      <w:bookmarkStart w:id="1" w:name="MaterialsMethods"/>
      <w:bookmarkEnd w:id="0"/>
      <w:bookmarkEnd w:id="1"/>
      <w:r w:rsidRPr="00B43B31">
        <w:lastRenderedPageBreak/>
        <w:t>Materials and Methods</w:t>
      </w:r>
    </w:p>
    <w:p w14:paraId="54497664" w14:textId="75B78742" w:rsidR="003B1DEE" w:rsidRDefault="003B1DEE" w:rsidP="008C4266">
      <w:pPr>
        <w:pStyle w:val="SMHeading"/>
        <w:jc w:val="both"/>
        <w:rPr>
          <w:b w:val="0"/>
          <w:bCs w:val="0"/>
        </w:rPr>
      </w:pPr>
      <w:r>
        <w:rPr>
          <w:b w:val="0"/>
          <w:bCs w:val="0"/>
        </w:rPr>
        <w:tab/>
      </w:r>
      <w:r w:rsidRPr="00572FDF">
        <w:rPr>
          <w:b w:val="0"/>
          <w:bCs w:val="0"/>
        </w:rPr>
        <w:t xml:space="preserve">The random forest analysis was performed with Scikit's </w:t>
      </w:r>
      <w:proofErr w:type="spellStart"/>
      <w:proofErr w:type="gramStart"/>
      <w:r w:rsidRPr="00572FDF">
        <w:rPr>
          <w:b w:val="0"/>
          <w:bCs w:val="0"/>
        </w:rPr>
        <w:t>sklearn.en</w:t>
      </w:r>
      <w:proofErr w:type="gramEnd"/>
      <w:r>
        <w:rPr>
          <w:b w:val="0"/>
          <w:bCs w:val="0"/>
        </w:rPr>
        <w:t>-</w:t>
      </w:r>
      <w:r w:rsidRPr="00572FDF">
        <w:rPr>
          <w:b w:val="0"/>
          <w:bCs w:val="0"/>
        </w:rPr>
        <w:t>semble.RandomForestRegressor</w:t>
      </w:r>
      <w:proofErr w:type="spellEnd"/>
      <w:r w:rsidRPr="00572FDF">
        <w:rPr>
          <w:b w:val="0"/>
          <w:bCs w:val="0"/>
        </w:rPr>
        <w:t xml:space="preserve">() (Scikit version 1.0.1) with python 3.7. Canonicalization of the molecule SMILES strings was performed with </w:t>
      </w:r>
      <w:proofErr w:type="spellStart"/>
      <w:r w:rsidRPr="00572FDF">
        <w:rPr>
          <w:b w:val="0"/>
          <w:bCs w:val="0"/>
        </w:rPr>
        <w:t>rdkit</w:t>
      </w:r>
      <w:proofErr w:type="spellEnd"/>
      <w:r w:rsidRPr="00572FDF">
        <w:rPr>
          <w:b w:val="0"/>
          <w:bCs w:val="0"/>
        </w:rPr>
        <w:t xml:space="preserve"> (version 2020.09.01). </w:t>
      </w:r>
      <w:r>
        <w:rPr>
          <w:b w:val="0"/>
          <w:bCs w:val="0"/>
        </w:rPr>
        <w:t xml:space="preserve">Visualization of the Tanimoto squares was performed with </w:t>
      </w:r>
      <w:proofErr w:type="spellStart"/>
      <w:proofErr w:type="gramStart"/>
      <w:r>
        <w:rPr>
          <w:b w:val="0"/>
          <w:bCs w:val="0"/>
        </w:rPr>
        <w:t>matplotlib.pyplot</w:t>
      </w:r>
      <w:proofErr w:type="spellEnd"/>
      <w:proofErr w:type="gramEnd"/>
      <w:r>
        <w:rPr>
          <w:b w:val="0"/>
          <w:bCs w:val="0"/>
        </w:rPr>
        <w:t xml:space="preserve">() version 3.3.4. Morgan fingerprints were formed with </w:t>
      </w:r>
      <w:proofErr w:type="spellStart"/>
      <w:r>
        <w:rPr>
          <w:b w:val="0"/>
          <w:bCs w:val="0"/>
        </w:rPr>
        <w:t>rdkit's</w:t>
      </w:r>
      <w:proofErr w:type="spellEnd"/>
      <w:r>
        <w:rPr>
          <w:b w:val="0"/>
          <w:bCs w:val="0"/>
        </w:rPr>
        <w:t xml:space="preserve"> </w:t>
      </w:r>
      <w:proofErr w:type="spellStart"/>
      <w:proofErr w:type="gramStart"/>
      <w:r>
        <w:rPr>
          <w:b w:val="0"/>
          <w:bCs w:val="0"/>
        </w:rPr>
        <w:t>Chem.rdMolDescriptors.GetMorganFingerprintAsBitVect</w:t>
      </w:r>
      <w:proofErr w:type="spellEnd"/>
      <w:proofErr w:type="gramEnd"/>
      <w:r>
        <w:rPr>
          <w:b w:val="0"/>
          <w:bCs w:val="0"/>
        </w:rPr>
        <w:t xml:space="preserve">() using 2,048 bits. PCA visualization of the ligand Morgan fingerprints was performed with </w:t>
      </w:r>
      <w:proofErr w:type="spellStart"/>
      <w:proofErr w:type="gramStart"/>
      <w:r>
        <w:rPr>
          <w:b w:val="0"/>
          <w:bCs w:val="0"/>
        </w:rPr>
        <w:t>sklearn.decomposition.PCA</w:t>
      </w:r>
      <w:proofErr w:type="spellEnd"/>
      <w:r>
        <w:rPr>
          <w:b w:val="0"/>
          <w:bCs w:val="0"/>
        </w:rPr>
        <w:t>(</w:t>
      </w:r>
      <w:proofErr w:type="gramEnd"/>
      <w:r>
        <w:rPr>
          <w:b w:val="0"/>
          <w:bCs w:val="0"/>
        </w:rPr>
        <w:t xml:space="preserve">). </w:t>
      </w:r>
      <w:r w:rsidRPr="00572FDF">
        <w:rPr>
          <w:b w:val="0"/>
          <w:bCs w:val="0"/>
        </w:rPr>
        <w:t xml:space="preserve">All other analyses </w:t>
      </w:r>
      <w:r>
        <w:rPr>
          <w:b w:val="0"/>
          <w:bCs w:val="0"/>
        </w:rPr>
        <w:t>were</w:t>
      </w:r>
      <w:r w:rsidRPr="00572FDF">
        <w:rPr>
          <w:b w:val="0"/>
          <w:bCs w:val="0"/>
        </w:rPr>
        <w:t xml:space="preserve"> performed in R (version 3.4.4) with RStudio as the integrated development environment. Correlations were performed with R's built-in </w:t>
      </w:r>
      <w:proofErr w:type="spellStart"/>
      <w:proofErr w:type="gramStart"/>
      <w:r w:rsidRPr="00572FDF">
        <w:rPr>
          <w:b w:val="0"/>
          <w:bCs w:val="0"/>
        </w:rPr>
        <w:t>cor</w:t>
      </w:r>
      <w:proofErr w:type="spellEnd"/>
      <w:r w:rsidRPr="00572FDF">
        <w:rPr>
          <w:b w:val="0"/>
          <w:bCs w:val="0"/>
        </w:rPr>
        <w:t>(</w:t>
      </w:r>
      <w:proofErr w:type="gramEnd"/>
      <w:r w:rsidRPr="00572FDF">
        <w:rPr>
          <w:b w:val="0"/>
          <w:bCs w:val="0"/>
        </w:rPr>
        <w:t xml:space="preserve">) function, ANOVA and Tukey tests were run with </w:t>
      </w:r>
      <w:proofErr w:type="spellStart"/>
      <w:r w:rsidRPr="00572FDF">
        <w:rPr>
          <w:b w:val="0"/>
          <w:bCs w:val="0"/>
        </w:rPr>
        <w:t>aov</w:t>
      </w:r>
      <w:proofErr w:type="spellEnd"/>
      <w:r w:rsidRPr="00572FDF">
        <w:rPr>
          <w:b w:val="0"/>
          <w:bCs w:val="0"/>
        </w:rPr>
        <w:t xml:space="preserve">() and </w:t>
      </w:r>
      <w:proofErr w:type="spellStart"/>
      <w:r w:rsidRPr="00572FDF">
        <w:rPr>
          <w:b w:val="0"/>
          <w:bCs w:val="0"/>
        </w:rPr>
        <w:t>TukeyHSD</w:t>
      </w:r>
      <w:proofErr w:type="spellEnd"/>
      <w:r w:rsidRPr="00572FDF">
        <w:rPr>
          <w:b w:val="0"/>
          <w:bCs w:val="0"/>
        </w:rPr>
        <w:t xml:space="preserve">(), respectively. One-hot encoding was achieved with the </w:t>
      </w:r>
      <w:proofErr w:type="spellStart"/>
      <w:r w:rsidRPr="00572FDF">
        <w:rPr>
          <w:b w:val="0"/>
          <w:bCs w:val="0"/>
        </w:rPr>
        <w:t>mltools</w:t>
      </w:r>
      <w:proofErr w:type="spellEnd"/>
      <w:r w:rsidRPr="00572FDF">
        <w:rPr>
          <w:b w:val="0"/>
          <w:bCs w:val="0"/>
        </w:rPr>
        <w:t xml:space="preserve"> library's </w:t>
      </w:r>
      <w:proofErr w:type="spellStart"/>
      <w:r w:rsidRPr="00572FDF">
        <w:rPr>
          <w:b w:val="0"/>
          <w:bCs w:val="0"/>
        </w:rPr>
        <w:t>one_</w:t>
      </w:r>
      <w:proofErr w:type="gramStart"/>
      <w:r w:rsidRPr="00572FDF">
        <w:rPr>
          <w:b w:val="0"/>
          <w:bCs w:val="0"/>
        </w:rPr>
        <w:t>hot</w:t>
      </w:r>
      <w:proofErr w:type="spellEnd"/>
      <w:r w:rsidRPr="00572FDF">
        <w:rPr>
          <w:b w:val="0"/>
          <w:bCs w:val="0"/>
        </w:rPr>
        <w:t>(</w:t>
      </w:r>
      <w:proofErr w:type="gramEnd"/>
      <w:r w:rsidRPr="00572FDF">
        <w:rPr>
          <w:b w:val="0"/>
          <w:bCs w:val="0"/>
        </w:rPr>
        <w:t xml:space="preserve">) function. All data manipulation in R was performed on data tables, with the </w:t>
      </w:r>
      <w:proofErr w:type="spellStart"/>
      <w:proofErr w:type="gramStart"/>
      <w:r w:rsidRPr="00572FDF">
        <w:rPr>
          <w:b w:val="0"/>
          <w:bCs w:val="0"/>
        </w:rPr>
        <w:t>data.table</w:t>
      </w:r>
      <w:proofErr w:type="spellEnd"/>
      <w:proofErr w:type="gramEnd"/>
      <w:r w:rsidRPr="00572FDF">
        <w:rPr>
          <w:b w:val="0"/>
          <w:bCs w:val="0"/>
        </w:rPr>
        <w:t xml:space="preserve"> library.</w:t>
      </w:r>
    </w:p>
    <w:p w14:paraId="214FAE06" w14:textId="77777777" w:rsidR="003B1DEE" w:rsidRDefault="003B1DEE" w:rsidP="003B1DEE">
      <w:pPr>
        <w:pStyle w:val="SMHeading"/>
      </w:pPr>
      <w:r>
        <w:t>Supplementary Text</w:t>
      </w:r>
    </w:p>
    <w:p w14:paraId="08D3F1E7" w14:textId="77777777" w:rsidR="003B1DEE" w:rsidRPr="00710C2C" w:rsidRDefault="003B1DEE" w:rsidP="003B1DEE">
      <w:pPr>
        <w:pStyle w:val="SMSubheading"/>
        <w:jc w:val="both"/>
        <w:rPr>
          <w:u w:val="single"/>
        </w:rPr>
      </w:pPr>
      <w:r w:rsidRPr="00710C2C">
        <w:rPr>
          <w:u w:val="single"/>
        </w:rPr>
        <w:t>Data Cleanup:</w:t>
      </w:r>
    </w:p>
    <w:p w14:paraId="45F3D69A" w14:textId="77777777" w:rsidR="003B1DEE" w:rsidRDefault="003B1DEE" w:rsidP="003B1DEE">
      <w:pPr>
        <w:pStyle w:val="SMSubheading"/>
        <w:jc w:val="both"/>
      </w:pPr>
    </w:p>
    <w:p w14:paraId="367CA7D0" w14:textId="77777777" w:rsidR="003B1DEE" w:rsidRPr="00505D3C" w:rsidRDefault="003B1DEE" w:rsidP="003B1DEE">
      <w:pPr>
        <w:jc w:val="both"/>
        <w:rPr>
          <w:i/>
          <w:iCs/>
        </w:rPr>
      </w:pPr>
      <w:r w:rsidRPr="00505D3C">
        <w:rPr>
          <w:i/>
          <w:iCs/>
        </w:rPr>
        <w:t>Buchwald-Hartwig and Ullmann Couplings:</w:t>
      </w:r>
    </w:p>
    <w:p w14:paraId="673EB68B" w14:textId="5ABA1F68" w:rsidR="003B1DEE" w:rsidRDefault="003B1DEE" w:rsidP="003B1DEE">
      <w:pPr>
        <w:jc w:val="both"/>
      </w:pPr>
      <w:r>
        <w:tab/>
      </w:r>
      <w:r w:rsidRPr="00505D3C">
        <w:t>Reactions with missing temperature entries were removed. Duplicated rows, duplicated reagents, and nonsensical reagents were also removed. Reactions whose profile did not fit the standard Buchwald-Hartwig or Ullmann coupling (</w:t>
      </w:r>
      <w:proofErr w:type="gramStart"/>
      <w:r w:rsidRPr="00505D3C">
        <w:t>i.e.</w:t>
      </w:r>
      <w:proofErr w:type="gramEnd"/>
      <w:r w:rsidRPr="00505D3C">
        <w:t xml:space="preserve"> no palladium/copper catalyst, no base, unusual substrates identified via visual inspection), were flagged for manual evaluation and </w:t>
      </w:r>
      <w:r w:rsidR="005B0AEC">
        <w:t>corrected</w:t>
      </w:r>
      <w:r w:rsidR="005B0AEC" w:rsidRPr="00505D3C">
        <w:t xml:space="preserve"> </w:t>
      </w:r>
      <w:r w:rsidRPr="00505D3C">
        <w:t>or discarded as necessary. Reactants were then split into aryl halide and nucleophiles. If a compound had both an aryl halide and a nucleophile, the nucleophile took priority. Manual inspection of these outlier was always performed to confirm their correct sorting. Next, the catalysts were sorted. The dataset has four columns that describe the catalyst system, however, only two are relevant for the couplings. Palladium/copper sources (including pre-complexed metal sources) were separated from ligands. Each reagent, halide-nucleophile pair, and catalyst-ligand pair were then one-hot encoded and checked for correlation. Any variable with a correlation of 85% or higher was combined with its correlated variable.</w:t>
      </w:r>
    </w:p>
    <w:p w14:paraId="6BEDE67C" w14:textId="77777777" w:rsidR="003B1DEE" w:rsidRPr="00505D3C" w:rsidRDefault="003B1DEE" w:rsidP="003B1DEE">
      <w:pPr>
        <w:jc w:val="both"/>
      </w:pPr>
    </w:p>
    <w:p w14:paraId="20B003C8" w14:textId="77777777" w:rsidR="003B1DEE" w:rsidRPr="00505D3C" w:rsidRDefault="003B1DEE" w:rsidP="003B1DEE">
      <w:pPr>
        <w:jc w:val="both"/>
        <w:rPr>
          <w:i/>
          <w:iCs/>
        </w:rPr>
      </w:pPr>
      <w:r w:rsidRPr="00505D3C">
        <w:rPr>
          <w:i/>
          <w:iCs/>
        </w:rPr>
        <w:t>Hydrogenations:</w:t>
      </w:r>
    </w:p>
    <w:p w14:paraId="1B8DD651" w14:textId="77777777" w:rsidR="003B1DEE" w:rsidRDefault="003B1DEE" w:rsidP="003B1DEE">
      <w:pPr>
        <w:pStyle w:val="SMSubheading"/>
        <w:jc w:val="both"/>
        <w:rPr>
          <w:u w:val="none"/>
        </w:rPr>
      </w:pPr>
      <w:r>
        <w:tab/>
      </w:r>
      <w:r w:rsidRPr="002436A7">
        <w:rPr>
          <w:u w:val="none"/>
        </w:rPr>
        <w:t>Reactions with missing temperature entries were removed. Duplicated rows, duplicated reagents, and nonsensical reagents were also removed. Reactions were split into heterogeneous and homogeneous reactions via their catalyst identity. The homogeneous reactions' catalysts were further sorted into metal source (including pre-complexed metals) were separated from ligands. Each reagent, halide-nucleophile pair, and catalyst-ligand pair were then one-hot encoded and checked for correlation. Any variable with a correlation of 85% or higher was combined with its correlated variable.</w:t>
      </w:r>
    </w:p>
    <w:p w14:paraId="2B639FEB" w14:textId="77777777" w:rsidR="003B1DEE" w:rsidRDefault="003B1DEE" w:rsidP="003B1DEE">
      <w:pPr>
        <w:pStyle w:val="SMSubheading"/>
        <w:jc w:val="both"/>
        <w:rPr>
          <w:u w:val="none"/>
        </w:rPr>
      </w:pPr>
    </w:p>
    <w:p w14:paraId="27FAC095" w14:textId="3153ACF7" w:rsidR="003B1DEE" w:rsidRDefault="00294CCF" w:rsidP="003B1DEE">
      <w:pPr>
        <w:pStyle w:val="SMSubheading"/>
        <w:jc w:val="both"/>
        <w:rPr>
          <w:u w:val="single"/>
        </w:rPr>
      </w:pPr>
      <w:r>
        <w:rPr>
          <w:u w:val="single"/>
        </w:rPr>
        <w:t>Example</w:t>
      </w:r>
      <w:r w:rsidRPr="00710C2C">
        <w:rPr>
          <w:u w:val="single"/>
        </w:rPr>
        <w:t xml:space="preserve"> </w:t>
      </w:r>
      <w:r w:rsidR="003B1DEE" w:rsidRPr="00710C2C">
        <w:rPr>
          <w:u w:val="single"/>
        </w:rPr>
        <w:t>High Throughput Experimentation Procedure:</w:t>
      </w:r>
    </w:p>
    <w:p w14:paraId="61639451" w14:textId="233ABC7B" w:rsidR="00981BD8" w:rsidRPr="00572FDF" w:rsidRDefault="00981BD8" w:rsidP="00981BD8">
      <w:pPr>
        <w:pStyle w:val="SMHeading"/>
        <w:jc w:val="both"/>
        <w:rPr>
          <w:b w:val="0"/>
          <w:bCs w:val="0"/>
        </w:rPr>
      </w:pPr>
      <w:r>
        <w:rPr>
          <w:b w:val="0"/>
          <w:bCs w:val="0"/>
        </w:rPr>
        <w:tab/>
        <w:t>HTE reactions were set up inside of an INERT Inc. triple double sized glove box with O</w:t>
      </w:r>
      <w:r w:rsidRPr="00981BD8">
        <w:rPr>
          <w:b w:val="0"/>
          <w:bCs w:val="0"/>
          <w:vertAlign w:val="subscript"/>
        </w:rPr>
        <w:t>2</w:t>
      </w:r>
      <w:r>
        <w:rPr>
          <w:b w:val="0"/>
          <w:bCs w:val="0"/>
        </w:rPr>
        <w:t xml:space="preserve"> and H</w:t>
      </w:r>
      <w:r w:rsidRPr="00981BD8">
        <w:rPr>
          <w:b w:val="0"/>
          <w:bCs w:val="0"/>
          <w:vertAlign w:val="subscript"/>
        </w:rPr>
        <w:t>2</w:t>
      </w:r>
      <w:r>
        <w:rPr>
          <w:b w:val="0"/>
          <w:bCs w:val="0"/>
        </w:rPr>
        <w:t>O levels &lt; 20 ppm. Glass vials (0.3 mL, 8 x 20 mm) pre-equipped with stir bars were used for each reaction</w:t>
      </w:r>
      <w:r w:rsidR="00A925DC">
        <w:rPr>
          <w:b w:val="0"/>
          <w:bCs w:val="0"/>
        </w:rPr>
        <w:t xml:space="preserve"> </w:t>
      </w:r>
      <w:r w:rsidR="00A925DC" w:rsidRPr="00A925DC">
        <w:rPr>
          <w:b w:val="0"/>
          <w:bCs w:val="0"/>
        </w:rPr>
        <w:t>except for chiral salt resolutions (0.7 mL, 8 x 30 mm</w:t>
      </w:r>
      <w:r w:rsidR="00A925DC">
        <w:rPr>
          <w:b w:val="0"/>
          <w:bCs w:val="0"/>
        </w:rPr>
        <w:t xml:space="preserve"> vials</w:t>
      </w:r>
      <w:r w:rsidR="00A925DC" w:rsidRPr="00A925DC">
        <w:rPr>
          <w:b w:val="0"/>
          <w:bCs w:val="0"/>
        </w:rPr>
        <w:t>)</w:t>
      </w:r>
      <w:r>
        <w:rPr>
          <w:b w:val="0"/>
          <w:bCs w:val="0"/>
        </w:rPr>
        <w:t xml:space="preserve">. </w:t>
      </w:r>
      <w:r w:rsidR="005B0AEC">
        <w:rPr>
          <w:b w:val="0"/>
          <w:bCs w:val="0"/>
        </w:rPr>
        <w:t xml:space="preserve">The reactions were set up with </w:t>
      </w:r>
      <w:r w:rsidR="00772282">
        <w:rPr>
          <w:b w:val="0"/>
          <w:bCs w:val="0"/>
        </w:rPr>
        <w:t xml:space="preserve">the </w:t>
      </w:r>
      <w:r w:rsidR="005B0AEC">
        <w:rPr>
          <w:b w:val="0"/>
          <w:bCs w:val="0"/>
        </w:rPr>
        <w:t xml:space="preserve">components and conditions </w:t>
      </w:r>
      <w:r w:rsidR="00772282">
        <w:rPr>
          <w:b w:val="0"/>
          <w:bCs w:val="0"/>
        </w:rPr>
        <w:t>described by each dataset entry</w:t>
      </w:r>
      <w:r w:rsidR="002F41D0">
        <w:rPr>
          <w:b w:val="0"/>
          <w:bCs w:val="0"/>
        </w:rPr>
        <w:t xml:space="preserve"> at</w:t>
      </w:r>
      <w:r w:rsidR="00772282">
        <w:rPr>
          <w:b w:val="0"/>
          <w:bCs w:val="0"/>
        </w:rPr>
        <w:t xml:space="preserve"> 0.0</w:t>
      </w:r>
      <w:r w:rsidR="00A92E91">
        <w:rPr>
          <w:b w:val="0"/>
          <w:bCs w:val="0"/>
        </w:rPr>
        <w:t>1M</w:t>
      </w:r>
      <w:r w:rsidR="002F41D0">
        <w:rPr>
          <w:b w:val="0"/>
          <w:bCs w:val="0"/>
        </w:rPr>
        <w:t xml:space="preserve"> </w:t>
      </w:r>
      <w:r w:rsidR="00772918">
        <w:rPr>
          <w:b w:val="0"/>
          <w:bCs w:val="0"/>
        </w:rPr>
        <w:t xml:space="preserve">final concentration of </w:t>
      </w:r>
      <w:r w:rsidR="002513FE">
        <w:rPr>
          <w:b w:val="0"/>
          <w:bCs w:val="0"/>
        </w:rPr>
        <w:t xml:space="preserve">limiting </w:t>
      </w:r>
      <w:r w:rsidR="002F41D0">
        <w:rPr>
          <w:b w:val="0"/>
          <w:bCs w:val="0"/>
        </w:rPr>
        <w:t>reactant</w:t>
      </w:r>
      <w:r w:rsidR="00F97112">
        <w:rPr>
          <w:b w:val="0"/>
          <w:bCs w:val="0"/>
        </w:rPr>
        <w:t xml:space="preserve"> and 100 </w:t>
      </w:r>
      <w:r w:rsidR="00F97112" w:rsidRPr="00D03338">
        <w:rPr>
          <w:b w:val="0"/>
          <w:bCs w:val="0"/>
        </w:rPr>
        <w:t>µ</w:t>
      </w:r>
      <w:r w:rsidR="00F97112">
        <w:rPr>
          <w:b w:val="0"/>
          <w:bCs w:val="0"/>
        </w:rPr>
        <w:t>L total volume</w:t>
      </w:r>
      <w:r w:rsidR="002F41D0">
        <w:rPr>
          <w:b w:val="0"/>
          <w:bCs w:val="0"/>
        </w:rPr>
        <w:t xml:space="preserve">, </w:t>
      </w:r>
      <w:r w:rsidR="00A92E91">
        <w:rPr>
          <w:b w:val="0"/>
          <w:bCs w:val="0"/>
        </w:rPr>
        <w:t xml:space="preserve">except for chiral salt resolutions </w:t>
      </w:r>
      <w:r w:rsidR="00A92E91">
        <w:rPr>
          <w:b w:val="0"/>
          <w:bCs w:val="0"/>
        </w:rPr>
        <w:lastRenderedPageBreak/>
        <w:t>(0.2</w:t>
      </w:r>
      <w:r w:rsidR="002F41D0">
        <w:rPr>
          <w:b w:val="0"/>
          <w:bCs w:val="0"/>
        </w:rPr>
        <w:t>0M</w:t>
      </w:r>
      <w:r w:rsidR="003A7A89">
        <w:rPr>
          <w:b w:val="0"/>
          <w:bCs w:val="0"/>
        </w:rPr>
        <w:t xml:space="preserve"> </w:t>
      </w:r>
      <w:r w:rsidR="003A7A89" w:rsidRPr="001B6956">
        <w:rPr>
          <w:b w:val="0"/>
          <w:bCs w:val="0"/>
        </w:rPr>
        <w:t>and</w:t>
      </w:r>
      <w:r w:rsidR="00F97112" w:rsidRPr="001B6956">
        <w:rPr>
          <w:b w:val="0"/>
          <w:bCs w:val="0"/>
        </w:rPr>
        <w:t xml:space="preserve"> </w:t>
      </w:r>
      <w:r w:rsidR="001B6956" w:rsidRPr="00F10A96">
        <w:rPr>
          <w:b w:val="0"/>
          <w:bCs w:val="0"/>
        </w:rPr>
        <w:t>2</w:t>
      </w:r>
      <w:r w:rsidR="003A7A89" w:rsidRPr="001B6956">
        <w:rPr>
          <w:b w:val="0"/>
          <w:bCs w:val="0"/>
        </w:rPr>
        <w:t xml:space="preserve">00 </w:t>
      </w:r>
      <w:r w:rsidR="003A7A89" w:rsidRPr="00F10A96">
        <w:rPr>
          <w:b w:val="0"/>
          <w:bCs w:val="0"/>
        </w:rPr>
        <w:t>µ</w:t>
      </w:r>
      <w:r w:rsidR="003A7A89" w:rsidRPr="001B6956">
        <w:rPr>
          <w:b w:val="0"/>
          <w:bCs w:val="0"/>
        </w:rPr>
        <w:t xml:space="preserve">L </w:t>
      </w:r>
      <w:r w:rsidR="003A7A89">
        <w:rPr>
          <w:b w:val="0"/>
          <w:bCs w:val="0"/>
        </w:rPr>
        <w:t>respectively</w:t>
      </w:r>
      <w:r w:rsidR="002F41D0">
        <w:rPr>
          <w:b w:val="0"/>
          <w:bCs w:val="0"/>
        </w:rPr>
        <w:t xml:space="preserve">). </w:t>
      </w:r>
      <w:r>
        <w:rPr>
          <w:b w:val="0"/>
          <w:bCs w:val="0"/>
        </w:rPr>
        <w:t xml:space="preserve">The reaction vials were sealed by crimp under the glove-box environment and placed in a metal </w:t>
      </w:r>
      <w:proofErr w:type="spellStart"/>
      <w:r>
        <w:rPr>
          <w:b w:val="0"/>
          <w:bCs w:val="0"/>
        </w:rPr>
        <w:t>Chemglass</w:t>
      </w:r>
      <w:proofErr w:type="spellEnd"/>
      <w:r>
        <w:rPr>
          <w:b w:val="0"/>
          <w:bCs w:val="0"/>
        </w:rPr>
        <w:t xml:space="preserve"> </w:t>
      </w:r>
      <w:proofErr w:type="spellStart"/>
      <w:r>
        <w:rPr>
          <w:b w:val="0"/>
          <w:bCs w:val="0"/>
        </w:rPr>
        <w:t>Optichem</w:t>
      </w:r>
      <w:proofErr w:type="spellEnd"/>
      <w:r>
        <w:rPr>
          <w:b w:val="0"/>
          <w:bCs w:val="0"/>
        </w:rPr>
        <w:t xml:space="preserve"> 96-well heating plate </w:t>
      </w:r>
      <w:r w:rsidR="00864B90">
        <w:rPr>
          <w:b w:val="0"/>
          <w:bCs w:val="0"/>
        </w:rPr>
        <w:t xml:space="preserve">on top of </w:t>
      </w:r>
      <w:r>
        <w:rPr>
          <w:b w:val="0"/>
          <w:bCs w:val="0"/>
        </w:rPr>
        <w:t xml:space="preserve">a general IKA stirrer heater plate with an external temperature probe to </w:t>
      </w:r>
      <w:proofErr w:type="gramStart"/>
      <w:r>
        <w:rPr>
          <w:b w:val="0"/>
          <w:bCs w:val="0"/>
        </w:rPr>
        <w:t>accurately and evenly control the plate</w:t>
      </w:r>
      <w:proofErr w:type="gramEnd"/>
      <w:r w:rsidR="00E6516A">
        <w:rPr>
          <w:b w:val="0"/>
          <w:bCs w:val="0"/>
        </w:rPr>
        <w:t xml:space="preserve">.  </w:t>
      </w:r>
      <w:r w:rsidR="00864B90" w:rsidRPr="00864B90">
        <w:rPr>
          <w:b w:val="0"/>
          <w:bCs w:val="0"/>
        </w:rPr>
        <w:t xml:space="preserve">In the case of pressure </w:t>
      </w:r>
      <w:proofErr w:type="gramStart"/>
      <w:r w:rsidR="00864B90" w:rsidRPr="00864B90">
        <w:rPr>
          <w:b w:val="0"/>
          <w:bCs w:val="0"/>
        </w:rPr>
        <w:t>reactions,  the</w:t>
      </w:r>
      <w:proofErr w:type="gramEnd"/>
      <w:r w:rsidR="00864B90" w:rsidRPr="00864B90">
        <w:rPr>
          <w:b w:val="0"/>
          <w:bCs w:val="0"/>
        </w:rPr>
        <w:t xml:space="preserve"> 8 x 20mm crimped vials</w:t>
      </w:r>
      <w:r w:rsidR="002128BE">
        <w:rPr>
          <w:b w:val="0"/>
          <w:bCs w:val="0"/>
        </w:rPr>
        <w:t>’</w:t>
      </w:r>
      <w:r w:rsidR="00864B90" w:rsidRPr="00864B90">
        <w:rPr>
          <w:b w:val="0"/>
          <w:bCs w:val="0"/>
        </w:rPr>
        <w:t xml:space="preserve"> septa w</w:t>
      </w:r>
      <w:r w:rsidR="002128BE">
        <w:rPr>
          <w:b w:val="0"/>
          <w:bCs w:val="0"/>
        </w:rPr>
        <w:t>ere</w:t>
      </w:r>
      <w:r w:rsidR="00864B90" w:rsidRPr="00864B90">
        <w:rPr>
          <w:b w:val="0"/>
          <w:bCs w:val="0"/>
        </w:rPr>
        <w:t xml:space="preserve"> pierced with a 16G needle to enable gas ingress at pressure. The vials were removed from the </w:t>
      </w:r>
      <w:proofErr w:type="gramStart"/>
      <w:r w:rsidR="00864B90" w:rsidRPr="00864B90">
        <w:rPr>
          <w:b w:val="0"/>
          <w:bCs w:val="0"/>
        </w:rPr>
        <w:t>glove-box</w:t>
      </w:r>
      <w:proofErr w:type="gramEnd"/>
      <w:r w:rsidR="00864B90" w:rsidRPr="00864B90">
        <w:rPr>
          <w:b w:val="0"/>
          <w:bCs w:val="0"/>
        </w:rPr>
        <w:t xml:space="preserve"> and quickly inserted into the pressure apparatus and after three nitrogen purges, placed under 8 Bar of pressure and heated to the desired temperature for the set period.</w:t>
      </w:r>
      <w:r w:rsidR="00AD5C57">
        <w:rPr>
          <w:b w:val="0"/>
          <w:bCs w:val="0"/>
        </w:rPr>
        <w:t xml:space="preserve"> </w:t>
      </w:r>
      <w:r w:rsidR="00C85C22">
        <w:rPr>
          <w:b w:val="0"/>
          <w:bCs w:val="0"/>
        </w:rPr>
        <w:t xml:space="preserve">Other than the chiral salt resolutions, </w:t>
      </w:r>
      <w:r w:rsidR="00AD5C57">
        <w:rPr>
          <w:b w:val="0"/>
          <w:bCs w:val="0"/>
        </w:rPr>
        <w:t xml:space="preserve">after the set period </w:t>
      </w:r>
      <w:r w:rsidR="00C85C22">
        <w:rPr>
          <w:b w:val="0"/>
          <w:bCs w:val="0"/>
        </w:rPr>
        <w:t xml:space="preserve">the reactions were </w:t>
      </w:r>
      <w:r>
        <w:rPr>
          <w:b w:val="0"/>
          <w:bCs w:val="0"/>
        </w:rPr>
        <w:t>cooled, diluted with acetonitrile (200 µL)</w:t>
      </w:r>
      <w:r w:rsidR="00AD5C57">
        <w:rPr>
          <w:b w:val="0"/>
          <w:bCs w:val="0"/>
        </w:rPr>
        <w:t xml:space="preserve"> or DMF (200 µL) </w:t>
      </w:r>
      <w:r w:rsidR="00E73C0C">
        <w:rPr>
          <w:b w:val="0"/>
          <w:bCs w:val="0"/>
        </w:rPr>
        <w:t>depending on solubility and to ensure dissolution</w:t>
      </w:r>
      <w:r>
        <w:rPr>
          <w:b w:val="0"/>
          <w:bCs w:val="0"/>
        </w:rPr>
        <w:t xml:space="preserve">, mixed, centrifuged, and directly analyzed by UPLC-MS. UPLC-MS analysis used a Waters </w:t>
      </w:r>
      <w:proofErr w:type="spellStart"/>
      <w:r>
        <w:rPr>
          <w:b w:val="0"/>
          <w:bCs w:val="0"/>
        </w:rPr>
        <w:t>Acquity</w:t>
      </w:r>
      <w:proofErr w:type="spellEnd"/>
      <w:r>
        <w:rPr>
          <w:b w:val="0"/>
          <w:bCs w:val="0"/>
        </w:rPr>
        <w:t xml:space="preserve"> UPLC BEH, C18 17 µm 2.1 x 30 mm column with A: 0.1% </w:t>
      </w:r>
      <w:proofErr w:type="spellStart"/>
      <w:r>
        <w:rPr>
          <w:b w:val="0"/>
          <w:bCs w:val="0"/>
        </w:rPr>
        <w:t>AcOH</w:t>
      </w:r>
      <w:proofErr w:type="spellEnd"/>
      <w:r>
        <w:rPr>
          <w:b w:val="0"/>
          <w:bCs w:val="0"/>
        </w:rPr>
        <w:t>/NH</w:t>
      </w:r>
      <w:r w:rsidRPr="008C4266">
        <w:rPr>
          <w:b w:val="0"/>
          <w:bCs w:val="0"/>
          <w:vertAlign w:val="subscript"/>
        </w:rPr>
        <w:t>4</w:t>
      </w:r>
      <w:r>
        <w:rPr>
          <w:b w:val="0"/>
          <w:bCs w:val="0"/>
        </w:rPr>
        <w:t>COOH/H</w:t>
      </w:r>
      <w:r w:rsidRPr="008C4266">
        <w:rPr>
          <w:b w:val="0"/>
          <w:bCs w:val="0"/>
          <w:vertAlign w:val="subscript"/>
        </w:rPr>
        <w:t>2</w:t>
      </w:r>
      <w:r>
        <w:rPr>
          <w:b w:val="0"/>
          <w:bCs w:val="0"/>
        </w:rPr>
        <w:t xml:space="preserve">O, B: </w:t>
      </w:r>
      <w:proofErr w:type="spellStart"/>
      <w:r>
        <w:rPr>
          <w:b w:val="0"/>
          <w:bCs w:val="0"/>
        </w:rPr>
        <w:t>MeCN</w:t>
      </w:r>
      <w:proofErr w:type="spellEnd"/>
      <w:r>
        <w:rPr>
          <w:b w:val="0"/>
          <w:bCs w:val="0"/>
        </w:rPr>
        <w:t xml:space="preserve"> / 0.1% </w:t>
      </w:r>
      <w:proofErr w:type="spellStart"/>
      <w:r>
        <w:rPr>
          <w:b w:val="0"/>
          <w:bCs w:val="0"/>
        </w:rPr>
        <w:t>AcOH</w:t>
      </w:r>
      <w:proofErr w:type="spellEnd"/>
      <w:r>
        <w:rPr>
          <w:b w:val="0"/>
          <w:bCs w:val="0"/>
        </w:rPr>
        <w:t>/NH</w:t>
      </w:r>
      <w:r w:rsidRPr="008C4266">
        <w:rPr>
          <w:b w:val="0"/>
          <w:bCs w:val="0"/>
          <w:vertAlign w:val="subscript"/>
        </w:rPr>
        <w:t>4</w:t>
      </w:r>
      <w:r>
        <w:rPr>
          <w:b w:val="0"/>
          <w:bCs w:val="0"/>
        </w:rPr>
        <w:t>COOH/H</w:t>
      </w:r>
      <w:r w:rsidRPr="008C4266">
        <w:rPr>
          <w:b w:val="0"/>
          <w:bCs w:val="0"/>
          <w:vertAlign w:val="subscript"/>
        </w:rPr>
        <w:t>2</w:t>
      </w:r>
      <w:r>
        <w:rPr>
          <w:b w:val="0"/>
          <w:bCs w:val="0"/>
        </w:rPr>
        <w:t xml:space="preserve">O linear gradient over 0.8 minutes running from 5% B/A </w:t>
      </w:r>
      <w:r w:rsidR="00E73C0C">
        <w:rPr>
          <w:b w:val="0"/>
          <w:bCs w:val="0"/>
        </w:rPr>
        <w:t xml:space="preserve">to </w:t>
      </w:r>
      <w:r>
        <w:rPr>
          <w:b w:val="0"/>
          <w:bCs w:val="0"/>
        </w:rPr>
        <w:t xml:space="preserve">95% B/A at 100˚C </w:t>
      </w:r>
      <w:r w:rsidR="00DD0E83">
        <w:rPr>
          <w:b w:val="0"/>
          <w:bCs w:val="0"/>
        </w:rPr>
        <w:t xml:space="preserve">and </w:t>
      </w:r>
      <w:r>
        <w:rPr>
          <w:b w:val="0"/>
          <w:bCs w:val="0"/>
        </w:rPr>
        <w:t xml:space="preserve">a flow rate of 2.5 mL / min </w:t>
      </w:r>
      <w:r w:rsidR="00DD0E83">
        <w:rPr>
          <w:b w:val="0"/>
          <w:bCs w:val="0"/>
        </w:rPr>
        <w:t xml:space="preserve">with </w:t>
      </w:r>
      <w:r>
        <w:rPr>
          <w:b w:val="0"/>
          <w:bCs w:val="0"/>
        </w:rPr>
        <w:t xml:space="preserve">a </w:t>
      </w:r>
      <w:r w:rsidR="00DD0E83">
        <w:rPr>
          <w:b w:val="0"/>
          <w:bCs w:val="0"/>
        </w:rPr>
        <w:t xml:space="preserve">UV </w:t>
      </w:r>
      <w:r>
        <w:rPr>
          <w:b w:val="0"/>
          <w:bCs w:val="0"/>
        </w:rPr>
        <w:t>detection wavelength of 210 - 360 nm. Injections (0.5 µL) were made directly from diluted reaction mixtures and ionization monitored in positive</w:t>
      </w:r>
      <w:r w:rsidR="00DD0E83">
        <w:rPr>
          <w:b w:val="0"/>
          <w:bCs w:val="0"/>
        </w:rPr>
        <w:t xml:space="preserve"> </w:t>
      </w:r>
      <w:r>
        <w:rPr>
          <w:b w:val="0"/>
          <w:bCs w:val="0"/>
        </w:rPr>
        <w:t>mode</w:t>
      </w:r>
      <w:r w:rsidR="0014461D">
        <w:rPr>
          <w:b w:val="0"/>
          <w:bCs w:val="0"/>
        </w:rPr>
        <w:t xml:space="preserve"> scanning from 100 to </w:t>
      </w:r>
      <w:r w:rsidR="000C54AC">
        <w:rPr>
          <w:b w:val="0"/>
          <w:bCs w:val="0"/>
        </w:rPr>
        <w:t>800 MW and with an additional SIM channel specifically for the ion of interest</w:t>
      </w:r>
      <w:r>
        <w:rPr>
          <w:b w:val="0"/>
          <w:bCs w:val="0"/>
        </w:rPr>
        <w:t xml:space="preserve">. </w:t>
      </w:r>
      <w:r w:rsidR="00A002A7">
        <w:rPr>
          <w:b w:val="0"/>
          <w:bCs w:val="0"/>
        </w:rPr>
        <w:t xml:space="preserve">For chiral salt resolutions, </w:t>
      </w:r>
      <w:r w:rsidR="0025334A">
        <w:rPr>
          <w:b w:val="0"/>
          <w:bCs w:val="0"/>
        </w:rPr>
        <w:t xml:space="preserve">at </w:t>
      </w:r>
      <w:r w:rsidR="00D04A01">
        <w:rPr>
          <w:b w:val="0"/>
          <w:bCs w:val="0"/>
        </w:rPr>
        <w:t xml:space="preserve">the </w:t>
      </w:r>
      <w:r w:rsidR="0025334A">
        <w:rPr>
          <w:b w:val="0"/>
          <w:bCs w:val="0"/>
        </w:rPr>
        <w:t xml:space="preserve">reaction end point </w:t>
      </w:r>
      <w:r w:rsidR="004E7182">
        <w:rPr>
          <w:b w:val="0"/>
          <w:bCs w:val="0"/>
        </w:rPr>
        <w:t xml:space="preserve">the vials were centrifuged and </w:t>
      </w:r>
      <w:r w:rsidR="0038772B">
        <w:rPr>
          <w:b w:val="0"/>
          <w:bCs w:val="0"/>
        </w:rPr>
        <w:t xml:space="preserve">the </w:t>
      </w:r>
      <w:r w:rsidR="004E7182">
        <w:rPr>
          <w:b w:val="0"/>
          <w:bCs w:val="0"/>
        </w:rPr>
        <w:t>liquors sampled and analy</w:t>
      </w:r>
      <w:r w:rsidR="00E13313">
        <w:rPr>
          <w:b w:val="0"/>
          <w:bCs w:val="0"/>
        </w:rPr>
        <w:t>z</w:t>
      </w:r>
      <w:r w:rsidR="004E7182">
        <w:rPr>
          <w:b w:val="0"/>
          <w:bCs w:val="0"/>
        </w:rPr>
        <w:t>ed by chiral SFC</w:t>
      </w:r>
      <w:r w:rsidR="00E13313">
        <w:rPr>
          <w:b w:val="0"/>
          <w:bCs w:val="0"/>
        </w:rPr>
        <w:t>-MS (individual methods unavailable)</w:t>
      </w:r>
      <w:r w:rsidR="004E7182">
        <w:rPr>
          <w:b w:val="0"/>
          <w:bCs w:val="0"/>
        </w:rPr>
        <w:t>.</w:t>
      </w:r>
      <w:r w:rsidR="0038772B">
        <w:rPr>
          <w:b w:val="0"/>
          <w:bCs w:val="0"/>
        </w:rPr>
        <w:t xml:space="preserve">  </w:t>
      </w:r>
      <w:r w:rsidR="00341FA3" w:rsidRPr="00341FA3">
        <w:rPr>
          <w:b w:val="0"/>
          <w:bCs w:val="0"/>
        </w:rPr>
        <w:t>For any enriched liquor hits, the liquor was manually pipetted away from the centrifuged solid and the solid re-</w:t>
      </w:r>
      <w:proofErr w:type="spellStart"/>
      <w:r w:rsidR="00341FA3" w:rsidRPr="00341FA3">
        <w:rPr>
          <w:b w:val="0"/>
          <w:bCs w:val="0"/>
        </w:rPr>
        <w:t>slurried</w:t>
      </w:r>
      <w:proofErr w:type="spellEnd"/>
      <w:r w:rsidR="00341FA3" w:rsidRPr="00341FA3">
        <w:rPr>
          <w:b w:val="0"/>
          <w:bCs w:val="0"/>
        </w:rPr>
        <w:t xml:space="preserve"> in the reaction solvent (half volume, 100</w:t>
      </w:r>
      <w:r w:rsidR="00341FA3">
        <w:rPr>
          <w:b w:val="0"/>
          <w:bCs w:val="0"/>
        </w:rPr>
        <w:t xml:space="preserve"> µ</w:t>
      </w:r>
      <w:r w:rsidR="00341FA3" w:rsidRPr="00341FA3">
        <w:rPr>
          <w:b w:val="0"/>
          <w:bCs w:val="0"/>
        </w:rPr>
        <w:t>L). The vial was centrifuged a second time and the liquor (100</w:t>
      </w:r>
      <w:r w:rsidR="00341FA3">
        <w:rPr>
          <w:b w:val="0"/>
          <w:bCs w:val="0"/>
        </w:rPr>
        <w:t xml:space="preserve"> µ</w:t>
      </w:r>
      <w:r w:rsidR="00341FA3" w:rsidRPr="00341FA3">
        <w:rPr>
          <w:b w:val="0"/>
          <w:bCs w:val="0"/>
        </w:rPr>
        <w:t xml:space="preserve">L) again removed from the centrifuged solid and combined with the original. Both the combined liquors and residual solid </w:t>
      </w:r>
      <w:proofErr w:type="gramStart"/>
      <w:r w:rsidR="00341FA3" w:rsidRPr="00341FA3">
        <w:rPr>
          <w:b w:val="0"/>
          <w:bCs w:val="0"/>
        </w:rPr>
        <w:t>where</w:t>
      </w:r>
      <w:proofErr w:type="gramEnd"/>
      <w:r w:rsidR="00341FA3" w:rsidRPr="00341FA3">
        <w:rPr>
          <w:b w:val="0"/>
          <w:bCs w:val="0"/>
        </w:rPr>
        <w:t xml:space="preserve"> brought up to an equal volume using MeOH (500</w:t>
      </w:r>
      <w:r w:rsidR="00341FA3">
        <w:rPr>
          <w:b w:val="0"/>
          <w:bCs w:val="0"/>
        </w:rPr>
        <w:t xml:space="preserve"> µ</w:t>
      </w:r>
      <w:r w:rsidR="00341FA3" w:rsidRPr="00341FA3">
        <w:rPr>
          <w:b w:val="0"/>
          <w:bCs w:val="0"/>
        </w:rPr>
        <w:t xml:space="preserve">L) to ensure solution before being </w:t>
      </w:r>
      <w:r w:rsidR="0038772B">
        <w:rPr>
          <w:b w:val="0"/>
          <w:bCs w:val="0"/>
        </w:rPr>
        <w:t>analyzed by chiral SFC-MS.</w:t>
      </w:r>
      <w:r w:rsidR="003919C5">
        <w:rPr>
          <w:b w:val="0"/>
          <w:bCs w:val="0"/>
        </w:rPr>
        <w:t xml:space="preserve">  </w:t>
      </w:r>
      <w:r w:rsidR="00DF4E27">
        <w:rPr>
          <w:b w:val="0"/>
          <w:bCs w:val="0"/>
        </w:rPr>
        <w:t>Measurement</w:t>
      </w:r>
      <w:r w:rsidR="003919C5">
        <w:rPr>
          <w:b w:val="0"/>
          <w:bCs w:val="0"/>
        </w:rPr>
        <w:t xml:space="preserve"> of</w:t>
      </w:r>
      <w:r w:rsidR="00DF4E27">
        <w:rPr>
          <w:b w:val="0"/>
          <w:bCs w:val="0"/>
        </w:rPr>
        <w:t xml:space="preserve"> </w:t>
      </w:r>
      <w:r w:rsidR="00403093">
        <w:rPr>
          <w:b w:val="0"/>
          <w:bCs w:val="0"/>
        </w:rPr>
        <w:t xml:space="preserve">the </w:t>
      </w:r>
      <w:r w:rsidR="00DF4E27">
        <w:rPr>
          <w:b w:val="0"/>
          <w:bCs w:val="0"/>
        </w:rPr>
        <w:t>crystallized</w:t>
      </w:r>
      <w:r w:rsidR="003919C5">
        <w:rPr>
          <w:b w:val="0"/>
          <w:bCs w:val="0"/>
        </w:rPr>
        <w:t xml:space="preserve"> </w:t>
      </w:r>
      <w:r w:rsidR="00DF4E27">
        <w:rPr>
          <w:b w:val="0"/>
          <w:bCs w:val="0"/>
        </w:rPr>
        <w:t xml:space="preserve">salt product </w:t>
      </w:r>
      <w:r w:rsidR="00403093">
        <w:rPr>
          <w:b w:val="0"/>
          <w:bCs w:val="0"/>
        </w:rPr>
        <w:t>%</w:t>
      </w:r>
      <w:proofErr w:type="spellStart"/>
      <w:r w:rsidR="003919C5">
        <w:rPr>
          <w:b w:val="0"/>
          <w:bCs w:val="0"/>
        </w:rPr>
        <w:t>ee</w:t>
      </w:r>
      <w:proofErr w:type="spellEnd"/>
      <w:r w:rsidR="003919C5">
        <w:rPr>
          <w:b w:val="0"/>
          <w:bCs w:val="0"/>
        </w:rPr>
        <w:t xml:space="preserve"> </w:t>
      </w:r>
      <w:r w:rsidR="00DF4E27">
        <w:rPr>
          <w:b w:val="0"/>
          <w:bCs w:val="0"/>
        </w:rPr>
        <w:t>from isolated</w:t>
      </w:r>
      <w:r w:rsidR="003919C5">
        <w:rPr>
          <w:b w:val="0"/>
          <w:bCs w:val="0"/>
        </w:rPr>
        <w:t xml:space="preserve"> solid</w:t>
      </w:r>
      <w:r w:rsidR="00DF4E27">
        <w:rPr>
          <w:b w:val="0"/>
          <w:bCs w:val="0"/>
        </w:rPr>
        <w:t>s</w:t>
      </w:r>
      <w:r w:rsidR="003919C5">
        <w:rPr>
          <w:b w:val="0"/>
          <w:bCs w:val="0"/>
        </w:rPr>
        <w:t xml:space="preserve"> superseded </w:t>
      </w:r>
      <w:r w:rsidR="00DF4E27">
        <w:rPr>
          <w:b w:val="0"/>
          <w:bCs w:val="0"/>
        </w:rPr>
        <w:t xml:space="preserve">the </w:t>
      </w:r>
      <w:r w:rsidR="00B02EA4">
        <w:rPr>
          <w:b w:val="0"/>
          <w:bCs w:val="0"/>
        </w:rPr>
        <w:t xml:space="preserve">product </w:t>
      </w:r>
      <w:r w:rsidR="00403093">
        <w:rPr>
          <w:b w:val="0"/>
          <w:bCs w:val="0"/>
        </w:rPr>
        <w:t>%</w:t>
      </w:r>
      <w:proofErr w:type="spellStart"/>
      <w:r w:rsidR="003919C5">
        <w:rPr>
          <w:b w:val="0"/>
          <w:bCs w:val="0"/>
        </w:rPr>
        <w:t>ee</w:t>
      </w:r>
      <w:proofErr w:type="spellEnd"/>
      <w:r w:rsidR="003919C5">
        <w:rPr>
          <w:b w:val="0"/>
          <w:bCs w:val="0"/>
        </w:rPr>
        <w:t xml:space="preserve"> calculat</w:t>
      </w:r>
      <w:r w:rsidR="00AD72FD">
        <w:rPr>
          <w:b w:val="0"/>
          <w:bCs w:val="0"/>
        </w:rPr>
        <w:t xml:space="preserve">ed based </w:t>
      </w:r>
      <w:r w:rsidR="00B02EA4">
        <w:rPr>
          <w:b w:val="0"/>
          <w:bCs w:val="0"/>
        </w:rPr>
        <w:t>on</w:t>
      </w:r>
      <w:r w:rsidR="005360C9">
        <w:rPr>
          <w:b w:val="0"/>
          <w:bCs w:val="0"/>
        </w:rPr>
        <w:t xml:space="preserve"> SFC-MS analysis of</w:t>
      </w:r>
      <w:r w:rsidR="00403093">
        <w:rPr>
          <w:b w:val="0"/>
          <w:bCs w:val="0"/>
        </w:rPr>
        <w:t xml:space="preserve"> uncrystallized material in the</w:t>
      </w:r>
      <w:r w:rsidR="00AD72FD">
        <w:rPr>
          <w:b w:val="0"/>
          <w:bCs w:val="0"/>
        </w:rPr>
        <w:t xml:space="preserve"> liquors. </w:t>
      </w:r>
      <w:r w:rsidR="004E7182">
        <w:rPr>
          <w:b w:val="0"/>
          <w:bCs w:val="0"/>
        </w:rPr>
        <w:t xml:space="preserve"> </w:t>
      </w:r>
      <w:proofErr w:type="spellStart"/>
      <w:r>
        <w:rPr>
          <w:b w:val="0"/>
          <w:bCs w:val="0"/>
        </w:rPr>
        <w:t>iChem</w:t>
      </w:r>
      <w:proofErr w:type="spellEnd"/>
      <w:r>
        <w:rPr>
          <w:b w:val="0"/>
          <w:bCs w:val="0"/>
        </w:rPr>
        <w:t xml:space="preserve"> explorer</w:t>
      </w:r>
      <w:r w:rsidR="00B95E04">
        <w:rPr>
          <w:b w:val="0"/>
          <w:bCs w:val="0"/>
        </w:rPr>
        <w:t xml:space="preserve"> (Reaction Analytics, US)</w:t>
      </w:r>
      <w:r>
        <w:rPr>
          <w:b w:val="0"/>
          <w:bCs w:val="0"/>
        </w:rPr>
        <w:t xml:space="preserve"> and </w:t>
      </w:r>
      <w:proofErr w:type="spellStart"/>
      <w:r>
        <w:rPr>
          <w:b w:val="0"/>
          <w:bCs w:val="0"/>
        </w:rPr>
        <w:t>Virscidian</w:t>
      </w:r>
      <w:proofErr w:type="spellEnd"/>
      <w:r>
        <w:rPr>
          <w:b w:val="0"/>
          <w:bCs w:val="0"/>
        </w:rPr>
        <w:t xml:space="preserve"> Analytical Studio™ software </w:t>
      </w:r>
      <w:r w:rsidR="008A6668">
        <w:rPr>
          <w:b w:val="0"/>
          <w:bCs w:val="0"/>
        </w:rPr>
        <w:t xml:space="preserve">were </w:t>
      </w:r>
      <w:r>
        <w:rPr>
          <w:b w:val="0"/>
          <w:bCs w:val="0"/>
        </w:rPr>
        <w:t>used for data analysis.</w:t>
      </w:r>
    </w:p>
    <w:p w14:paraId="41F14EAA" w14:textId="4685623C" w:rsidR="00981BD8" w:rsidRDefault="00981BD8" w:rsidP="003B1DEE">
      <w:pPr>
        <w:pStyle w:val="SMSubheading"/>
        <w:jc w:val="both"/>
        <w:rPr>
          <w:u w:val="single"/>
        </w:rPr>
      </w:pPr>
    </w:p>
    <w:p w14:paraId="06166055" w14:textId="3BCB3751" w:rsidR="003C7ADA" w:rsidRDefault="003C7ADA" w:rsidP="003B1DEE">
      <w:pPr>
        <w:pStyle w:val="SMSubheading"/>
        <w:jc w:val="both"/>
        <w:rPr>
          <w:u w:val="single"/>
        </w:rPr>
      </w:pPr>
      <w:r>
        <w:rPr>
          <w:u w:val="single"/>
        </w:rPr>
        <w:t>Discussion of Yield Determinations:</w:t>
      </w:r>
    </w:p>
    <w:p w14:paraId="7E15E84D" w14:textId="77777777" w:rsidR="009B411E" w:rsidRDefault="009B411E" w:rsidP="003B1DEE">
      <w:pPr>
        <w:pStyle w:val="SMSubheading"/>
        <w:jc w:val="both"/>
        <w:rPr>
          <w:u w:val="single"/>
        </w:rPr>
      </w:pPr>
    </w:p>
    <w:p w14:paraId="76E3C147" w14:textId="297DD5EC" w:rsidR="003C7ADA" w:rsidRPr="003C7ADA" w:rsidRDefault="009B411E" w:rsidP="003B1DEE">
      <w:pPr>
        <w:pStyle w:val="SMSubheading"/>
        <w:jc w:val="both"/>
        <w:rPr>
          <w:color w:val="000000" w:themeColor="text1"/>
          <w:u w:val="none"/>
        </w:rPr>
      </w:pPr>
      <w:r>
        <w:rPr>
          <w:bCs/>
          <w:szCs w:val="24"/>
          <w:u w:val="none"/>
        </w:rPr>
        <w:tab/>
      </w:r>
      <w:r w:rsidR="003C7ADA">
        <w:rPr>
          <w:bCs/>
          <w:szCs w:val="24"/>
          <w:u w:val="none"/>
        </w:rPr>
        <w:t>T</w:t>
      </w:r>
      <w:r w:rsidR="003C7ADA" w:rsidRPr="003C7ADA">
        <w:rPr>
          <w:bCs/>
          <w:szCs w:val="24"/>
          <w:u w:val="none"/>
        </w:rPr>
        <w:t xml:space="preserve">he medicinal chemistry HTE dataset analyzed herein, “percent yield” from each reaction is an uncalibrated value, essentially percent area/area UV of desired product versus total integrated </w:t>
      </w:r>
      <w:r w:rsidR="003C7ADA" w:rsidRPr="003C7ADA">
        <w:rPr>
          <w:bCs/>
          <w:color w:val="000000" w:themeColor="text1"/>
          <w:szCs w:val="24"/>
          <w:u w:val="none"/>
        </w:rPr>
        <w:t xml:space="preserve">peaks (product, unreacted starting </w:t>
      </w:r>
      <w:proofErr w:type="gramStart"/>
      <w:r w:rsidR="003C7ADA" w:rsidRPr="003C7ADA">
        <w:rPr>
          <w:bCs/>
          <w:color w:val="000000" w:themeColor="text1"/>
          <w:szCs w:val="24"/>
          <w:u w:val="none"/>
        </w:rPr>
        <w:t>material</w:t>
      </w:r>
      <w:proofErr w:type="gramEnd"/>
      <w:r w:rsidR="003C7ADA" w:rsidRPr="003C7ADA">
        <w:rPr>
          <w:bCs/>
          <w:color w:val="000000" w:themeColor="text1"/>
          <w:szCs w:val="24"/>
          <w:u w:val="none"/>
        </w:rPr>
        <w:t xml:space="preserve"> and byproducts, as selected by the acquiring scientist). Often the limiting reactant and product have similar UV absorbance profiles, making this a fair representation of true percentage conversion. Furthermore, a correlation of UV area and product mass ion count has been made across each reaction screen to highlight and remove erroneous data, for instance due to overlapping peaks.</w:t>
      </w:r>
    </w:p>
    <w:p w14:paraId="59BACF2C" w14:textId="77777777" w:rsidR="003B1DEE" w:rsidRPr="003C7ADA" w:rsidRDefault="003B1DEE" w:rsidP="003B1DEE">
      <w:pPr>
        <w:pStyle w:val="SMSubheading"/>
        <w:jc w:val="both"/>
        <w:rPr>
          <w:u w:val="none"/>
        </w:rPr>
      </w:pPr>
    </w:p>
    <w:p w14:paraId="6EAAA9EA" w14:textId="77777777" w:rsidR="003B1DEE" w:rsidRPr="00B64873" w:rsidRDefault="003B1DEE" w:rsidP="003B1DEE">
      <w:pPr>
        <w:pStyle w:val="SMSubheading"/>
        <w:jc w:val="both"/>
        <w:rPr>
          <w:u w:val="none"/>
        </w:rPr>
      </w:pPr>
      <w:r>
        <w:rPr>
          <w:b/>
          <w:bCs/>
        </w:rPr>
        <w:br w:type="page"/>
      </w:r>
    </w:p>
    <w:p w14:paraId="6E7B5940" w14:textId="77777777" w:rsidR="003B1DEE" w:rsidRPr="00505D3C" w:rsidRDefault="003B1DEE" w:rsidP="003B1DEE">
      <w:pPr>
        <w:jc w:val="both"/>
      </w:pPr>
      <w:r w:rsidRPr="00505D3C">
        <w:rPr>
          <w:noProof/>
        </w:rPr>
        <w:lastRenderedPageBreak/>
        <w:drawing>
          <wp:anchor distT="0" distB="0" distL="114300" distR="114300" simplePos="0" relativeHeight="251662336" behindDoc="0" locked="0" layoutInCell="1" allowOverlap="1" wp14:anchorId="3799D377" wp14:editId="23523B9F">
            <wp:simplePos x="0" y="0"/>
            <wp:positionH relativeFrom="column">
              <wp:posOffset>0</wp:posOffset>
            </wp:positionH>
            <wp:positionV relativeFrom="paragraph">
              <wp:posOffset>25400</wp:posOffset>
            </wp:positionV>
            <wp:extent cx="5949774" cy="3182112"/>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9774" cy="3182112"/>
                    </a:xfrm>
                    <a:prstGeom prst="rect">
                      <a:avLst/>
                    </a:prstGeom>
                  </pic:spPr>
                </pic:pic>
              </a:graphicData>
            </a:graphic>
            <wp14:sizeRelH relativeFrom="page">
              <wp14:pctWidth>0</wp14:pctWidth>
            </wp14:sizeRelH>
            <wp14:sizeRelV relativeFrom="page">
              <wp14:pctHeight>0</wp14:pctHeight>
            </wp14:sizeRelV>
          </wp:anchor>
        </w:drawing>
      </w:r>
    </w:p>
    <w:p w14:paraId="0D1BCCD6" w14:textId="7C4CA33B" w:rsidR="003B1DEE" w:rsidRDefault="003B1DEE" w:rsidP="003B1DEE">
      <w:pPr>
        <w:jc w:val="both"/>
      </w:pPr>
      <w:r>
        <w:rPr>
          <w:b/>
          <w:bCs/>
        </w:rPr>
        <w:t>Fig. S</w:t>
      </w:r>
      <w:r w:rsidR="001F7DED">
        <w:rPr>
          <w:b/>
          <w:bCs/>
        </w:rPr>
        <w:t>1</w:t>
      </w:r>
      <w:r w:rsidRPr="00505D3C">
        <w:rPr>
          <w:b/>
          <w:bCs/>
        </w:rPr>
        <w:t>:</w:t>
      </w:r>
      <w:r w:rsidRPr="00505D3C">
        <w:t xml:space="preserve"> Tanimoto similarity scores of the Buchwald-Hartwig coupling partners. Identical molecules are given a score of 1. </w:t>
      </w:r>
      <w:r w:rsidRPr="00505D3C">
        <w:rPr>
          <w:b/>
          <w:bCs/>
        </w:rPr>
        <w:t>a.</w:t>
      </w:r>
      <w:r w:rsidRPr="00505D3C">
        <w:t xml:space="preserve"> Comparison of each halide coupling partner to every other halide in the dataset. </w:t>
      </w:r>
      <w:r w:rsidRPr="00505D3C">
        <w:rPr>
          <w:b/>
          <w:bCs/>
        </w:rPr>
        <w:t>b.</w:t>
      </w:r>
      <w:r w:rsidRPr="00505D3C">
        <w:t xml:space="preserve"> Comparison of each nucleophile coupling partner to every other nucleophile in the dataset.</w:t>
      </w:r>
    </w:p>
    <w:p w14:paraId="7E8DE676" w14:textId="77777777" w:rsidR="003B1DEE" w:rsidRDefault="003B1DEE" w:rsidP="003B1DEE">
      <w:pPr>
        <w:jc w:val="both"/>
      </w:pPr>
      <w:r>
        <w:br w:type="page"/>
      </w:r>
    </w:p>
    <w:p w14:paraId="24CF29F7" w14:textId="789E562E" w:rsidR="003B1DEE" w:rsidRDefault="003B1DEE" w:rsidP="003B1DEE">
      <w:pPr>
        <w:jc w:val="both"/>
      </w:pPr>
      <w:r w:rsidRPr="009311BB">
        <w:rPr>
          <w:b/>
          <w:bCs/>
          <w:noProof/>
        </w:rPr>
        <w:lastRenderedPageBreak/>
        <w:drawing>
          <wp:anchor distT="0" distB="0" distL="114300" distR="114300" simplePos="0" relativeHeight="251663360" behindDoc="0" locked="0" layoutInCell="1" allowOverlap="1" wp14:anchorId="24C60FDD" wp14:editId="5D5B679A">
            <wp:simplePos x="0" y="0"/>
            <wp:positionH relativeFrom="column">
              <wp:posOffset>1443990</wp:posOffset>
            </wp:positionH>
            <wp:positionV relativeFrom="paragraph">
              <wp:posOffset>0</wp:posOffset>
            </wp:positionV>
            <wp:extent cx="3061252" cy="4313983"/>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61252" cy="4313983"/>
                    </a:xfrm>
                    <a:prstGeom prst="rect">
                      <a:avLst/>
                    </a:prstGeom>
                  </pic:spPr>
                </pic:pic>
              </a:graphicData>
            </a:graphic>
            <wp14:sizeRelH relativeFrom="page">
              <wp14:pctWidth>0</wp14:pctWidth>
            </wp14:sizeRelH>
            <wp14:sizeRelV relativeFrom="page">
              <wp14:pctHeight>0</wp14:pctHeight>
            </wp14:sizeRelV>
          </wp:anchor>
        </w:drawing>
      </w:r>
      <w:r w:rsidRPr="009311BB">
        <w:rPr>
          <w:b/>
          <w:bCs/>
        </w:rPr>
        <w:t>Fig. S</w:t>
      </w:r>
      <w:r w:rsidR="001F7DED">
        <w:rPr>
          <w:b/>
          <w:bCs/>
        </w:rPr>
        <w:t>2</w:t>
      </w:r>
      <w:r w:rsidRPr="009311BB">
        <w:rPr>
          <w:b/>
          <w:bCs/>
        </w:rPr>
        <w:t>:</w:t>
      </w:r>
      <w:r>
        <w:t xml:space="preserve"> The variable importances for the entire Buchwald-Hartwig dataset.</w:t>
      </w:r>
    </w:p>
    <w:p w14:paraId="3A89AE31" w14:textId="77777777" w:rsidR="003B1DEE" w:rsidRDefault="003B1DEE" w:rsidP="003B1DEE">
      <w:pPr>
        <w:jc w:val="both"/>
      </w:pPr>
      <w:r>
        <w:br w:type="page"/>
      </w:r>
    </w:p>
    <w:p w14:paraId="4EEC4FE3" w14:textId="766AB68A" w:rsidR="003B1DEE" w:rsidRDefault="008F34D5" w:rsidP="003B1DEE">
      <w:pPr>
        <w:jc w:val="both"/>
        <w:rPr>
          <w:b/>
          <w:bCs/>
        </w:rPr>
      </w:pPr>
      <w:r w:rsidRPr="008F34D5">
        <w:rPr>
          <w:b/>
          <w:bCs/>
          <w:noProof/>
        </w:rPr>
        <w:lastRenderedPageBreak/>
        <w:drawing>
          <wp:inline distT="0" distB="0" distL="0" distR="0" wp14:anchorId="76E9B94D" wp14:editId="6A2AA525">
            <wp:extent cx="5943600" cy="61944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194425"/>
                    </a:xfrm>
                    <a:prstGeom prst="rect">
                      <a:avLst/>
                    </a:prstGeom>
                  </pic:spPr>
                </pic:pic>
              </a:graphicData>
            </a:graphic>
          </wp:inline>
        </w:drawing>
      </w:r>
    </w:p>
    <w:p w14:paraId="5AC1993F" w14:textId="6F42C89B" w:rsidR="003B1DEE" w:rsidRDefault="003B1DEE" w:rsidP="003B1DEE">
      <w:pPr>
        <w:jc w:val="both"/>
      </w:pPr>
      <w:r w:rsidRPr="00463124">
        <w:rPr>
          <w:b/>
          <w:bCs/>
        </w:rPr>
        <w:t>Fig. S</w:t>
      </w:r>
      <w:r w:rsidR="001F7DED">
        <w:rPr>
          <w:b/>
          <w:bCs/>
        </w:rPr>
        <w:t>3</w:t>
      </w:r>
      <w:r w:rsidRPr="00463124">
        <w:rPr>
          <w:b/>
          <w:bCs/>
        </w:rPr>
        <w:t>:</w:t>
      </w:r>
      <w:r>
        <w:t xml:space="preserve"> The structures of the molecule acronyms present in the main text.</w:t>
      </w:r>
      <w:r w:rsidRPr="00140AD0">
        <w:rPr>
          <w:b/>
          <w:bCs/>
        </w:rPr>
        <w:t xml:space="preserve"> </w:t>
      </w:r>
      <w:r w:rsidRPr="00505D3C">
        <w:br w:type="page"/>
      </w:r>
    </w:p>
    <w:p w14:paraId="5020E14C" w14:textId="77777777" w:rsidR="003B1DEE" w:rsidRDefault="003B1DEE" w:rsidP="003B1DEE">
      <w:pPr>
        <w:jc w:val="both"/>
      </w:pPr>
      <w:r w:rsidRPr="00505D3C">
        <w:rPr>
          <w:b/>
          <w:bCs/>
          <w:noProof/>
        </w:rPr>
        <w:lastRenderedPageBreak/>
        <w:drawing>
          <wp:anchor distT="0" distB="0" distL="114300" distR="114300" simplePos="0" relativeHeight="251659264" behindDoc="0" locked="0" layoutInCell="1" allowOverlap="1" wp14:anchorId="450499B2" wp14:editId="5C89198E">
            <wp:simplePos x="0" y="0"/>
            <wp:positionH relativeFrom="column">
              <wp:posOffset>0</wp:posOffset>
            </wp:positionH>
            <wp:positionV relativeFrom="paragraph">
              <wp:posOffset>110</wp:posOffset>
            </wp:positionV>
            <wp:extent cx="5943600" cy="320230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3202305"/>
                    </a:xfrm>
                    <a:prstGeom prst="rect">
                      <a:avLst/>
                    </a:prstGeom>
                  </pic:spPr>
                </pic:pic>
              </a:graphicData>
            </a:graphic>
            <wp14:sizeRelH relativeFrom="page">
              <wp14:pctWidth>0</wp14:pctWidth>
            </wp14:sizeRelH>
            <wp14:sizeRelV relativeFrom="page">
              <wp14:pctHeight>0</wp14:pctHeight>
            </wp14:sizeRelV>
          </wp:anchor>
        </w:drawing>
      </w:r>
    </w:p>
    <w:p w14:paraId="18701187" w14:textId="042A619B" w:rsidR="003B1DEE" w:rsidRDefault="003B1DEE" w:rsidP="003B1DEE">
      <w:pPr>
        <w:jc w:val="both"/>
      </w:pPr>
      <w:r>
        <w:rPr>
          <w:b/>
          <w:bCs/>
        </w:rPr>
        <w:t>Fig. S</w:t>
      </w:r>
      <w:r w:rsidR="001F7DED">
        <w:rPr>
          <w:b/>
          <w:bCs/>
        </w:rPr>
        <w:t>4</w:t>
      </w:r>
      <w:r w:rsidRPr="00505D3C">
        <w:rPr>
          <w:b/>
          <w:bCs/>
        </w:rPr>
        <w:t>:</w:t>
      </w:r>
      <w:r w:rsidRPr="00505D3C">
        <w:t xml:space="preserve"> Tanimoto similarity scores of the Ullmann coupling partners. Identical molecules are given a score of 1. </w:t>
      </w:r>
      <w:r w:rsidRPr="00505D3C">
        <w:rPr>
          <w:b/>
          <w:bCs/>
        </w:rPr>
        <w:t>a.</w:t>
      </w:r>
      <w:r w:rsidRPr="00505D3C">
        <w:t xml:space="preserve"> Comparison of each halide coupling partner to every other halide in the dataset. </w:t>
      </w:r>
      <w:r w:rsidRPr="00505D3C">
        <w:rPr>
          <w:b/>
          <w:bCs/>
        </w:rPr>
        <w:t>b.</w:t>
      </w:r>
      <w:r w:rsidRPr="00505D3C">
        <w:t xml:space="preserve"> Comparison of each nucleophile coupling partner to every other nucleophile in the dataset.</w:t>
      </w:r>
    </w:p>
    <w:p w14:paraId="4125C4A7" w14:textId="28BA65A8" w:rsidR="003B1DEE" w:rsidRPr="00505D3C" w:rsidRDefault="003B1DEE" w:rsidP="003B1DEE">
      <w:pPr>
        <w:jc w:val="both"/>
      </w:pPr>
      <w:r w:rsidRPr="00505D3C">
        <w:br w:type="page"/>
      </w:r>
    </w:p>
    <w:p w14:paraId="60F61D32" w14:textId="77777777" w:rsidR="003B1DEE" w:rsidRPr="00505D3C" w:rsidRDefault="003B1DEE" w:rsidP="003B1DEE">
      <w:pPr>
        <w:jc w:val="both"/>
      </w:pPr>
      <w:r w:rsidRPr="00505D3C">
        <w:rPr>
          <w:noProof/>
        </w:rPr>
        <w:lastRenderedPageBreak/>
        <w:drawing>
          <wp:anchor distT="0" distB="0" distL="114300" distR="114300" simplePos="0" relativeHeight="251660288" behindDoc="0" locked="0" layoutInCell="1" allowOverlap="1" wp14:anchorId="23EA67DA" wp14:editId="729ECA6B">
            <wp:simplePos x="0" y="0"/>
            <wp:positionH relativeFrom="column">
              <wp:posOffset>0</wp:posOffset>
            </wp:positionH>
            <wp:positionV relativeFrom="paragraph">
              <wp:posOffset>0</wp:posOffset>
            </wp:positionV>
            <wp:extent cx="5943600" cy="327850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278505"/>
                    </a:xfrm>
                    <a:prstGeom prst="rect">
                      <a:avLst/>
                    </a:prstGeom>
                  </pic:spPr>
                </pic:pic>
              </a:graphicData>
            </a:graphic>
            <wp14:sizeRelH relativeFrom="page">
              <wp14:pctWidth>0</wp14:pctWidth>
            </wp14:sizeRelH>
            <wp14:sizeRelV relativeFrom="page">
              <wp14:pctHeight>0</wp14:pctHeight>
            </wp14:sizeRelV>
          </wp:anchor>
        </w:drawing>
      </w:r>
    </w:p>
    <w:p w14:paraId="5CCB01E5" w14:textId="0CB05000" w:rsidR="003B1DEE" w:rsidRPr="00505D3C" w:rsidRDefault="003B1DEE" w:rsidP="003B1DEE">
      <w:pPr>
        <w:jc w:val="both"/>
      </w:pPr>
      <w:r>
        <w:rPr>
          <w:b/>
          <w:bCs/>
        </w:rPr>
        <w:t>Fig. S</w:t>
      </w:r>
      <w:r w:rsidR="001F7DED">
        <w:rPr>
          <w:b/>
          <w:bCs/>
        </w:rPr>
        <w:t>5</w:t>
      </w:r>
      <w:r w:rsidRPr="00505D3C">
        <w:rPr>
          <w:b/>
          <w:bCs/>
        </w:rPr>
        <w:t>:</w:t>
      </w:r>
      <w:r w:rsidRPr="00505D3C">
        <w:t xml:space="preserve"> Tanimoto similarity scores of the hydrogenation molecules. Identical molecules are given a score of 1. </w:t>
      </w:r>
      <w:r w:rsidRPr="00505D3C">
        <w:rPr>
          <w:b/>
          <w:bCs/>
        </w:rPr>
        <w:t>a.</w:t>
      </w:r>
      <w:r w:rsidRPr="00505D3C">
        <w:t xml:space="preserve"> Comparison of each molecule to every other molecule undergoing heterogeneous hydrogenations. </w:t>
      </w:r>
      <w:r w:rsidRPr="00505D3C">
        <w:rPr>
          <w:b/>
          <w:bCs/>
        </w:rPr>
        <w:t>b.</w:t>
      </w:r>
      <w:r w:rsidRPr="00505D3C">
        <w:t xml:space="preserve"> Comparison of each molecule to every other molecule undergoing homogeneous hydrogenations.</w:t>
      </w:r>
    </w:p>
    <w:p w14:paraId="4D9CF1A2" w14:textId="343CFE92" w:rsidR="0057640C" w:rsidRDefault="003B1DEE">
      <w:r>
        <w:br w:type="page"/>
      </w:r>
      <w:r w:rsidR="0034028A" w:rsidRPr="0034028A">
        <w:rPr>
          <w:b/>
          <w:bCs/>
          <w:noProof/>
        </w:rPr>
        <w:lastRenderedPageBreak/>
        <w:drawing>
          <wp:anchor distT="0" distB="0" distL="114300" distR="114300" simplePos="0" relativeHeight="251665408" behindDoc="0" locked="0" layoutInCell="1" allowOverlap="1" wp14:anchorId="1AD4D7A9" wp14:editId="242637C9">
            <wp:simplePos x="0" y="0"/>
            <wp:positionH relativeFrom="column">
              <wp:posOffset>502171</wp:posOffset>
            </wp:positionH>
            <wp:positionV relativeFrom="paragraph">
              <wp:posOffset>0</wp:posOffset>
            </wp:positionV>
            <wp:extent cx="4991100" cy="52324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91100" cy="5232400"/>
                    </a:xfrm>
                    <a:prstGeom prst="rect">
                      <a:avLst/>
                    </a:prstGeom>
                  </pic:spPr>
                </pic:pic>
              </a:graphicData>
            </a:graphic>
            <wp14:sizeRelH relativeFrom="page">
              <wp14:pctWidth>0</wp14:pctWidth>
            </wp14:sizeRelH>
            <wp14:sizeRelV relativeFrom="page">
              <wp14:pctHeight>0</wp14:pctHeight>
            </wp14:sizeRelV>
          </wp:anchor>
        </w:drawing>
      </w:r>
      <w:r w:rsidR="001F7DED" w:rsidRPr="001F7DED">
        <w:rPr>
          <w:b/>
          <w:bCs/>
        </w:rPr>
        <w:t xml:space="preserve">Fig. S6: </w:t>
      </w:r>
      <w:r w:rsidR="001F7DED">
        <w:t>The zoomed out PCA of the Ullmann ligands.</w:t>
      </w:r>
    </w:p>
    <w:sectPr w:rsidR="0057640C" w:rsidSect="00E853D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242D" w14:textId="77777777" w:rsidR="006567E5" w:rsidRDefault="006567E5">
      <w:r>
        <w:separator/>
      </w:r>
    </w:p>
  </w:endnote>
  <w:endnote w:type="continuationSeparator" w:id="0">
    <w:p w14:paraId="45B3FEA6" w14:textId="77777777" w:rsidR="006567E5" w:rsidRDefault="0065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91D0" w14:textId="77777777" w:rsidR="00F125EE" w:rsidRDefault="00691AC7">
    <w:pPr>
      <w:pStyle w:val="Footer"/>
      <w:jc w:val="right"/>
    </w:pPr>
    <w:r>
      <w:fldChar w:fldCharType="begin"/>
    </w:r>
    <w:r>
      <w:instrText xml:space="preserve"> PAGE   \* MERGEFORMAT </w:instrText>
    </w:r>
    <w:r>
      <w:fldChar w:fldCharType="separate"/>
    </w:r>
    <w:r>
      <w:rPr>
        <w:noProof/>
      </w:rPr>
      <w:t>3</w:t>
    </w:r>
    <w:r>
      <w:fldChar w:fldCharType="end"/>
    </w:r>
  </w:p>
  <w:p w14:paraId="295D964E" w14:textId="77777777" w:rsidR="00F125E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497E" w14:textId="77777777" w:rsidR="006567E5" w:rsidRDefault="006567E5">
      <w:r>
        <w:separator/>
      </w:r>
    </w:p>
  </w:footnote>
  <w:footnote w:type="continuationSeparator" w:id="0">
    <w:p w14:paraId="5C39D8E8" w14:textId="77777777" w:rsidR="006567E5" w:rsidRDefault="00656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5BDD" w14:textId="77777777" w:rsidR="003A2FD8" w:rsidRPr="005001AC" w:rsidRDefault="00000000" w:rsidP="005001AC">
    <w:pPr>
      <w:jc w:val="right"/>
      <w:rPr>
        <w:sz w:val="20"/>
      </w:rPr>
    </w:pPr>
  </w:p>
  <w:p w14:paraId="317903D4" w14:textId="77777777" w:rsidR="003A2FD8"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stsxevkax5vredd985s5s4zrfd9e2ewa25&quot;&gt;Probing the Chemical Reactome&lt;record-ids&gt;&lt;item&gt;74&lt;/item&gt;&lt;/record-ids&gt;&lt;/item&gt;&lt;/Libraries&gt;"/>
  </w:docVars>
  <w:rsids>
    <w:rsidRoot w:val="003B1DEE"/>
    <w:rsid w:val="00030AEA"/>
    <w:rsid w:val="0003642D"/>
    <w:rsid w:val="00036DD7"/>
    <w:rsid w:val="000C54AC"/>
    <w:rsid w:val="000E70AD"/>
    <w:rsid w:val="0014461D"/>
    <w:rsid w:val="001B6956"/>
    <w:rsid w:val="001D6FA2"/>
    <w:rsid w:val="001F7DED"/>
    <w:rsid w:val="002128BE"/>
    <w:rsid w:val="002513FE"/>
    <w:rsid w:val="0025334A"/>
    <w:rsid w:val="00287122"/>
    <w:rsid w:val="00294CCF"/>
    <w:rsid w:val="002E1FA4"/>
    <w:rsid w:val="002F41D0"/>
    <w:rsid w:val="00300475"/>
    <w:rsid w:val="00310355"/>
    <w:rsid w:val="00324193"/>
    <w:rsid w:val="0034028A"/>
    <w:rsid w:val="00341FA3"/>
    <w:rsid w:val="0038772B"/>
    <w:rsid w:val="003919C5"/>
    <w:rsid w:val="003A4217"/>
    <w:rsid w:val="003A7A89"/>
    <w:rsid w:val="003B1DEE"/>
    <w:rsid w:val="003C7ADA"/>
    <w:rsid w:val="003F6884"/>
    <w:rsid w:val="00403093"/>
    <w:rsid w:val="00437888"/>
    <w:rsid w:val="00444E3F"/>
    <w:rsid w:val="004B4862"/>
    <w:rsid w:val="004C3CD5"/>
    <w:rsid w:val="004D5330"/>
    <w:rsid w:val="004E0A3A"/>
    <w:rsid w:val="004E7182"/>
    <w:rsid w:val="004E7816"/>
    <w:rsid w:val="00505A25"/>
    <w:rsid w:val="005360C9"/>
    <w:rsid w:val="0057640C"/>
    <w:rsid w:val="00585987"/>
    <w:rsid w:val="005927EA"/>
    <w:rsid w:val="005B0AEC"/>
    <w:rsid w:val="005D3E6A"/>
    <w:rsid w:val="005E0F1C"/>
    <w:rsid w:val="005E1556"/>
    <w:rsid w:val="005F65AF"/>
    <w:rsid w:val="006567E5"/>
    <w:rsid w:val="00663D17"/>
    <w:rsid w:val="00691AC7"/>
    <w:rsid w:val="00697F1D"/>
    <w:rsid w:val="00772282"/>
    <w:rsid w:val="00772918"/>
    <w:rsid w:val="00786013"/>
    <w:rsid w:val="007D75CA"/>
    <w:rsid w:val="0080111F"/>
    <w:rsid w:val="00831B33"/>
    <w:rsid w:val="008603EC"/>
    <w:rsid w:val="00864B90"/>
    <w:rsid w:val="008A6668"/>
    <w:rsid w:val="008C03DC"/>
    <w:rsid w:val="008C4266"/>
    <w:rsid w:val="008F34D5"/>
    <w:rsid w:val="00942214"/>
    <w:rsid w:val="009677DE"/>
    <w:rsid w:val="00973F97"/>
    <w:rsid w:val="00981BD8"/>
    <w:rsid w:val="0099245B"/>
    <w:rsid w:val="009A4FE2"/>
    <w:rsid w:val="009B04B4"/>
    <w:rsid w:val="009B411E"/>
    <w:rsid w:val="009D25EF"/>
    <w:rsid w:val="00A002A7"/>
    <w:rsid w:val="00A925DC"/>
    <w:rsid w:val="00A92E91"/>
    <w:rsid w:val="00AD5C57"/>
    <w:rsid w:val="00AD72FD"/>
    <w:rsid w:val="00B02EA4"/>
    <w:rsid w:val="00B259AB"/>
    <w:rsid w:val="00B735F8"/>
    <w:rsid w:val="00B95E04"/>
    <w:rsid w:val="00C2193C"/>
    <w:rsid w:val="00C270FF"/>
    <w:rsid w:val="00C84A5D"/>
    <w:rsid w:val="00C85C22"/>
    <w:rsid w:val="00D03338"/>
    <w:rsid w:val="00D04A01"/>
    <w:rsid w:val="00D119AD"/>
    <w:rsid w:val="00D93517"/>
    <w:rsid w:val="00D976B8"/>
    <w:rsid w:val="00DD0E83"/>
    <w:rsid w:val="00DF4E27"/>
    <w:rsid w:val="00E13313"/>
    <w:rsid w:val="00E6516A"/>
    <w:rsid w:val="00E73C0C"/>
    <w:rsid w:val="00EB00E2"/>
    <w:rsid w:val="00EF103A"/>
    <w:rsid w:val="00F0248E"/>
    <w:rsid w:val="00F10A96"/>
    <w:rsid w:val="00F23CF3"/>
    <w:rsid w:val="00F3786D"/>
    <w:rsid w:val="00F76697"/>
    <w:rsid w:val="00F97112"/>
    <w:rsid w:val="00FA05D5"/>
    <w:rsid w:val="00FB4D15"/>
    <w:rsid w:val="00FC7E00"/>
    <w:rsid w:val="00FE13B9"/>
    <w:rsid w:val="00FF32EE"/>
    <w:rsid w:val="51448478"/>
    <w:rsid w:val="77E76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AF344"/>
  <w15:chartTrackingRefBased/>
  <w15:docId w15:val="{B676EA6E-6894-8D4B-A36D-FC3E46DB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EE"/>
    <w:rPr>
      <w:rFonts w:ascii="Times New Roman" w:eastAsia="Times New Roman" w:hAnsi="Times New Roman" w:cs="Times New Roman"/>
      <w:szCs w:val="20"/>
      <w:lang w:eastAsia="en-US"/>
    </w:rPr>
  </w:style>
  <w:style w:type="paragraph" w:styleId="Heading1">
    <w:name w:val="heading 1"/>
    <w:basedOn w:val="Normal"/>
    <w:next w:val="Normal"/>
    <w:link w:val="Heading1Char"/>
    <w:uiPriority w:val="9"/>
    <w:qFormat/>
    <w:rsid w:val="003B1DE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link w:val="SMHeadingChar"/>
    <w:qFormat/>
    <w:rsid w:val="003B1DEE"/>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3B1DEE"/>
    <w:rPr>
      <w:u w:val="words"/>
    </w:rPr>
  </w:style>
  <w:style w:type="paragraph" w:customStyle="1" w:styleId="SMcaption">
    <w:name w:val="SM caption"/>
    <w:basedOn w:val="Normal"/>
    <w:qFormat/>
    <w:rsid w:val="003B1DEE"/>
  </w:style>
  <w:style w:type="paragraph" w:styleId="Footer">
    <w:name w:val="footer"/>
    <w:basedOn w:val="Normal"/>
    <w:link w:val="FooterChar"/>
    <w:semiHidden/>
    <w:rsid w:val="003B1DEE"/>
    <w:pPr>
      <w:tabs>
        <w:tab w:val="center" w:pos="4680"/>
        <w:tab w:val="right" w:pos="9360"/>
      </w:tabs>
    </w:pPr>
  </w:style>
  <w:style w:type="character" w:customStyle="1" w:styleId="FooterChar">
    <w:name w:val="Footer Char"/>
    <w:basedOn w:val="DefaultParagraphFont"/>
    <w:link w:val="Footer"/>
    <w:semiHidden/>
    <w:rsid w:val="003B1DEE"/>
    <w:rPr>
      <w:rFonts w:ascii="Times New Roman" w:eastAsia="Times New Roman" w:hAnsi="Times New Roman" w:cs="Times New Roman"/>
      <w:szCs w:val="20"/>
      <w:lang w:eastAsia="en-US"/>
    </w:rPr>
  </w:style>
  <w:style w:type="character" w:styleId="Hyperlink">
    <w:name w:val="Hyperlink"/>
    <w:semiHidden/>
    <w:rsid w:val="003B1DEE"/>
    <w:rPr>
      <w:color w:val="0000FF"/>
      <w:u w:val="single"/>
    </w:rPr>
  </w:style>
  <w:style w:type="character" w:customStyle="1" w:styleId="Heading1Char">
    <w:name w:val="Heading 1 Char"/>
    <w:basedOn w:val="DefaultParagraphFont"/>
    <w:link w:val="Heading1"/>
    <w:uiPriority w:val="9"/>
    <w:rsid w:val="003B1DEE"/>
    <w:rPr>
      <w:rFonts w:asciiTheme="majorHAnsi" w:eastAsiaTheme="majorEastAsia" w:hAnsiTheme="majorHAnsi" w:cstheme="majorBidi"/>
      <w:color w:val="2F5496" w:themeColor="accent1" w:themeShade="BF"/>
      <w:sz w:val="32"/>
      <w:szCs w:val="32"/>
      <w:lang w:eastAsia="en-US"/>
    </w:rPr>
  </w:style>
  <w:style w:type="paragraph" w:styleId="NormalWeb">
    <w:name w:val="Normal (Web)"/>
    <w:basedOn w:val="Normal"/>
    <w:uiPriority w:val="99"/>
    <w:semiHidden/>
    <w:unhideWhenUsed/>
    <w:rsid w:val="008C4266"/>
    <w:pPr>
      <w:spacing w:before="100" w:beforeAutospacing="1" w:after="100" w:afterAutospacing="1"/>
    </w:pPr>
    <w:rPr>
      <w:szCs w:val="24"/>
      <w:lang w:eastAsia="ja-JP"/>
    </w:rPr>
  </w:style>
  <w:style w:type="paragraph" w:customStyle="1" w:styleId="EndNoteBibliographyTitle">
    <w:name w:val="EndNote Bibliography Title"/>
    <w:basedOn w:val="Normal"/>
    <w:link w:val="EndNoteBibliographyTitleChar"/>
    <w:rsid w:val="008C4266"/>
    <w:pPr>
      <w:jc w:val="center"/>
    </w:pPr>
  </w:style>
  <w:style w:type="character" w:customStyle="1" w:styleId="SMHeadingChar">
    <w:name w:val="SM Heading Char"/>
    <w:basedOn w:val="Heading1Char"/>
    <w:link w:val="SMHeading"/>
    <w:rsid w:val="008C4266"/>
    <w:rPr>
      <w:rFonts w:ascii="Times New Roman" w:eastAsia="Times New Roman" w:hAnsi="Times New Roman" w:cs="Times New Roman"/>
      <w:b/>
      <w:bCs/>
      <w:color w:val="2F5496" w:themeColor="accent1" w:themeShade="BF"/>
      <w:kern w:val="32"/>
      <w:sz w:val="32"/>
      <w:szCs w:val="32"/>
      <w:lang w:eastAsia="en-US"/>
    </w:rPr>
  </w:style>
  <w:style w:type="character" w:customStyle="1" w:styleId="EndNoteBibliographyTitleChar">
    <w:name w:val="EndNote Bibliography Title Char"/>
    <w:basedOn w:val="SMHeadingChar"/>
    <w:link w:val="EndNoteBibliographyTitle"/>
    <w:rsid w:val="008C4266"/>
    <w:rPr>
      <w:rFonts w:ascii="Times New Roman" w:eastAsia="Times New Roman" w:hAnsi="Times New Roman" w:cs="Times New Roman"/>
      <w:b w:val="0"/>
      <w:bCs w:val="0"/>
      <w:color w:val="2F5496" w:themeColor="accent1" w:themeShade="BF"/>
      <w:kern w:val="32"/>
      <w:sz w:val="32"/>
      <w:szCs w:val="20"/>
      <w:lang w:eastAsia="en-US"/>
    </w:rPr>
  </w:style>
  <w:style w:type="paragraph" w:customStyle="1" w:styleId="EndNoteBibliography">
    <w:name w:val="EndNote Bibliography"/>
    <w:basedOn w:val="Normal"/>
    <w:link w:val="EndNoteBibliographyChar"/>
    <w:rsid w:val="008C4266"/>
  </w:style>
  <w:style w:type="character" w:customStyle="1" w:styleId="EndNoteBibliographyChar">
    <w:name w:val="EndNote Bibliography Char"/>
    <w:basedOn w:val="SMHeadingChar"/>
    <w:link w:val="EndNoteBibliography"/>
    <w:rsid w:val="008C4266"/>
    <w:rPr>
      <w:rFonts w:ascii="Times New Roman" w:eastAsia="Times New Roman" w:hAnsi="Times New Roman" w:cs="Times New Roman"/>
      <w:b w:val="0"/>
      <w:bCs w:val="0"/>
      <w:color w:val="2F5496" w:themeColor="accent1" w:themeShade="BF"/>
      <w:kern w:val="32"/>
      <w:sz w:val="32"/>
      <w:szCs w:val="20"/>
      <w:lang w:eastAsia="en-US"/>
    </w:rPr>
  </w:style>
  <w:style w:type="character" w:styleId="CommentReference">
    <w:name w:val="annotation reference"/>
    <w:basedOn w:val="DefaultParagraphFont"/>
    <w:unhideWhenUsed/>
    <w:rsid w:val="002E1FA4"/>
    <w:rPr>
      <w:sz w:val="16"/>
      <w:szCs w:val="16"/>
    </w:rPr>
  </w:style>
  <w:style w:type="paragraph" w:styleId="CommentText">
    <w:name w:val="annotation text"/>
    <w:basedOn w:val="Normal"/>
    <w:link w:val="CommentTextChar"/>
    <w:semiHidden/>
    <w:unhideWhenUsed/>
    <w:rsid w:val="002E1FA4"/>
    <w:rPr>
      <w:sz w:val="20"/>
    </w:rPr>
  </w:style>
  <w:style w:type="character" w:customStyle="1" w:styleId="CommentTextChar">
    <w:name w:val="Comment Text Char"/>
    <w:basedOn w:val="DefaultParagraphFont"/>
    <w:link w:val="CommentText"/>
    <w:semiHidden/>
    <w:rsid w:val="002E1FA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2E1FA4"/>
    <w:rPr>
      <w:b/>
      <w:bCs/>
    </w:rPr>
  </w:style>
  <w:style w:type="character" w:customStyle="1" w:styleId="CommentSubjectChar">
    <w:name w:val="Comment Subject Char"/>
    <w:basedOn w:val="CommentTextChar"/>
    <w:link w:val="CommentSubject"/>
    <w:uiPriority w:val="99"/>
    <w:semiHidden/>
    <w:rsid w:val="002E1FA4"/>
    <w:rPr>
      <w:rFonts w:ascii="Times New Roman" w:eastAsia="Times New Roman" w:hAnsi="Times New Roman" w:cs="Times New Roman"/>
      <w:b/>
      <w:bCs/>
      <w:sz w:val="20"/>
      <w:szCs w:val="20"/>
      <w:lang w:eastAsia="en-US"/>
    </w:rPr>
  </w:style>
  <w:style w:type="paragraph" w:styleId="Revision">
    <w:name w:val="Revision"/>
    <w:hidden/>
    <w:uiPriority w:val="99"/>
    <w:semiHidden/>
    <w:rsid w:val="00F10A96"/>
    <w:rPr>
      <w:rFonts w:ascii="Times New Roman" w:eastAsia="Times New Roman" w:hAnsi="Times New Roman" w:cs="Times New Roman"/>
      <w:szCs w:val="20"/>
      <w:lang w:eastAsia="en-US"/>
    </w:rPr>
  </w:style>
  <w:style w:type="character" w:styleId="LineNumber">
    <w:name w:val="line number"/>
    <w:basedOn w:val="DefaultParagraphFont"/>
    <w:uiPriority w:val="99"/>
    <w:semiHidden/>
    <w:unhideWhenUsed/>
    <w:rsid w:val="00F0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King-Smith</dc:creator>
  <cp:keywords/>
  <dc:description/>
  <cp:lastModifiedBy>Emma King-Smith</cp:lastModifiedBy>
  <cp:revision>5</cp:revision>
  <cp:lastPrinted>2022-10-16T13:54:00Z</cp:lastPrinted>
  <dcterms:created xsi:type="dcterms:W3CDTF">2022-10-23T09:37:00Z</dcterms:created>
  <dcterms:modified xsi:type="dcterms:W3CDTF">2022-11-10T13:51:00Z</dcterms:modified>
</cp:coreProperties>
</file>