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40E059" w14:textId="77777777" w:rsidR="00A46F97" w:rsidRDefault="00A46F97" w:rsidP="00A46F9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bookmarkStart w:id="0" w:name="_Hlk117115604"/>
      <w:bookmarkStart w:id="1" w:name="_GoBack"/>
      <w:bookmarkEnd w:id="1"/>
      <w:r w:rsidRPr="009524EB">
        <w:rPr>
          <w:rFonts w:ascii="Times New Roman" w:hAnsi="Times New Roman" w:cs="Times New Roman"/>
          <w:b/>
          <w:bCs/>
          <w:sz w:val="24"/>
        </w:rPr>
        <w:t xml:space="preserve">Supplementary Figure S1. </w:t>
      </w:r>
      <w:r w:rsidRPr="00A46F97">
        <w:rPr>
          <w:rFonts w:ascii="Times New Roman" w:hAnsi="Times New Roman" w:cs="Times New Roman" w:hint="eastAsia"/>
          <w:sz w:val="24"/>
        </w:rPr>
        <w:t>F</w:t>
      </w:r>
      <w:r w:rsidRPr="00A46F97">
        <w:rPr>
          <w:rFonts w:ascii="Times New Roman" w:hAnsi="Times New Roman" w:cs="Times New Roman"/>
          <w:sz w:val="24"/>
        </w:rPr>
        <w:t>low diagram of the study.</w:t>
      </w:r>
    </w:p>
    <w:bookmarkEnd w:id="0"/>
    <w:p w14:paraId="039FEC5B" w14:textId="1F0FE909" w:rsidR="00A46F97" w:rsidRDefault="00BA4F85" w:rsidP="00A46F97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CA48D01" wp14:editId="4FE1A8A7">
            <wp:extent cx="5722620" cy="3741420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374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A0DA2" w14:textId="0E9EE765" w:rsidR="00A46F97" w:rsidRDefault="00A46F97" w:rsidP="00A46F97">
      <w:pPr>
        <w:spacing w:line="480" w:lineRule="auto"/>
        <w:rPr>
          <w:rFonts w:ascii="Times New Roman" w:hAnsi="Times New Roman" w:cs="Times New Roman"/>
          <w:sz w:val="24"/>
        </w:rPr>
        <w:sectPr w:rsidR="00A46F97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116242">
        <w:rPr>
          <w:rFonts w:ascii="Times New Roman" w:hAnsi="Times New Roman" w:cs="Times New Roman"/>
          <w:sz w:val="24"/>
        </w:rPr>
        <w:t>Abbreviations</w:t>
      </w:r>
      <w:r>
        <w:rPr>
          <w:rFonts w:ascii="Times New Roman" w:hAnsi="Times New Roman" w:cs="Times New Roman"/>
          <w:sz w:val="24"/>
        </w:rPr>
        <w:t xml:space="preserve">: CRRT, continuous renal replacement therapy; ESKD, end-stage kidney disease; </w:t>
      </w:r>
      <w:r w:rsidR="001F3CEB">
        <w:rPr>
          <w:rFonts w:ascii="Times New Roman" w:hAnsi="Times New Roman" w:cs="Times New Roman" w:hint="eastAsia"/>
          <w:sz w:val="24"/>
        </w:rPr>
        <w:t>AKI,</w:t>
      </w:r>
      <w:r w:rsidR="001F3CEB">
        <w:rPr>
          <w:rFonts w:ascii="Times New Roman" w:hAnsi="Times New Roman" w:cs="Times New Roman"/>
          <w:sz w:val="24"/>
        </w:rPr>
        <w:t xml:space="preserve"> </w:t>
      </w:r>
      <w:r w:rsidR="001F3CEB">
        <w:rPr>
          <w:rFonts w:ascii="Times New Roman" w:hAnsi="Times New Roman" w:cs="Times New Roman" w:hint="eastAsia"/>
          <w:sz w:val="24"/>
        </w:rPr>
        <w:t>acute</w:t>
      </w:r>
      <w:r w:rsidR="001F3CEB">
        <w:rPr>
          <w:rFonts w:ascii="Times New Roman" w:hAnsi="Times New Roman" w:cs="Times New Roman"/>
          <w:sz w:val="24"/>
        </w:rPr>
        <w:t xml:space="preserve"> </w:t>
      </w:r>
      <w:r w:rsidR="001F3CEB">
        <w:rPr>
          <w:rFonts w:ascii="Times New Roman" w:hAnsi="Times New Roman" w:cs="Times New Roman" w:hint="eastAsia"/>
          <w:sz w:val="24"/>
        </w:rPr>
        <w:t>kidney</w:t>
      </w:r>
      <w:r w:rsidR="001F3CEB">
        <w:rPr>
          <w:rFonts w:ascii="Times New Roman" w:hAnsi="Times New Roman" w:cs="Times New Roman"/>
          <w:sz w:val="24"/>
        </w:rPr>
        <w:t xml:space="preserve"> </w:t>
      </w:r>
      <w:r w:rsidR="001F3CEB">
        <w:rPr>
          <w:rFonts w:ascii="Times New Roman" w:hAnsi="Times New Roman" w:cs="Times New Roman" w:hint="eastAsia"/>
          <w:sz w:val="24"/>
        </w:rPr>
        <w:t>injury;</w:t>
      </w:r>
      <w:r w:rsidR="001F3CE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CRP, C-reactive protein.</w:t>
      </w:r>
    </w:p>
    <w:p w14:paraId="1F470281" w14:textId="3B22F455" w:rsidR="00A46F97" w:rsidRPr="00DF31D4" w:rsidRDefault="00A46F97" w:rsidP="00A46F97">
      <w:pPr>
        <w:spacing w:line="480" w:lineRule="auto"/>
        <w:rPr>
          <w:rFonts w:ascii="Times New Roman" w:hAnsi="Times New Roman" w:cs="Times New Roman"/>
          <w:b/>
          <w:sz w:val="24"/>
        </w:rPr>
      </w:pPr>
      <w:bookmarkStart w:id="2" w:name="_Hlk117115616"/>
      <w:r w:rsidRPr="00DF31D4">
        <w:rPr>
          <w:rFonts w:ascii="Times New Roman" w:hAnsi="Times New Roman" w:cs="Times New Roman"/>
          <w:b/>
          <w:sz w:val="24"/>
        </w:rPr>
        <w:lastRenderedPageBreak/>
        <w:t xml:space="preserve">Supplementary Table </w:t>
      </w:r>
      <w:r w:rsidR="005331BB">
        <w:rPr>
          <w:rFonts w:ascii="Times New Roman" w:hAnsi="Times New Roman" w:cs="Times New Roman" w:hint="eastAsia"/>
          <w:b/>
          <w:sz w:val="24"/>
        </w:rPr>
        <w:t>S</w:t>
      </w:r>
      <w:r w:rsidRPr="00DF31D4">
        <w:rPr>
          <w:rFonts w:ascii="Times New Roman" w:hAnsi="Times New Roman" w:cs="Times New Roman"/>
          <w:b/>
          <w:sz w:val="24"/>
        </w:rPr>
        <w:t xml:space="preserve">1. </w:t>
      </w:r>
      <w:r w:rsidRPr="00A46F97">
        <w:rPr>
          <w:rFonts w:ascii="Times New Roman" w:hAnsi="Times New Roman" w:cs="Times New Roman"/>
          <w:bCs/>
          <w:sz w:val="24"/>
        </w:rPr>
        <w:t>Cox regression analyses for 7- and 30-day mortality in the CAR quartile groups</w:t>
      </w:r>
    </w:p>
    <w:bookmarkEnd w:id="2"/>
    <w:tbl>
      <w:tblPr>
        <w:tblStyle w:val="5"/>
        <w:tblW w:w="13606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6"/>
        <w:gridCol w:w="1928"/>
        <w:gridCol w:w="1077"/>
        <w:gridCol w:w="1928"/>
        <w:gridCol w:w="1077"/>
        <w:gridCol w:w="1928"/>
        <w:gridCol w:w="1077"/>
        <w:gridCol w:w="1928"/>
        <w:gridCol w:w="1077"/>
      </w:tblGrid>
      <w:tr w:rsidR="00A46F97" w:rsidRPr="00104428" w14:paraId="660A21C0" w14:textId="77777777" w:rsidTr="001F3CEB">
        <w:trPr>
          <w:trHeight w:val="170"/>
        </w:trPr>
        <w:tc>
          <w:tcPr>
            <w:tcW w:w="1586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0237E290" w14:textId="77777777" w:rsidR="00A46F97" w:rsidRPr="00DF31D4" w:rsidRDefault="00A46F97" w:rsidP="001F3CEB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30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FB5DAB" w14:textId="77777777" w:rsidR="00A46F97" w:rsidRPr="00DF31D4" w:rsidRDefault="00A46F97" w:rsidP="00F7558C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bCs/>
                <w:szCs w:val="20"/>
              </w:rPr>
              <w:t>Model 1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453B2C" w14:textId="77777777" w:rsidR="00A46F97" w:rsidRPr="00DF31D4" w:rsidRDefault="00A46F97" w:rsidP="00F7558C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bCs/>
                <w:szCs w:val="20"/>
              </w:rPr>
              <w:t>Model 2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FBCD7E" w14:textId="77777777" w:rsidR="00A46F97" w:rsidRPr="00DF31D4" w:rsidRDefault="00A46F97" w:rsidP="00F7558C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bCs/>
                <w:szCs w:val="20"/>
              </w:rPr>
              <w:t>Model 3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30731B1" w14:textId="77777777" w:rsidR="00A46F97" w:rsidRPr="00DF31D4" w:rsidRDefault="00A46F97" w:rsidP="00F7558C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bCs/>
                <w:szCs w:val="20"/>
              </w:rPr>
              <w:t>Model 4</w:t>
            </w:r>
          </w:p>
        </w:tc>
      </w:tr>
      <w:tr w:rsidR="00A46F97" w:rsidRPr="00104428" w14:paraId="228C21AC" w14:textId="77777777" w:rsidTr="001F3CEB">
        <w:trPr>
          <w:trHeight w:val="170"/>
        </w:trPr>
        <w:tc>
          <w:tcPr>
            <w:tcW w:w="1586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2DBDA369" w14:textId="77777777" w:rsidR="00A46F97" w:rsidRPr="00DF31D4" w:rsidRDefault="00A46F97" w:rsidP="001F3CEB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14:paraId="5F32B2C2" w14:textId="77777777" w:rsidR="00A46F97" w:rsidRPr="00DF31D4" w:rsidRDefault="00A46F97" w:rsidP="00F7558C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HR (95% CI)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14:paraId="37009E7C" w14:textId="77777777" w:rsidR="00A46F97" w:rsidRPr="00DF31D4" w:rsidRDefault="00A46F97" w:rsidP="00F7558C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i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i/>
                <w:szCs w:val="20"/>
              </w:rPr>
              <w:t>P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14:paraId="2DCCC501" w14:textId="77777777" w:rsidR="00A46F97" w:rsidRPr="00DF31D4" w:rsidRDefault="00A46F97" w:rsidP="00F7558C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aHR (95% CI)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14:paraId="23AE758E" w14:textId="77777777" w:rsidR="00A46F97" w:rsidRPr="00DF31D4" w:rsidRDefault="00A46F97" w:rsidP="00F7558C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i/>
                <w:szCs w:val="20"/>
              </w:rPr>
              <w:t>P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14:paraId="76E09948" w14:textId="77777777" w:rsidR="00A46F97" w:rsidRPr="00DF31D4" w:rsidRDefault="00A46F97" w:rsidP="00F7558C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aHR (95% CI)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14:paraId="2165510D" w14:textId="77777777" w:rsidR="00A46F97" w:rsidRPr="00DF31D4" w:rsidRDefault="00A46F97" w:rsidP="00F7558C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i/>
                <w:szCs w:val="20"/>
              </w:rPr>
              <w:t>P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14:paraId="46E316CB" w14:textId="77777777" w:rsidR="00A46F97" w:rsidRPr="00DF31D4" w:rsidRDefault="00A46F97" w:rsidP="00F7558C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aHR (95% CI)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0EE56FF" w14:textId="77777777" w:rsidR="00A46F97" w:rsidRPr="00DF31D4" w:rsidRDefault="00A46F97" w:rsidP="00F7558C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i/>
                <w:szCs w:val="20"/>
              </w:rPr>
              <w:t>P</w:t>
            </w:r>
          </w:p>
        </w:tc>
      </w:tr>
      <w:tr w:rsidR="00A46F97" w:rsidRPr="00104428" w14:paraId="6278E20B" w14:textId="77777777" w:rsidTr="001F3CEB">
        <w:trPr>
          <w:trHeight w:val="170"/>
        </w:trPr>
        <w:tc>
          <w:tcPr>
            <w:tcW w:w="136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F47D53" w14:textId="77777777" w:rsidR="00A46F97" w:rsidRPr="00DF31D4" w:rsidRDefault="00A46F97" w:rsidP="001F3CEB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7-day mortality</w:t>
            </w:r>
          </w:p>
        </w:tc>
      </w:tr>
      <w:tr w:rsidR="00A46F97" w:rsidRPr="00104428" w14:paraId="784E9DF2" w14:textId="77777777" w:rsidTr="001F3CEB">
        <w:trPr>
          <w:trHeight w:val="170"/>
        </w:trPr>
        <w:tc>
          <w:tcPr>
            <w:tcW w:w="1586" w:type="dxa"/>
            <w:tcBorders>
              <w:top w:val="single" w:sz="4" w:space="0" w:color="auto"/>
              <w:left w:val="nil"/>
            </w:tcBorders>
            <w:vAlign w:val="center"/>
          </w:tcPr>
          <w:p w14:paraId="5284BACE" w14:textId="77777777" w:rsidR="00A46F97" w:rsidRPr="00DF31D4" w:rsidRDefault="00A46F97" w:rsidP="001F3CEB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Quartile 1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</w:tcBorders>
            <w:vAlign w:val="center"/>
          </w:tcPr>
          <w:p w14:paraId="48FF3F83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Reference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</w:tcBorders>
            <w:vAlign w:val="center"/>
          </w:tcPr>
          <w:p w14:paraId="033453CB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Reference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</w:tcBorders>
            <w:vAlign w:val="center"/>
          </w:tcPr>
          <w:p w14:paraId="097F4600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Reference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right w:val="nil"/>
            </w:tcBorders>
            <w:vAlign w:val="center"/>
          </w:tcPr>
          <w:p w14:paraId="72AD2AC4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Reference</w:t>
            </w:r>
          </w:p>
        </w:tc>
      </w:tr>
      <w:tr w:rsidR="00A46F97" w:rsidRPr="00104428" w14:paraId="7AA37FC1" w14:textId="77777777" w:rsidTr="001F3CEB">
        <w:trPr>
          <w:trHeight w:val="170"/>
        </w:trPr>
        <w:tc>
          <w:tcPr>
            <w:tcW w:w="1586" w:type="dxa"/>
            <w:tcBorders>
              <w:left w:val="nil"/>
            </w:tcBorders>
            <w:vAlign w:val="center"/>
          </w:tcPr>
          <w:p w14:paraId="7B0E4E76" w14:textId="77777777" w:rsidR="00A46F97" w:rsidRPr="00DF31D4" w:rsidRDefault="00A46F97" w:rsidP="001F3CEB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Quartile 2</w:t>
            </w:r>
          </w:p>
        </w:tc>
        <w:tc>
          <w:tcPr>
            <w:tcW w:w="1928" w:type="dxa"/>
            <w:vAlign w:val="center"/>
          </w:tcPr>
          <w:p w14:paraId="6EE50751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0.98 (0.84–1.13)</w:t>
            </w:r>
          </w:p>
        </w:tc>
        <w:tc>
          <w:tcPr>
            <w:tcW w:w="1077" w:type="dxa"/>
            <w:vAlign w:val="center"/>
          </w:tcPr>
          <w:p w14:paraId="63569167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0.731</w:t>
            </w:r>
          </w:p>
        </w:tc>
        <w:tc>
          <w:tcPr>
            <w:tcW w:w="1928" w:type="dxa"/>
            <w:vAlign w:val="center"/>
          </w:tcPr>
          <w:p w14:paraId="0B151AAD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0.97 (0.84–1.12)</w:t>
            </w:r>
          </w:p>
        </w:tc>
        <w:tc>
          <w:tcPr>
            <w:tcW w:w="1077" w:type="dxa"/>
            <w:vAlign w:val="center"/>
          </w:tcPr>
          <w:p w14:paraId="43AD14CC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0.690</w:t>
            </w:r>
          </w:p>
        </w:tc>
        <w:tc>
          <w:tcPr>
            <w:tcW w:w="1928" w:type="dxa"/>
            <w:vAlign w:val="center"/>
          </w:tcPr>
          <w:p w14:paraId="6203A78E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0.96 (0.83–1.11)</w:t>
            </w:r>
          </w:p>
        </w:tc>
        <w:tc>
          <w:tcPr>
            <w:tcW w:w="1077" w:type="dxa"/>
            <w:vAlign w:val="center"/>
          </w:tcPr>
          <w:p w14:paraId="413FDD6F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0.555</w:t>
            </w:r>
          </w:p>
        </w:tc>
        <w:tc>
          <w:tcPr>
            <w:tcW w:w="1928" w:type="dxa"/>
            <w:vAlign w:val="center"/>
          </w:tcPr>
          <w:p w14:paraId="4A1EC5EA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1.00 (0.85–1.18)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199B6CA4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0.983</w:t>
            </w:r>
          </w:p>
        </w:tc>
      </w:tr>
      <w:tr w:rsidR="00A46F97" w:rsidRPr="00104428" w14:paraId="78B6F0B7" w14:textId="77777777" w:rsidTr="001F3CEB">
        <w:trPr>
          <w:trHeight w:val="170"/>
        </w:trPr>
        <w:tc>
          <w:tcPr>
            <w:tcW w:w="1586" w:type="dxa"/>
            <w:tcBorders>
              <w:left w:val="nil"/>
            </w:tcBorders>
            <w:vAlign w:val="center"/>
          </w:tcPr>
          <w:p w14:paraId="6D690772" w14:textId="77777777" w:rsidR="00A46F97" w:rsidRPr="00DF31D4" w:rsidRDefault="00A46F97" w:rsidP="001F3CEB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Quartile 3</w:t>
            </w:r>
          </w:p>
        </w:tc>
        <w:tc>
          <w:tcPr>
            <w:tcW w:w="1928" w:type="dxa"/>
            <w:vAlign w:val="center"/>
          </w:tcPr>
          <w:p w14:paraId="714F95D3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1.11 (0.96–1.28)</w:t>
            </w:r>
          </w:p>
        </w:tc>
        <w:tc>
          <w:tcPr>
            <w:tcW w:w="1077" w:type="dxa"/>
            <w:vAlign w:val="center"/>
          </w:tcPr>
          <w:p w14:paraId="1533B1C5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0.148</w:t>
            </w:r>
          </w:p>
        </w:tc>
        <w:tc>
          <w:tcPr>
            <w:tcW w:w="1928" w:type="dxa"/>
            <w:vAlign w:val="center"/>
          </w:tcPr>
          <w:p w14:paraId="7B379E9E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1.10 (0.96–1.27)</w:t>
            </w:r>
          </w:p>
        </w:tc>
        <w:tc>
          <w:tcPr>
            <w:tcW w:w="1077" w:type="dxa"/>
            <w:vAlign w:val="center"/>
          </w:tcPr>
          <w:p w14:paraId="1FCCFB40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0.180</w:t>
            </w:r>
          </w:p>
        </w:tc>
        <w:tc>
          <w:tcPr>
            <w:tcW w:w="1928" w:type="dxa"/>
            <w:vAlign w:val="center"/>
          </w:tcPr>
          <w:p w14:paraId="15CF96CD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1.10 (0.96–1.27)</w:t>
            </w:r>
          </w:p>
        </w:tc>
        <w:tc>
          <w:tcPr>
            <w:tcW w:w="1077" w:type="dxa"/>
            <w:vAlign w:val="center"/>
          </w:tcPr>
          <w:p w14:paraId="57D8F410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0.168</w:t>
            </w:r>
          </w:p>
        </w:tc>
        <w:tc>
          <w:tcPr>
            <w:tcW w:w="1928" w:type="dxa"/>
            <w:vAlign w:val="center"/>
          </w:tcPr>
          <w:p w14:paraId="3917EF7E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1.07 (0.91–1.25)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664B7AE8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0.404</w:t>
            </w:r>
          </w:p>
        </w:tc>
      </w:tr>
      <w:tr w:rsidR="00A46F97" w:rsidRPr="00104428" w14:paraId="07E29BFB" w14:textId="77777777" w:rsidTr="001F3CEB">
        <w:trPr>
          <w:trHeight w:val="170"/>
        </w:trPr>
        <w:tc>
          <w:tcPr>
            <w:tcW w:w="1586" w:type="dxa"/>
            <w:tcBorders>
              <w:left w:val="nil"/>
              <w:bottom w:val="single" w:sz="4" w:space="0" w:color="auto"/>
            </w:tcBorders>
            <w:vAlign w:val="center"/>
          </w:tcPr>
          <w:p w14:paraId="1D3DA5E7" w14:textId="77777777" w:rsidR="00A46F97" w:rsidRPr="00DF31D4" w:rsidRDefault="00A46F97" w:rsidP="001F3CEB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Quartile 4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14:paraId="6112477D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1.41 (1.23–1.61)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vAlign w:val="center"/>
          </w:tcPr>
          <w:p w14:paraId="154D6592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14:paraId="553E5FBD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1.39 (1.22–1.59)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vAlign w:val="center"/>
          </w:tcPr>
          <w:p w14:paraId="54EBBD5C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14:paraId="72CC5B3E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1.36 (1.19–1.56)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vAlign w:val="center"/>
          </w:tcPr>
          <w:p w14:paraId="24D55E26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14:paraId="28899EC3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1.24 (1.07–1.44)</w:t>
            </w:r>
          </w:p>
        </w:tc>
        <w:tc>
          <w:tcPr>
            <w:tcW w:w="1077" w:type="dxa"/>
            <w:tcBorders>
              <w:bottom w:val="single" w:sz="4" w:space="0" w:color="auto"/>
              <w:right w:val="nil"/>
            </w:tcBorders>
            <w:vAlign w:val="center"/>
          </w:tcPr>
          <w:p w14:paraId="429C7934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0.005</w:t>
            </w:r>
          </w:p>
        </w:tc>
      </w:tr>
      <w:tr w:rsidR="00A46F97" w:rsidRPr="00104428" w14:paraId="1803B86C" w14:textId="77777777" w:rsidTr="001F3CEB">
        <w:trPr>
          <w:trHeight w:val="170"/>
        </w:trPr>
        <w:tc>
          <w:tcPr>
            <w:tcW w:w="136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86A8BA" w14:textId="29C520C0" w:rsidR="00A46F97" w:rsidRPr="00DF31D4" w:rsidRDefault="00A46F97" w:rsidP="001F3CEB">
            <w:pPr>
              <w:tabs>
                <w:tab w:val="left" w:pos="2205"/>
              </w:tabs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30-day mortality</w:t>
            </w:r>
          </w:p>
        </w:tc>
      </w:tr>
      <w:tr w:rsidR="00A46F97" w:rsidRPr="00104428" w14:paraId="072928F8" w14:textId="77777777" w:rsidTr="001F3CEB">
        <w:trPr>
          <w:trHeight w:val="170"/>
        </w:trPr>
        <w:tc>
          <w:tcPr>
            <w:tcW w:w="1586" w:type="dxa"/>
            <w:tcBorders>
              <w:top w:val="single" w:sz="4" w:space="0" w:color="auto"/>
              <w:left w:val="nil"/>
            </w:tcBorders>
            <w:vAlign w:val="center"/>
          </w:tcPr>
          <w:p w14:paraId="61C6BA55" w14:textId="77777777" w:rsidR="00A46F97" w:rsidRPr="00DF31D4" w:rsidRDefault="00A46F97" w:rsidP="001F3CEB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Quartile 1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</w:tcBorders>
            <w:vAlign w:val="center"/>
          </w:tcPr>
          <w:p w14:paraId="1FE74A70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Reference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</w:tcBorders>
            <w:vAlign w:val="center"/>
          </w:tcPr>
          <w:p w14:paraId="071F7253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Reference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</w:tcBorders>
            <w:vAlign w:val="center"/>
          </w:tcPr>
          <w:p w14:paraId="5C718024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Reference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right w:val="nil"/>
            </w:tcBorders>
            <w:vAlign w:val="center"/>
          </w:tcPr>
          <w:p w14:paraId="094DC271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Reference</w:t>
            </w:r>
          </w:p>
        </w:tc>
      </w:tr>
      <w:tr w:rsidR="00A46F97" w:rsidRPr="00104428" w14:paraId="0B94AE03" w14:textId="77777777" w:rsidTr="001F3CEB">
        <w:trPr>
          <w:trHeight w:val="170"/>
        </w:trPr>
        <w:tc>
          <w:tcPr>
            <w:tcW w:w="1586" w:type="dxa"/>
            <w:tcBorders>
              <w:left w:val="nil"/>
            </w:tcBorders>
            <w:vAlign w:val="center"/>
          </w:tcPr>
          <w:p w14:paraId="5115633F" w14:textId="77777777" w:rsidR="00A46F97" w:rsidRPr="00DF31D4" w:rsidRDefault="00A46F97" w:rsidP="001F3CEB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Quartile 2</w:t>
            </w:r>
          </w:p>
        </w:tc>
        <w:tc>
          <w:tcPr>
            <w:tcW w:w="1928" w:type="dxa"/>
            <w:vAlign w:val="center"/>
          </w:tcPr>
          <w:p w14:paraId="3C8D47B8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1.07 (0.95–1.21)</w:t>
            </w:r>
          </w:p>
        </w:tc>
        <w:tc>
          <w:tcPr>
            <w:tcW w:w="1077" w:type="dxa"/>
            <w:vAlign w:val="center"/>
          </w:tcPr>
          <w:p w14:paraId="130543E6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0.271</w:t>
            </w:r>
          </w:p>
        </w:tc>
        <w:tc>
          <w:tcPr>
            <w:tcW w:w="1928" w:type="dxa"/>
            <w:vAlign w:val="center"/>
          </w:tcPr>
          <w:p w14:paraId="4C0A912A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1.07 (0.95–1.20)</w:t>
            </w:r>
          </w:p>
        </w:tc>
        <w:tc>
          <w:tcPr>
            <w:tcW w:w="1077" w:type="dxa"/>
            <w:vAlign w:val="center"/>
          </w:tcPr>
          <w:p w14:paraId="4C6FE474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0.300</w:t>
            </w:r>
          </w:p>
        </w:tc>
        <w:tc>
          <w:tcPr>
            <w:tcW w:w="1928" w:type="dxa"/>
            <w:vAlign w:val="center"/>
          </w:tcPr>
          <w:p w14:paraId="7B9C1B11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1.06 (0.94–1.20)</w:t>
            </w:r>
          </w:p>
        </w:tc>
        <w:tc>
          <w:tcPr>
            <w:tcW w:w="1077" w:type="dxa"/>
            <w:vAlign w:val="center"/>
          </w:tcPr>
          <w:p w14:paraId="2EC74EB7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0.345</w:t>
            </w:r>
          </w:p>
        </w:tc>
        <w:tc>
          <w:tcPr>
            <w:tcW w:w="1928" w:type="dxa"/>
            <w:vAlign w:val="center"/>
          </w:tcPr>
          <w:p w14:paraId="2F239FEB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1.10 (0.96–1.25)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04BAC142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0.182</w:t>
            </w:r>
          </w:p>
        </w:tc>
      </w:tr>
      <w:tr w:rsidR="00A46F97" w:rsidRPr="00104428" w14:paraId="061857AC" w14:textId="77777777" w:rsidTr="001F3CEB">
        <w:trPr>
          <w:trHeight w:val="170"/>
        </w:trPr>
        <w:tc>
          <w:tcPr>
            <w:tcW w:w="1586" w:type="dxa"/>
            <w:tcBorders>
              <w:left w:val="nil"/>
            </w:tcBorders>
            <w:vAlign w:val="center"/>
          </w:tcPr>
          <w:p w14:paraId="61E462EF" w14:textId="77777777" w:rsidR="00A46F97" w:rsidRPr="00DF31D4" w:rsidRDefault="00A46F97" w:rsidP="001F3CEB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Quartile 3</w:t>
            </w:r>
          </w:p>
        </w:tc>
        <w:tc>
          <w:tcPr>
            <w:tcW w:w="1928" w:type="dxa"/>
            <w:vAlign w:val="center"/>
          </w:tcPr>
          <w:p w14:paraId="11B44D5C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1.20 (1.07–1.35)</w:t>
            </w:r>
          </w:p>
        </w:tc>
        <w:tc>
          <w:tcPr>
            <w:tcW w:w="1077" w:type="dxa"/>
            <w:vAlign w:val="center"/>
          </w:tcPr>
          <w:p w14:paraId="4D08706D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0.003</w:t>
            </w:r>
          </w:p>
        </w:tc>
        <w:tc>
          <w:tcPr>
            <w:tcW w:w="1928" w:type="dxa"/>
            <w:vAlign w:val="center"/>
          </w:tcPr>
          <w:p w14:paraId="57CDF3AB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1.19 (1.06–1.34)</w:t>
            </w:r>
          </w:p>
        </w:tc>
        <w:tc>
          <w:tcPr>
            <w:tcW w:w="1077" w:type="dxa"/>
            <w:vAlign w:val="center"/>
          </w:tcPr>
          <w:p w14:paraId="1309BA72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0.004</w:t>
            </w:r>
          </w:p>
        </w:tc>
        <w:tc>
          <w:tcPr>
            <w:tcW w:w="1928" w:type="dxa"/>
            <w:vAlign w:val="center"/>
          </w:tcPr>
          <w:p w14:paraId="77425A4A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1.20 (1.07–1.35)</w:t>
            </w:r>
          </w:p>
        </w:tc>
        <w:tc>
          <w:tcPr>
            <w:tcW w:w="1077" w:type="dxa"/>
            <w:vAlign w:val="center"/>
          </w:tcPr>
          <w:p w14:paraId="478EAF89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0.002</w:t>
            </w:r>
          </w:p>
        </w:tc>
        <w:tc>
          <w:tcPr>
            <w:tcW w:w="1928" w:type="dxa"/>
            <w:vAlign w:val="center"/>
          </w:tcPr>
          <w:p w14:paraId="47F0EEEA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1.16 (1.02–1.32)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010A602D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0.027</w:t>
            </w:r>
          </w:p>
        </w:tc>
      </w:tr>
      <w:tr w:rsidR="00A46F97" w:rsidRPr="00104428" w14:paraId="3D21790F" w14:textId="77777777" w:rsidTr="001F3CEB">
        <w:trPr>
          <w:trHeight w:val="170"/>
        </w:trPr>
        <w:tc>
          <w:tcPr>
            <w:tcW w:w="1586" w:type="dxa"/>
            <w:tcBorders>
              <w:left w:val="nil"/>
              <w:bottom w:val="single" w:sz="4" w:space="0" w:color="auto"/>
            </w:tcBorders>
            <w:vAlign w:val="center"/>
          </w:tcPr>
          <w:p w14:paraId="6EE8133C" w14:textId="77777777" w:rsidR="00A46F97" w:rsidRPr="00DF31D4" w:rsidRDefault="00A46F97" w:rsidP="001F3CEB">
            <w:pPr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Quartile 4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14:paraId="5836E182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1.46 (1.30–1.64)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vAlign w:val="center"/>
          </w:tcPr>
          <w:p w14:paraId="4C762ACB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14:paraId="6C547D2B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1.45 (1.29–1.62)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vAlign w:val="center"/>
          </w:tcPr>
          <w:p w14:paraId="0052C925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14:paraId="02FB40ED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1.43 (1.27–1.61)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vAlign w:val="center"/>
          </w:tcPr>
          <w:p w14:paraId="7BF66537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&lt;0.001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14:paraId="3695E222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1.33 (1.17–1.51)</w:t>
            </w:r>
          </w:p>
        </w:tc>
        <w:tc>
          <w:tcPr>
            <w:tcW w:w="1077" w:type="dxa"/>
            <w:tcBorders>
              <w:bottom w:val="single" w:sz="4" w:space="0" w:color="auto"/>
              <w:right w:val="nil"/>
            </w:tcBorders>
            <w:vAlign w:val="center"/>
          </w:tcPr>
          <w:p w14:paraId="2F111363" w14:textId="77777777" w:rsidR="00A46F97" w:rsidRPr="00DF31D4" w:rsidRDefault="00A46F97" w:rsidP="001F3CEB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DF31D4">
              <w:rPr>
                <w:rFonts w:ascii="Times New Roman" w:eastAsia="맑은 고딕" w:hAnsi="Times New Roman" w:cs="Times New Roman"/>
                <w:szCs w:val="20"/>
              </w:rPr>
              <w:t>&lt;0.001</w:t>
            </w:r>
          </w:p>
        </w:tc>
      </w:tr>
    </w:tbl>
    <w:p w14:paraId="482E01DA" w14:textId="77777777" w:rsidR="00A46F97" w:rsidRPr="00E0386D" w:rsidRDefault="00A46F97" w:rsidP="00A46F97">
      <w:pPr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  <w:r w:rsidRPr="00E0386D">
        <w:rPr>
          <w:rFonts w:ascii="Times New Roman" w:eastAsia="맑은 고딕" w:hAnsi="Times New Roman" w:cs="Times New Roman"/>
          <w:sz w:val="24"/>
          <w:szCs w:val="24"/>
        </w:rPr>
        <w:t>Model 1: unadjusted.</w:t>
      </w:r>
    </w:p>
    <w:p w14:paraId="2809D406" w14:textId="77777777" w:rsidR="00A46F97" w:rsidRPr="00E0386D" w:rsidRDefault="00A46F97" w:rsidP="00A46F97">
      <w:pPr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  <w:r w:rsidRPr="00E0386D">
        <w:rPr>
          <w:rFonts w:ascii="Times New Roman" w:eastAsia="맑은 고딕" w:hAnsi="Times New Roman" w:cs="Times New Roman"/>
          <w:sz w:val="24"/>
          <w:szCs w:val="24"/>
        </w:rPr>
        <w:t>Model 2: adjusted for age, and sex.</w:t>
      </w:r>
    </w:p>
    <w:p w14:paraId="1C17BD21" w14:textId="77777777" w:rsidR="00A46F97" w:rsidRPr="00E0386D" w:rsidRDefault="00A46F97" w:rsidP="00A46F97">
      <w:pPr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  <w:r w:rsidRPr="00E0386D">
        <w:rPr>
          <w:rFonts w:ascii="Times New Roman" w:eastAsia="맑은 고딕" w:hAnsi="Times New Roman" w:cs="Times New Roman"/>
          <w:sz w:val="24"/>
          <w:szCs w:val="24"/>
        </w:rPr>
        <w:t xml:space="preserve">Model 3: adjusted for age, sex, hypertension, </w:t>
      </w:r>
      <w:r w:rsidRPr="00E0386D">
        <w:rPr>
          <w:rFonts w:ascii="Times New Roman" w:eastAsia="맑은 고딕" w:hAnsi="Times New Roman" w:cs="Times New Roman" w:hint="eastAsia"/>
          <w:sz w:val="24"/>
          <w:szCs w:val="24"/>
        </w:rPr>
        <w:t>a</w:t>
      </w:r>
      <w:r w:rsidRPr="00E0386D">
        <w:rPr>
          <w:rFonts w:ascii="Times New Roman" w:eastAsia="맑은 고딕" w:hAnsi="Times New Roman" w:cs="Times New Roman"/>
          <w:sz w:val="24"/>
          <w:szCs w:val="24"/>
        </w:rPr>
        <w:t>nd CCI.</w:t>
      </w:r>
    </w:p>
    <w:p w14:paraId="55BF5163" w14:textId="77777777" w:rsidR="00A46F97" w:rsidRPr="00E0386D" w:rsidRDefault="00A46F97" w:rsidP="00A46F97">
      <w:pPr>
        <w:spacing w:after="200" w:line="360" w:lineRule="auto"/>
        <w:rPr>
          <w:rFonts w:ascii="Times New Roman" w:eastAsia="맑은 고딕" w:hAnsi="Times New Roman" w:cs="Times New Roman"/>
          <w:sz w:val="24"/>
          <w:szCs w:val="24"/>
        </w:rPr>
      </w:pPr>
      <w:r w:rsidRPr="00E0386D">
        <w:rPr>
          <w:rFonts w:ascii="Times New Roman" w:eastAsia="맑은 고딕" w:hAnsi="Times New Roman" w:cs="Times New Roman"/>
          <w:sz w:val="24"/>
          <w:szCs w:val="24"/>
        </w:rPr>
        <w:t>Model 4: adjusted for age, sex, hypertension, CCI, APACHE II score, and mechanical ventilator use.</w:t>
      </w:r>
    </w:p>
    <w:p w14:paraId="3DCFDEBF" w14:textId="5F5AC5E0" w:rsidR="00A46F97" w:rsidRPr="00A46F97" w:rsidRDefault="00A46F97" w:rsidP="00A46F97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E0386D">
        <w:rPr>
          <w:rFonts w:ascii="Times New Roman" w:hAnsi="Times New Roman" w:cs="Times New Roman"/>
          <w:sz w:val="24"/>
          <w:szCs w:val="24"/>
        </w:rPr>
        <w:t xml:space="preserve">Abbreviations: CAR, C-reactive protein-to-albumin ratio; HR, hazard ratio; aHR, adjusted hazard ratio; CI, confidence interval; CCI, Charlson Comorbidity Index; </w:t>
      </w:r>
      <w:r w:rsidR="001F3CEB" w:rsidRPr="00790AFF">
        <w:rPr>
          <w:rFonts w:ascii="Times New Roman" w:hAnsi="Times New Roman" w:cs="Times New Roman"/>
          <w:sz w:val="24"/>
          <w:szCs w:val="24"/>
          <w:lang w:val="en-GB"/>
        </w:rPr>
        <w:t>APACHE II, Acute Physiology and Chronic Health Evaluation II.</w:t>
      </w:r>
    </w:p>
    <w:sectPr w:rsidR="00A46F97" w:rsidRPr="00A46F97" w:rsidSect="00A46F97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646AC9" w14:textId="77777777" w:rsidR="005970FF" w:rsidRDefault="005970FF" w:rsidP="001F3CEB">
      <w:pPr>
        <w:spacing w:after="0" w:line="240" w:lineRule="auto"/>
      </w:pPr>
      <w:r>
        <w:separator/>
      </w:r>
    </w:p>
  </w:endnote>
  <w:endnote w:type="continuationSeparator" w:id="0">
    <w:p w14:paraId="3470D30F" w14:textId="77777777" w:rsidR="005970FF" w:rsidRDefault="005970FF" w:rsidP="001F3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725B97" w14:textId="77777777" w:rsidR="005970FF" w:rsidRDefault="005970FF" w:rsidP="001F3CEB">
      <w:pPr>
        <w:spacing w:after="0" w:line="240" w:lineRule="auto"/>
      </w:pPr>
      <w:r>
        <w:separator/>
      </w:r>
    </w:p>
  </w:footnote>
  <w:footnote w:type="continuationSeparator" w:id="0">
    <w:p w14:paraId="272DCE33" w14:textId="77777777" w:rsidR="005970FF" w:rsidRDefault="005970FF" w:rsidP="001F3C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F97"/>
    <w:rsid w:val="001254A5"/>
    <w:rsid w:val="001F3CEB"/>
    <w:rsid w:val="005331BB"/>
    <w:rsid w:val="005970FF"/>
    <w:rsid w:val="00792E80"/>
    <w:rsid w:val="0082467F"/>
    <w:rsid w:val="008C5EBB"/>
    <w:rsid w:val="00977B34"/>
    <w:rsid w:val="00977EC6"/>
    <w:rsid w:val="00A46F97"/>
    <w:rsid w:val="00BA4F85"/>
    <w:rsid w:val="00CC0CDB"/>
    <w:rsid w:val="00D026E5"/>
    <w:rsid w:val="00D76EB3"/>
    <w:rsid w:val="00FF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0CA7AB"/>
  <w15:chartTrackingRefBased/>
  <w15:docId w15:val="{C556DA22-4036-4C9C-8A49-06B1BA08B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F9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46F97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5">
    <w:name w:val="표 구분선5"/>
    <w:basedOn w:val="a1"/>
    <w:next w:val="a3"/>
    <w:uiPriority w:val="59"/>
    <w:rsid w:val="00A46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A46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F3CE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F3CEB"/>
  </w:style>
  <w:style w:type="paragraph" w:styleId="a5">
    <w:name w:val="footer"/>
    <w:basedOn w:val="a"/>
    <w:link w:val="Char0"/>
    <w:uiPriority w:val="99"/>
    <w:unhideWhenUsed/>
    <w:rsid w:val="001F3CE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F3C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JHLim</dc:creator>
  <cp:keywords/>
  <dc:description/>
  <cp:lastModifiedBy>knuh</cp:lastModifiedBy>
  <cp:revision>5</cp:revision>
  <cp:lastPrinted>2022-10-28T09:03:00Z</cp:lastPrinted>
  <dcterms:created xsi:type="dcterms:W3CDTF">2022-11-01T13:23:00Z</dcterms:created>
  <dcterms:modified xsi:type="dcterms:W3CDTF">2022-11-02T05:34:00Z</dcterms:modified>
</cp:coreProperties>
</file>