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ind w:firstLine="400"/>
        <w:rPr>
          <w:b/>
          <w:sz w:val="20"/>
        </w:rPr>
      </w:pPr>
      <w:bookmarkStart w:id="0" w:name="_GoBack"/>
      <w:bookmarkEnd w:id="0"/>
      <w:r>
        <w:rPr>
          <w:b/>
          <w:sz w:val="20"/>
        </w:rPr>
        <w:t xml:space="preserve">Supplementary table 1   Log-rank Tests for Prognostic Factors Affecting </w:t>
      </w:r>
      <w:r>
        <w:rPr>
          <w:rFonts w:hint="eastAsia"/>
          <w:b/>
          <w:sz w:val="20"/>
        </w:rPr>
        <w:t>Intracranial Progression-free Sruvival</w:t>
      </w:r>
      <w:r>
        <w:rPr>
          <w:b/>
          <w:sz w:val="20"/>
        </w:rPr>
        <w:t xml:space="preserve"> </w:t>
      </w:r>
      <w:r>
        <w:rPr>
          <w:rFonts w:hint="eastAsia"/>
          <w:b/>
          <w:sz w:val="20"/>
        </w:rPr>
        <w:t xml:space="preserve">and </w:t>
      </w:r>
      <w:r>
        <w:rPr>
          <w:b/>
          <w:sz w:val="20"/>
        </w:rPr>
        <w:t>Overall Survival</w:t>
      </w:r>
      <w:r>
        <w:rPr>
          <w:rFonts w:hint="eastAsia"/>
          <w:b/>
          <w:sz w:val="20"/>
        </w:rPr>
        <w:t xml:space="preserve"> (For 44 NSCLC patients)</w:t>
      </w:r>
    </w:p>
    <w:tbl>
      <w:tblPr>
        <w:tblStyle w:val="7"/>
        <w:tblW w:w="10098" w:type="dxa"/>
        <w:tblInd w:w="-114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0"/>
        <w:gridCol w:w="895"/>
        <w:gridCol w:w="1313"/>
        <w:gridCol w:w="837"/>
        <w:gridCol w:w="963"/>
        <w:gridCol w:w="1250"/>
        <w:gridCol w:w="900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left="210" w:leftChars="100"/>
              <w:rPr>
                <w:b/>
                <w:sz w:val="20"/>
              </w:rPr>
            </w:pPr>
            <w:r>
              <w:rPr>
                <w:b/>
                <w:sz w:val="20"/>
              </w:rPr>
              <w:t>Factors</w:t>
            </w:r>
          </w:p>
        </w:tc>
        <w:tc>
          <w:tcPr>
            <w:tcW w:w="895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HR</w:t>
            </w:r>
          </w:p>
        </w:tc>
        <w:tc>
          <w:tcPr>
            <w:tcW w:w="131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sz w:val="20"/>
              </w:rPr>
              <w:t>95% CI</w:t>
            </w:r>
          </w:p>
        </w:tc>
        <w:tc>
          <w:tcPr>
            <w:tcW w:w="837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i/>
                <w:iCs/>
                <w:sz w:val="20"/>
              </w:rPr>
              <w:t>p</w:t>
            </w:r>
          </w:p>
        </w:tc>
        <w:tc>
          <w:tcPr>
            <w:tcW w:w="963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HR</w:t>
            </w:r>
          </w:p>
        </w:tc>
        <w:tc>
          <w:tcPr>
            <w:tcW w:w="125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left="31" w:leftChars="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95%CI</w:t>
            </w:r>
          </w:p>
        </w:tc>
        <w:tc>
          <w:tcPr>
            <w:tcW w:w="900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ind w:left="202" w:leftChars="14" w:hanging="173" w:hangingChars="86"/>
              <w:jc w:val="center"/>
              <w:rPr>
                <w:b/>
                <w:sz w:val="20"/>
              </w:rPr>
            </w:pPr>
            <w:r>
              <w:rPr>
                <w:rFonts w:hint="eastAsia"/>
                <w:b/>
                <w:i/>
                <w:iCs/>
                <w:sz w:val="20"/>
              </w:rPr>
              <w:t>p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0" w:type="dxa"/>
            <w:tcBorders>
              <w:top w:val="single" w:color="auto" w:sz="4" w:space="0"/>
            </w:tcBorders>
          </w:tcPr>
          <w:p>
            <w:pPr>
              <w:ind w:left="100"/>
              <w:rPr>
                <w:sz w:val="20"/>
              </w:rPr>
            </w:pPr>
            <w:r>
              <w:rPr>
                <w:sz w:val="20"/>
              </w:rPr>
              <w:t>Gender (male vs. female)</w:t>
            </w:r>
          </w:p>
        </w:tc>
        <w:tc>
          <w:tcPr>
            <w:tcW w:w="895" w:type="dxa"/>
            <w:tcBorders>
              <w:top w:val="single" w:color="auto" w:sz="4" w:space="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1.224</w:t>
            </w:r>
          </w:p>
        </w:tc>
        <w:tc>
          <w:tcPr>
            <w:tcW w:w="1313" w:type="dxa"/>
            <w:tcBorders>
              <w:top w:val="single" w:color="auto" w:sz="4" w:space="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0.457-3.275</w:t>
            </w:r>
          </w:p>
        </w:tc>
        <w:tc>
          <w:tcPr>
            <w:tcW w:w="837" w:type="dxa"/>
            <w:tcBorders>
              <w:top w:val="single" w:color="auto" w:sz="4" w:space="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0.687</w:t>
            </w:r>
          </w:p>
        </w:tc>
        <w:tc>
          <w:tcPr>
            <w:tcW w:w="963" w:type="dxa"/>
            <w:tcBorders>
              <w:top w:val="single" w:color="auto" w:sz="4" w:space="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1.308</w:t>
            </w:r>
          </w:p>
        </w:tc>
        <w:tc>
          <w:tcPr>
            <w:tcW w:w="1250" w:type="dxa"/>
            <w:tcBorders>
              <w:top w:val="single" w:color="auto" w:sz="4" w:space="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0.650-2.632</w:t>
            </w:r>
          </w:p>
        </w:tc>
        <w:tc>
          <w:tcPr>
            <w:tcW w:w="900" w:type="dxa"/>
            <w:tcBorders>
              <w:top w:val="single" w:color="auto" w:sz="4" w:space="0"/>
            </w:tcBorders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0.452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0" w:type="dxa"/>
          </w:tcPr>
          <w:p>
            <w:pPr>
              <w:ind w:left="100"/>
              <w:rPr>
                <w:sz w:val="20"/>
              </w:rPr>
            </w:pPr>
            <w:r>
              <w:rPr>
                <w:sz w:val="20"/>
              </w:rPr>
              <w:t xml:space="preserve">Age (≥60 vs. </w:t>
            </w:r>
            <w:r>
              <w:rPr>
                <w:rFonts w:hint="eastAsia"/>
                <w:sz w:val="20"/>
              </w:rPr>
              <w:t xml:space="preserve">&lt; </w:t>
            </w:r>
            <w:r>
              <w:rPr>
                <w:sz w:val="20"/>
              </w:rPr>
              <w:t>60)</w:t>
            </w:r>
          </w:p>
        </w:tc>
        <w:tc>
          <w:tcPr>
            <w:tcW w:w="895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1.531</w:t>
            </w:r>
          </w:p>
        </w:tc>
        <w:tc>
          <w:tcPr>
            <w:tcW w:w="1313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0.530-4.420</w:t>
            </w:r>
          </w:p>
        </w:tc>
        <w:tc>
          <w:tcPr>
            <w:tcW w:w="837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0.431</w:t>
            </w:r>
          </w:p>
        </w:tc>
        <w:tc>
          <w:tcPr>
            <w:tcW w:w="963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1.152</w:t>
            </w:r>
          </w:p>
        </w:tc>
        <w:tc>
          <w:tcPr>
            <w:tcW w:w="1250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0.575-2.307</w:t>
            </w:r>
          </w:p>
        </w:tc>
        <w:tc>
          <w:tcPr>
            <w:tcW w:w="900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0.690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0" w:type="dxa"/>
          </w:tcPr>
          <w:p>
            <w:pPr>
              <w:ind w:left="100"/>
              <w:rPr>
                <w:sz w:val="20"/>
              </w:rPr>
            </w:pPr>
            <w:r>
              <w:rPr>
                <w:sz w:val="20"/>
              </w:rPr>
              <w:t xml:space="preserve">KPS (≥80 vs. </w:t>
            </w:r>
            <w:r>
              <w:rPr>
                <w:rFonts w:hint="eastAsia"/>
                <w:sz w:val="20"/>
              </w:rPr>
              <w:t xml:space="preserve">&lt; </w:t>
            </w:r>
            <w:r>
              <w:rPr>
                <w:sz w:val="20"/>
              </w:rPr>
              <w:t>80)</w:t>
            </w:r>
          </w:p>
        </w:tc>
        <w:tc>
          <w:tcPr>
            <w:tcW w:w="895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0.880</w:t>
            </w:r>
          </w:p>
        </w:tc>
        <w:tc>
          <w:tcPr>
            <w:tcW w:w="1313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0.283-2.737</w:t>
            </w:r>
          </w:p>
        </w:tc>
        <w:tc>
          <w:tcPr>
            <w:tcW w:w="837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0.826</w:t>
            </w:r>
          </w:p>
        </w:tc>
        <w:tc>
          <w:tcPr>
            <w:tcW w:w="963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0.679</w:t>
            </w:r>
          </w:p>
        </w:tc>
        <w:tc>
          <w:tcPr>
            <w:tcW w:w="1250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0.287-1.609</w:t>
            </w:r>
          </w:p>
        </w:tc>
        <w:tc>
          <w:tcPr>
            <w:tcW w:w="900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0.379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0" w:type="dxa"/>
          </w:tcPr>
          <w:p>
            <w:pPr>
              <w:ind w:left="100"/>
              <w:rPr>
                <w:sz w:val="20"/>
              </w:rPr>
            </w:pPr>
            <w:r>
              <w:rPr>
                <w:sz w:val="20"/>
              </w:rPr>
              <w:t xml:space="preserve">GPA (≥1.5 vs. </w:t>
            </w:r>
            <w:r>
              <w:rPr>
                <w:rFonts w:hint="eastAsia"/>
                <w:sz w:val="20"/>
              </w:rPr>
              <w:t xml:space="preserve">&lt; </w:t>
            </w:r>
            <w:r>
              <w:rPr>
                <w:sz w:val="20"/>
              </w:rPr>
              <w:t>1.5)</w:t>
            </w:r>
          </w:p>
        </w:tc>
        <w:tc>
          <w:tcPr>
            <w:tcW w:w="895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0.499</w:t>
            </w:r>
          </w:p>
        </w:tc>
        <w:tc>
          <w:tcPr>
            <w:tcW w:w="1313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0.160-1.553</w:t>
            </w:r>
          </w:p>
        </w:tc>
        <w:tc>
          <w:tcPr>
            <w:tcW w:w="837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0.230</w:t>
            </w:r>
          </w:p>
        </w:tc>
        <w:tc>
          <w:tcPr>
            <w:tcW w:w="963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0.985</w:t>
            </w:r>
          </w:p>
        </w:tc>
        <w:tc>
          <w:tcPr>
            <w:tcW w:w="1250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0.480-2.024</w:t>
            </w:r>
          </w:p>
        </w:tc>
        <w:tc>
          <w:tcPr>
            <w:tcW w:w="900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0.968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0" w:type="dxa"/>
          </w:tcPr>
          <w:p>
            <w:pPr>
              <w:ind w:left="100"/>
              <w:rPr>
                <w:sz w:val="20"/>
              </w:rPr>
            </w:pPr>
            <w:r>
              <w:rPr>
                <w:sz w:val="20"/>
              </w:rPr>
              <w:t>Extracranial metastases (</w:t>
            </w:r>
            <w:r>
              <w:rPr>
                <w:rFonts w:hint="eastAsia"/>
                <w:sz w:val="20"/>
              </w:rPr>
              <w:t>no</w:t>
            </w:r>
            <w:r>
              <w:rPr>
                <w:sz w:val="20"/>
              </w:rPr>
              <w:t xml:space="preserve"> vs. </w:t>
            </w:r>
            <w:r>
              <w:rPr>
                <w:rFonts w:hint="eastAsia"/>
                <w:sz w:val="20"/>
              </w:rPr>
              <w:t>yes</w:t>
            </w:r>
            <w:r>
              <w:rPr>
                <w:sz w:val="20"/>
              </w:rPr>
              <w:t>)</w:t>
            </w:r>
          </w:p>
        </w:tc>
        <w:tc>
          <w:tcPr>
            <w:tcW w:w="895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0.863</w:t>
            </w:r>
          </w:p>
        </w:tc>
        <w:tc>
          <w:tcPr>
            <w:tcW w:w="1313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0.312-2.388</w:t>
            </w:r>
          </w:p>
        </w:tc>
        <w:tc>
          <w:tcPr>
            <w:tcW w:w="837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0.776</w:t>
            </w:r>
          </w:p>
        </w:tc>
        <w:tc>
          <w:tcPr>
            <w:tcW w:w="963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0.989</w:t>
            </w:r>
          </w:p>
        </w:tc>
        <w:tc>
          <w:tcPr>
            <w:tcW w:w="1250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0.477-2.051</w:t>
            </w:r>
          </w:p>
        </w:tc>
        <w:tc>
          <w:tcPr>
            <w:tcW w:w="900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0.976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0" w:type="dxa"/>
          </w:tcPr>
          <w:p>
            <w:pPr>
              <w:ind w:left="100"/>
              <w:rPr>
                <w:sz w:val="20"/>
              </w:rPr>
            </w:pPr>
            <w:r>
              <w:rPr>
                <w:sz w:val="20"/>
              </w:rPr>
              <w:t xml:space="preserve">Extracranial metastases </w:t>
            </w:r>
          </w:p>
          <w:p>
            <w:pPr>
              <w:ind w:left="100"/>
              <w:rPr>
                <w:sz w:val="20"/>
              </w:rPr>
            </w:pPr>
            <w:r>
              <w:rPr>
                <w:sz w:val="20"/>
              </w:rPr>
              <w:t xml:space="preserve">   (controlled vs. uncontrolled)</w:t>
            </w:r>
          </w:p>
        </w:tc>
        <w:tc>
          <w:tcPr>
            <w:tcW w:w="895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0.263</w:t>
            </w:r>
          </w:p>
        </w:tc>
        <w:tc>
          <w:tcPr>
            <w:tcW w:w="1313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0.032-2.153</w:t>
            </w:r>
          </w:p>
        </w:tc>
        <w:tc>
          <w:tcPr>
            <w:tcW w:w="837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0.213</w:t>
            </w:r>
          </w:p>
        </w:tc>
        <w:tc>
          <w:tcPr>
            <w:tcW w:w="963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0.186</w:t>
            </w:r>
          </w:p>
        </w:tc>
        <w:tc>
          <w:tcPr>
            <w:tcW w:w="1250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0.041-0.836</w:t>
            </w:r>
          </w:p>
        </w:tc>
        <w:tc>
          <w:tcPr>
            <w:tcW w:w="900" w:type="dxa"/>
          </w:tcPr>
          <w:p>
            <w:pPr>
              <w:jc w:val="center"/>
              <w:rPr>
                <w:color w:val="FF0000"/>
                <w:sz w:val="20"/>
              </w:rPr>
            </w:pPr>
            <w:r>
              <w:rPr>
                <w:rFonts w:hint="eastAsia"/>
                <w:b/>
                <w:bCs/>
                <w:sz w:val="20"/>
              </w:rPr>
              <w:t>0.028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0" w:type="dxa"/>
          </w:tcPr>
          <w:p>
            <w:pPr>
              <w:ind w:left="100"/>
              <w:rPr>
                <w:sz w:val="20"/>
              </w:rPr>
            </w:pPr>
            <w:r>
              <w:rPr>
                <w:sz w:val="20"/>
              </w:rPr>
              <w:t>Target</w:t>
            </w:r>
            <w:r>
              <w:rPr>
                <w:rFonts w:hint="eastAsia"/>
                <w:sz w:val="20"/>
              </w:rPr>
              <w:t>ed</w:t>
            </w:r>
            <w:r>
              <w:rPr>
                <w:sz w:val="20"/>
              </w:rPr>
              <w:t xml:space="preserve"> agent* (yes vs. no)</w:t>
            </w:r>
          </w:p>
        </w:tc>
        <w:tc>
          <w:tcPr>
            <w:tcW w:w="895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0.749</w:t>
            </w:r>
          </w:p>
        </w:tc>
        <w:tc>
          <w:tcPr>
            <w:tcW w:w="1313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0.210-2.674</w:t>
            </w:r>
          </w:p>
        </w:tc>
        <w:tc>
          <w:tcPr>
            <w:tcW w:w="837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0.656</w:t>
            </w:r>
          </w:p>
        </w:tc>
        <w:tc>
          <w:tcPr>
            <w:tcW w:w="963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0.784</w:t>
            </w:r>
          </w:p>
        </w:tc>
        <w:tc>
          <w:tcPr>
            <w:tcW w:w="1250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0.336-1.832</w:t>
            </w:r>
          </w:p>
        </w:tc>
        <w:tc>
          <w:tcPr>
            <w:tcW w:w="900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0.575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0" w:type="dxa"/>
          </w:tcPr>
          <w:p>
            <w:pPr>
              <w:ind w:left="100"/>
              <w:rPr>
                <w:sz w:val="20"/>
              </w:rPr>
            </w:pPr>
            <w:r>
              <w:rPr>
                <w:rFonts w:hint="eastAsia"/>
                <w:sz w:val="20"/>
              </w:rPr>
              <w:t>EGFR mutation (yes vs. no or unknown)</w:t>
            </w:r>
          </w:p>
        </w:tc>
        <w:tc>
          <w:tcPr>
            <w:tcW w:w="895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0.646</w:t>
            </w:r>
          </w:p>
        </w:tc>
        <w:tc>
          <w:tcPr>
            <w:tcW w:w="1313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0.235-1.773</w:t>
            </w:r>
          </w:p>
        </w:tc>
        <w:tc>
          <w:tcPr>
            <w:tcW w:w="837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0.396</w:t>
            </w:r>
          </w:p>
        </w:tc>
        <w:tc>
          <w:tcPr>
            <w:tcW w:w="963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0.643</w:t>
            </w:r>
          </w:p>
        </w:tc>
        <w:tc>
          <w:tcPr>
            <w:tcW w:w="1250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0.318-1.298</w:t>
            </w:r>
          </w:p>
        </w:tc>
        <w:tc>
          <w:tcPr>
            <w:tcW w:w="900" w:type="dxa"/>
          </w:tcPr>
          <w:p>
            <w:pPr>
              <w:jc w:val="center"/>
              <w:rPr>
                <w:color w:val="FF0000"/>
                <w:sz w:val="20"/>
              </w:rPr>
            </w:pPr>
            <w:r>
              <w:rPr>
                <w:rFonts w:hint="eastAsia"/>
                <w:sz w:val="20"/>
              </w:rPr>
              <w:t>0.218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40" w:type="dxa"/>
          </w:tcPr>
          <w:p>
            <w:pPr>
              <w:ind w:left="100"/>
              <w:rPr>
                <w:sz w:val="20"/>
              </w:rPr>
            </w:pPr>
            <w:r>
              <w:rPr>
                <w:rFonts w:hint="eastAsia"/>
                <w:sz w:val="20"/>
              </w:rPr>
              <w:t>ALK rearrangement (yes vs. no or unknown)</w:t>
            </w:r>
          </w:p>
        </w:tc>
        <w:tc>
          <w:tcPr>
            <w:tcW w:w="895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2.364</w:t>
            </w:r>
          </w:p>
        </w:tc>
        <w:tc>
          <w:tcPr>
            <w:tcW w:w="1313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0.857-6.525</w:t>
            </w:r>
          </w:p>
        </w:tc>
        <w:tc>
          <w:tcPr>
            <w:tcW w:w="837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0.097</w:t>
            </w:r>
          </w:p>
        </w:tc>
        <w:tc>
          <w:tcPr>
            <w:tcW w:w="963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0.693</w:t>
            </w:r>
          </w:p>
        </w:tc>
        <w:tc>
          <w:tcPr>
            <w:tcW w:w="1250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0.267-1.799</w:t>
            </w:r>
          </w:p>
        </w:tc>
        <w:tc>
          <w:tcPr>
            <w:tcW w:w="900" w:type="dxa"/>
          </w:tcPr>
          <w:p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0.452</w:t>
            </w:r>
          </w:p>
        </w:tc>
      </w:tr>
    </w:tbl>
    <w:p>
      <w:pPr>
        <w:wordWrap w:val="0"/>
        <w:jc w:val="left"/>
        <w:rPr>
          <w:sz w:val="20"/>
        </w:rPr>
      </w:pPr>
    </w:p>
    <w:p>
      <w:pPr>
        <w:wordWrap w:val="0"/>
        <w:spacing w:line="480" w:lineRule="auto"/>
        <w:jc w:val="left"/>
        <w:rPr>
          <w:sz w:val="20"/>
        </w:rPr>
      </w:pPr>
    </w:p>
    <w:p>
      <w:pPr>
        <w:pStyle w:val="5"/>
        <w:spacing w:line="480" w:lineRule="auto"/>
        <w:rPr>
          <w:sz w:val="20"/>
        </w:rPr>
      </w:pPr>
      <w:r>
        <w:rPr>
          <w:rFonts w:hint="eastAsia"/>
          <w:sz w:val="20"/>
        </w:rPr>
        <w:t xml:space="preserve">Abbreviations: </w:t>
      </w:r>
      <w:r>
        <w:rPr>
          <w:sz w:val="20"/>
        </w:rPr>
        <w:t>NSCLC, non-small cell lung cancer</w:t>
      </w:r>
      <w:r>
        <w:rPr>
          <w:rFonts w:hint="eastAsia"/>
          <w:sz w:val="20"/>
        </w:rPr>
        <w:t>; IPFS, intracranial progression-free survival; OS, overall survival</w:t>
      </w:r>
      <w:r>
        <w:rPr>
          <w:sz w:val="20"/>
        </w:rPr>
        <w:t>; HR, hazard ratio; CI, confidence interval</w:t>
      </w:r>
      <w:r>
        <w:rPr>
          <w:rFonts w:hint="eastAsia"/>
          <w:sz w:val="20"/>
        </w:rPr>
        <w:t xml:space="preserve">; </w:t>
      </w:r>
      <w:r>
        <w:rPr>
          <w:sz w:val="20"/>
        </w:rPr>
        <w:t xml:space="preserve">KPS, Karnofsky performance score; GPA, Graded Prognostic Assessment; </w:t>
      </w:r>
      <w:r>
        <w:rPr>
          <w:rFonts w:hint="eastAsia"/>
          <w:sz w:val="20"/>
        </w:rPr>
        <w:t>EGFR, epidermal growth factor receptor; ALK,anaplasticlymphoma kinase.</w:t>
      </w:r>
    </w:p>
    <w:p>
      <w:pPr>
        <w:pStyle w:val="5"/>
        <w:wordWrap w:val="0"/>
        <w:spacing w:line="480" w:lineRule="auto"/>
        <w:rPr>
          <w:sz w:val="20"/>
        </w:rPr>
      </w:pPr>
      <w:r>
        <w:rPr>
          <w:sz w:val="20"/>
        </w:rPr>
        <w:t xml:space="preserve">* </w:t>
      </w:r>
      <w:r>
        <w:rPr>
          <w:rFonts w:hint="eastAsia"/>
          <w:sz w:val="20"/>
        </w:rPr>
        <w:t>EGFR</w:t>
      </w:r>
      <w:r>
        <w:rPr>
          <w:sz w:val="20"/>
        </w:rPr>
        <w:t xml:space="preserve"> tyrosine-kinase inhibitor or ALK inhibitor</w:t>
      </w:r>
    </w:p>
    <w:p>
      <w:pPr>
        <w:wordWrap w:val="0"/>
        <w:jc w:val="left"/>
        <w:rPr>
          <w:sz w:val="20"/>
        </w:rPr>
      </w:pPr>
    </w:p>
    <w:p>
      <w:pPr>
        <w:jc w:val="left"/>
      </w:pPr>
      <w:r>
        <w:br w:type="page"/>
      </w:r>
    </w:p>
    <w:p>
      <w:pPr>
        <w:pStyle w:val="5"/>
        <w:wordWrap w:val="0"/>
        <w:spacing w:line="480" w:lineRule="auto"/>
        <w:rPr>
          <w:b/>
          <w:bCs/>
          <w:sz w:val="20"/>
        </w:rPr>
      </w:pPr>
      <w:r>
        <w:rPr>
          <w:b/>
          <w:bCs/>
          <w:sz w:val="20"/>
        </w:rPr>
        <w:t xml:space="preserve">Supplemental Table 2    Summary of trials of SRS with or without WBRT in treating </w:t>
      </w:r>
    </w:p>
    <w:p>
      <w:pPr>
        <w:pStyle w:val="5"/>
        <w:wordWrap w:val="0"/>
        <w:spacing w:line="480" w:lineRule="auto"/>
        <w:rPr>
          <w:b/>
          <w:bCs/>
          <w:sz w:val="20"/>
        </w:rPr>
      </w:pPr>
      <w:r>
        <w:rPr>
          <w:b/>
          <w:bCs/>
          <w:sz w:val="20"/>
        </w:rPr>
        <w:t>patients with multiple BMs</w:t>
      </w:r>
    </w:p>
    <w:tbl>
      <w:tblPr>
        <w:tblStyle w:val="7"/>
        <w:tblpPr w:leftFromText="181" w:rightFromText="181" w:vertAnchor="text" w:horzAnchor="page" w:tblpX="1928" w:tblpY="249"/>
        <w:tblOverlap w:val="never"/>
        <w:tblW w:w="856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9"/>
        <w:gridCol w:w="1050"/>
        <w:gridCol w:w="562"/>
        <w:gridCol w:w="1375"/>
        <w:gridCol w:w="1263"/>
        <w:gridCol w:w="812"/>
        <w:gridCol w:w="725"/>
        <w:gridCol w:w="763"/>
        <w:gridCol w:w="82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18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Study</w:t>
            </w:r>
          </w:p>
        </w:tc>
        <w:tc>
          <w:tcPr>
            <w:tcW w:w="105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Lesion Number</w:t>
            </w:r>
          </w:p>
        </w:tc>
        <w:tc>
          <w:tcPr>
            <w:tcW w:w="56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37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Treatment</w:t>
            </w:r>
          </w:p>
        </w:tc>
        <w:tc>
          <w:tcPr>
            <w:tcW w:w="126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Size (Volume)</w:t>
            </w:r>
          </w:p>
        </w:tc>
        <w:tc>
          <w:tcPr>
            <w:tcW w:w="81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</w:t>
            </w:r>
            <w:r>
              <w:rPr>
                <w:rFonts w:hint="eastAsia"/>
                <w:b/>
                <w:bCs/>
                <w:sz w:val="18"/>
                <w:szCs w:val="18"/>
              </w:rPr>
              <w:t>F</w:t>
            </w:r>
            <w:r>
              <w:rPr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72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rFonts w:hint="eastAsia"/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>y LC</w:t>
            </w:r>
          </w:p>
        </w:tc>
        <w:tc>
          <w:tcPr>
            <w:tcW w:w="76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rFonts w:hint="eastAsia"/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>y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</w:t>
            </w:r>
          </w:p>
        </w:tc>
        <w:tc>
          <w:tcPr>
            <w:tcW w:w="82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MST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18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Bhatnagar AK (2006)</w:t>
            </w:r>
          </w:p>
        </w:tc>
        <w:tc>
          <w:tcPr>
            <w:tcW w:w="105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≥4</w:t>
            </w:r>
          </w:p>
          <w:p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 (4-18)</w:t>
            </w:r>
          </w:p>
        </w:tc>
        <w:tc>
          <w:tcPr>
            <w:tcW w:w="56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</w:t>
            </w:r>
          </w:p>
        </w:tc>
        <w:tc>
          <w:tcPr>
            <w:tcW w:w="137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SRS alone 55%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SRS+WBRT 46%</w:t>
            </w:r>
          </w:p>
        </w:tc>
        <w:tc>
          <w:tcPr>
            <w:tcW w:w="126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6.8 cc (0.6-51)</w:t>
            </w:r>
          </w:p>
        </w:tc>
        <w:tc>
          <w:tcPr>
            <w:tcW w:w="81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m</w:t>
            </w:r>
          </w:p>
        </w:tc>
        <w:tc>
          <w:tcPr>
            <w:tcW w:w="725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71%</w:t>
            </w:r>
          </w:p>
        </w:tc>
        <w:tc>
          <w:tcPr>
            <w:tcW w:w="76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36%</w:t>
            </w:r>
          </w:p>
        </w:tc>
        <w:tc>
          <w:tcPr>
            <w:tcW w:w="82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 m</w:t>
            </w:r>
          </w:p>
          <w:p>
            <w:pPr>
              <w:ind w:firstLine="142"/>
              <w:jc w:val="center"/>
              <w:rPr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Chang WS (2010)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1-15+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323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SRS alone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 m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80%</w:t>
            </w:r>
            <w:r>
              <w:rPr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40%</w:t>
            </w:r>
            <w:r>
              <w:rPr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10 m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6" w:hRule="atLeast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Hunter GK (2012)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≥5</w:t>
            </w:r>
          </w:p>
          <w:p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 (5-10)</w:t>
            </w:r>
          </w:p>
          <w:p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SRS alone 86%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SRS+WBRT 14%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4.098 cc (0.003-25.5)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40%</w:t>
            </w:r>
            <w:r>
              <w:rPr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7.5m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18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Yamamoto M (2014)</w:t>
            </w:r>
          </w:p>
        </w:tc>
        <w:tc>
          <w:tcPr>
            <w:tcW w:w="10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2-10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739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SRS alone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 cc (0.02-14.96)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20.9 m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93%</w:t>
            </w:r>
          </w:p>
        </w:tc>
        <w:tc>
          <w:tcPr>
            <w:tcW w:w="7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43%</w:t>
            </w:r>
            <w:r>
              <w:rPr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10.8 m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1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Giuseppe M (2020)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≥</w:t>
            </w:r>
            <w:r>
              <w:rPr>
                <w:rFonts w:hint="eastAsia"/>
                <w:sz w:val="18"/>
                <w:szCs w:val="18"/>
              </w:rPr>
              <w:t>10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40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SRS alone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4.7 cc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(2.0-12.3)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10.8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86%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65%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rFonts w:hint="eastAsia"/>
                <w:bCs/>
                <w:sz w:val="18"/>
                <w:szCs w:val="18"/>
              </w:rPr>
              <w:t>14.1 m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18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Xiujun Chen (2012)*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≥2</w:t>
            </w:r>
          </w:p>
          <w:p>
            <w:pPr>
              <w:ind w:firstLine="14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2-13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98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SRT alone 45%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SRT+WBRT 55%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11.4 cc</w:t>
            </w:r>
          </w:p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(5.6-142.8)</w:t>
            </w:r>
          </w:p>
        </w:tc>
        <w:tc>
          <w:tcPr>
            <w:tcW w:w="81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12 m</w:t>
            </w:r>
          </w:p>
        </w:tc>
        <w:tc>
          <w:tcPr>
            <w:tcW w:w="72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</w:t>
            </w:r>
          </w:p>
        </w:tc>
        <w:tc>
          <w:tcPr>
            <w:tcW w:w="76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45%</w:t>
            </w:r>
            <w:r>
              <w:rPr>
                <w:bCs/>
                <w:sz w:val="18"/>
                <w:szCs w:val="18"/>
                <w:vertAlign w:val="superscript"/>
              </w:rPr>
              <w:t>#</w:t>
            </w:r>
          </w:p>
        </w:tc>
        <w:tc>
          <w:tcPr>
            <w:tcW w:w="82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13.5 m</w:t>
            </w:r>
          </w:p>
        </w:tc>
      </w:tr>
    </w:tbl>
    <w:p/>
    <w:p>
      <w:pPr>
        <w:pStyle w:val="5"/>
        <w:spacing w:line="480" w:lineRule="auto"/>
        <w:rPr>
          <w:sz w:val="20"/>
        </w:rPr>
      </w:pPr>
      <w:r>
        <w:rPr>
          <w:sz w:val="20"/>
        </w:rPr>
        <w:t>Abbreviations: SRS, stereotactic radiosurgery; WBRT, whole brain radiotherapy;</w:t>
      </w:r>
      <w:r>
        <w:rPr>
          <w:rFonts w:hint="eastAsia"/>
          <w:sz w:val="20"/>
        </w:rPr>
        <w:t xml:space="preserve"> </w:t>
      </w:r>
      <w:r>
        <w:rPr>
          <w:sz w:val="20"/>
        </w:rPr>
        <w:t>BM, brain metastasis; No., sample number; MFU, median follow-up time. 1</w:t>
      </w:r>
      <w:r>
        <w:rPr>
          <w:rFonts w:hint="eastAsia"/>
          <w:sz w:val="20"/>
        </w:rPr>
        <w:t>-</w:t>
      </w:r>
      <w:r>
        <w:rPr>
          <w:sz w:val="20"/>
        </w:rPr>
        <w:t>y</w:t>
      </w:r>
      <w:r>
        <w:rPr>
          <w:rFonts w:hint="eastAsia"/>
          <w:sz w:val="20"/>
        </w:rPr>
        <w:t xml:space="preserve"> </w:t>
      </w:r>
      <w:r>
        <w:rPr>
          <w:sz w:val="20"/>
        </w:rPr>
        <w:t>LC, 1-year local control rate; 1</w:t>
      </w:r>
      <w:r>
        <w:rPr>
          <w:rFonts w:hint="eastAsia"/>
          <w:sz w:val="20"/>
        </w:rPr>
        <w:t>-</w:t>
      </w:r>
      <w:r>
        <w:rPr>
          <w:sz w:val="20"/>
        </w:rPr>
        <w:t>y</w:t>
      </w:r>
      <w:r>
        <w:rPr>
          <w:rFonts w:hint="eastAsia"/>
          <w:sz w:val="20"/>
        </w:rPr>
        <w:t xml:space="preserve"> </w:t>
      </w:r>
      <w:r>
        <w:rPr>
          <w:sz w:val="20"/>
        </w:rPr>
        <w:t>OS, 1-year overall survival rate; MST, median survival time; m, months; NA, not available.</w:t>
      </w:r>
    </w:p>
    <w:p>
      <w:pPr>
        <w:pStyle w:val="5"/>
        <w:spacing w:line="480" w:lineRule="auto"/>
        <w:rPr>
          <w:sz w:val="20"/>
        </w:rPr>
      </w:pPr>
      <w:r>
        <w:rPr>
          <w:sz w:val="20"/>
        </w:rPr>
        <w:t>*This study was a retrospective study of our own institution.</w:t>
      </w:r>
    </w:p>
    <w:p>
      <w:pPr>
        <w:pStyle w:val="5"/>
        <w:wordWrap w:val="0"/>
        <w:spacing w:line="480" w:lineRule="auto"/>
        <w:rPr>
          <w:sz w:val="20"/>
        </w:rPr>
      </w:pPr>
      <w:r>
        <w:rPr>
          <w:sz w:val="20"/>
        </w:rPr>
        <w:t>#The percentage rate was estimated by the survival curve in the article.</w:t>
      </w:r>
    </w:p>
    <w:p>
      <w:pPr>
        <w:jc w:val="left"/>
        <w:rPr>
          <w:sz w:val="20"/>
        </w:rPr>
        <w:sectPr>
          <w:headerReference r:id="rId3" w:type="default"/>
          <w:headerReference r:id="rId4" w:type="even"/>
          <w:pgSz w:w="11906" w:h="16838"/>
          <w:pgMar w:top="1440" w:right="1800" w:bottom="1440" w:left="1800" w:header="851" w:footer="992" w:gutter="0"/>
          <w:cols w:space="425" w:num="1"/>
          <w:docGrid w:type="lines" w:linePitch="326" w:charSpace="0"/>
        </w:sectPr>
      </w:pPr>
    </w:p>
    <w:p>
      <w:pPr>
        <w:pStyle w:val="5"/>
        <w:wordWrap w:val="0"/>
        <w:rPr>
          <w:b/>
          <w:bCs/>
          <w:sz w:val="20"/>
        </w:rPr>
      </w:pPr>
      <w:r>
        <w:rPr>
          <w:b/>
          <w:bCs/>
          <w:sz w:val="20"/>
        </w:rPr>
        <w:t>Supplemental Table 3    Summary of trials of HT in treating patients with BMs</w:t>
      </w:r>
    </w:p>
    <w:tbl>
      <w:tblPr>
        <w:tblStyle w:val="7"/>
        <w:tblW w:w="1375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9"/>
        <w:gridCol w:w="1313"/>
        <w:gridCol w:w="562"/>
        <w:gridCol w:w="1088"/>
        <w:gridCol w:w="962"/>
        <w:gridCol w:w="1263"/>
        <w:gridCol w:w="1275"/>
        <w:gridCol w:w="1925"/>
        <w:gridCol w:w="775"/>
        <w:gridCol w:w="900"/>
        <w:gridCol w:w="862"/>
        <w:gridCol w:w="688"/>
        <w:gridCol w:w="96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7" w:hRule="atLeast"/>
        </w:trPr>
        <w:tc>
          <w:tcPr>
            <w:tcW w:w="117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Study</w:t>
            </w:r>
          </w:p>
        </w:tc>
        <w:tc>
          <w:tcPr>
            <w:tcW w:w="131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Trial Type</w:t>
            </w:r>
          </w:p>
        </w:tc>
        <w:tc>
          <w:tcPr>
            <w:tcW w:w="56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No.</w:t>
            </w:r>
          </w:p>
        </w:tc>
        <w:tc>
          <w:tcPr>
            <w:tcW w:w="108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Histology</w:t>
            </w:r>
          </w:p>
        </w:tc>
        <w:tc>
          <w:tcPr>
            <w:tcW w:w="96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Lesion Number</w:t>
            </w:r>
          </w:p>
        </w:tc>
        <w:tc>
          <w:tcPr>
            <w:tcW w:w="126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 xml:space="preserve">Total </w:t>
            </w:r>
            <w:r>
              <w:rPr>
                <w:b/>
                <w:bCs/>
                <w:sz w:val="18"/>
                <w:szCs w:val="18"/>
              </w:rPr>
              <w:t>Volume</w:t>
            </w:r>
          </w:p>
        </w:tc>
        <w:tc>
          <w:tcPr>
            <w:tcW w:w="127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Treatment</w:t>
            </w:r>
          </w:p>
        </w:tc>
        <w:tc>
          <w:tcPr>
            <w:tcW w:w="192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HT Regimen</w:t>
            </w:r>
          </w:p>
        </w:tc>
        <w:tc>
          <w:tcPr>
            <w:tcW w:w="775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MF</w:t>
            </w:r>
            <w:r>
              <w:rPr>
                <w:rFonts w:hint="eastAsia"/>
                <w:b/>
                <w:bCs/>
                <w:sz w:val="18"/>
                <w:szCs w:val="18"/>
              </w:rPr>
              <w:t>U (m)</w:t>
            </w:r>
          </w:p>
        </w:tc>
        <w:tc>
          <w:tcPr>
            <w:tcW w:w="90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rFonts w:hint="eastAsia"/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>y LC</w:t>
            </w:r>
          </w:p>
        </w:tc>
        <w:tc>
          <w:tcPr>
            <w:tcW w:w="86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</w:t>
            </w:r>
            <w:r>
              <w:rPr>
                <w:rFonts w:hint="eastAsia"/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>y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OS</w:t>
            </w:r>
          </w:p>
        </w:tc>
        <w:tc>
          <w:tcPr>
            <w:tcW w:w="688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MST </w:t>
            </w:r>
            <w:r>
              <w:rPr>
                <w:rFonts w:hint="eastAsia"/>
                <w:b/>
                <w:bCs/>
                <w:sz w:val="18"/>
                <w:szCs w:val="18"/>
              </w:rPr>
              <w:t>(m)</w:t>
            </w:r>
          </w:p>
        </w:tc>
        <w:tc>
          <w:tcPr>
            <w:tcW w:w="960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≥Grade 3 </w:t>
            </w:r>
            <w:r>
              <w:rPr>
                <w:rFonts w:hint="eastAsia"/>
                <w:b/>
                <w:bCs/>
                <w:sz w:val="18"/>
                <w:szCs w:val="18"/>
              </w:rPr>
              <w:t>AE</w:t>
            </w:r>
            <w:r>
              <w:rPr>
                <w:b/>
                <w:bCs/>
                <w:sz w:val="18"/>
                <w:szCs w:val="18"/>
              </w:rPr>
              <w:t xml:space="preserve">s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Nagai A (2014)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Perspective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Mixed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(1-8)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1.9 </w:t>
            </w:r>
            <w:r>
              <w:rPr>
                <w:rFonts w:hint="eastAsia"/>
                <w:sz w:val="18"/>
                <w:szCs w:val="18"/>
              </w:rPr>
              <w:t>cc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(0.01-18)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HFSRT alone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28-28.8 Gy/4 f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91.0%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52.0%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05" w:hRule="atLeast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Elson A (2015)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Retrospective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Mixed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1-9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HFSRT alone </w:t>
            </w:r>
          </w:p>
          <w:p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25-27.5 Gy/5 f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 Gy/5 f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25Gy/10 f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59.0%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20.0%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1" w:hRule="atLeast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Barra S (2015)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Retrospective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Mixed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1-4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300" w:firstLineChars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1.9 </w:t>
            </w:r>
            <w:r>
              <w:rPr>
                <w:rFonts w:hint="eastAsia"/>
                <w:sz w:val="18"/>
                <w:szCs w:val="18"/>
              </w:rPr>
              <w:t>cc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(0.18-13.81)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SRS alone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15-21 Gy/1 f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65.0%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60.0%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8" w:hRule="atLeast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Bruni A (2015)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Retrospective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Mixed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1-3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SRS alone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16-20 Gy/ 1 f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13.0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61.5%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41.2%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8.3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3" w:hRule="atLeast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left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Rodrigues G (2011)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80" w:firstLineChars="10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Phase I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Mixed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1-3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left="178" w:leftChars="85" w:firstLine="118" w:firstLineChars="6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1.4 </w:t>
            </w:r>
            <w:r>
              <w:rPr>
                <w:rFonts w:hint="eastAsia"/>
                <w:sz w:val="18"/>
                <w:szCs w:val="18"/>
              </w:rPr>
              <w:t>cm</w:t>
            </w:r>
          </w:p>
          <w:p>
            <w:pPr>
              <w:ind w:firstLine="180" w:firstLineChars="100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(0.5-3)*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WBRT+SIB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WBRT 30 Gy/10 f</w:t>
            </w:r>
          </w:p>
          <w:p>
            <w:pPr>
              <w:ind w:firstLine="142"/>
              <w:jc w:val="center"/>
              <w:rPr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SIB 35-60 Gy/10 f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7.7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5.3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Kim KH (2016)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Retrospective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LAC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(2-15)</w:t>
            </w:r>
          </w:p>
        </w:tc>
        <w:tc>
          <w:tcPr>
            <w:tcW w:w="12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0.2 </w:t>
            </w:r>
            <w:r>
              <w:rPr>
                <w:rFonts w:hint="eastAsia"/>
                <w:sz w:val="18"/>
                <w:szCs w:val="18"/>
              </w:rPr>
              <w:t>cc</w:t>
            </w:r>
          </w:p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(0.02-10.14)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WBRT+SIB</w:t>
            </w:r>
          </w:p>
        </w:tc>
        <w:tc>
          <w:tcPr>
            <w:tcW w:w="192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WBRT 25-28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Gy/</w:t>
            </w:r>
            <w:r>
              <w:rPr>
                <w:rFonts w:hint="eastAsia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10-14 f</w:t>
            </w:r>
          </w:p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SIB 40-48 Gy/10-14f</w:t>
            </w:r>
          </w:p>
        </w:tc>
        <w:tc>
          <w:tcPr>
            <w:tcW w:w="7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14.0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NA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72.0%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2" w:hRule="atLeast"/>
        </w:trPr>
        <w:tc>
          <w:tcPr>
            <w:tcW w:w="117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hint="eastAsia"/>
                <w:b/>
                <w:bCs/>
                <w:sz w:val="18"/>
                <w:szCs w:val="18"/>
              </w:rPr>
              <w:t>Current</w:t>
            </w:r>
            <w:r>
              <w:rPr>
                <w:b/>
                <w:bCs/>
                <w:sz w:val="18"/>
                <w:szCs w:val="18"/>
              </w:rPr>
              <w:t xml:space="preserve"> study</w:t>
            </w:r>
          </w:p>
        </w:tc>
        <w:tc>
          <w:tcPr>
            <w:tcW w:w="131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Phase II</w:t>
            </w:r>
          </w:p>
        </w:tc>
        <w:tc>
          <w:tcPr>
            <w:tcW w:w="56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69</w:t>
            </w:r>
          </w:p>
        </w:tc>
        <w:tc>
          <w:tcPr>
            <w:tcW w:w="108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142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Mixed</w:t>
            </w:r>
          </w:p>
        </w:tc>
        <w:tc>
          <w:tcPr>
            <w:tcW w:w="96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6</w:t>
            </w:r>
            <w:r>
              <w:rPr>
                <w:rFonts w:hint="eastAsia"/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(3-43)</w:t>
            </w:r>
          </w:p>
        </w:tc>
        <w:tc>
          <w:tcPr>
            <w:tcW w:w="126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ind w:firstLine="302" w:firstLineChars="167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18.3 </w:t>
            </w:r>
            <w:r>
              <w:rPr>
                <w:rFonts w:hint="eastAsia"/>
                <w:b/>
                <w:bCs/>
                <w:sz w:val="18"/>
                <w:szCs w:val="18"/>
              </w:rPr>
              <w:t>cc</w:t>
            </w:r>
          </w:p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(0.37- 93.1)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WBRT+SIB or HFRT alone</w:t>
            </w:r>
          </w:p>
        </w:tc>
        <w:tc>
          <w:tcPr>
            <w:tcW w:w="192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WBRT 40 Gy/ 20 f</w:t>
            </w:r>
          </w:p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SIB 60 Gy/20 f or HFRT</w:t>
            </w:r>
          </w:p>
        </w:tc>
        <w:tc>
          <w:tcPr>
            <w:tcW w:w="77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40.1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96.4%</w:t>
            </w:r>
          </w:p>
        </w:tc>
        <w:tc>
          <w:tcPr>
            <w:tcW w:w="86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71.0%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18.1</w:t>
            </w:r>
          </w:p>
        </w:tc>
        <w:tc>
          <w:tcPr>
            <w:tcW w:w="96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 (1.4%)</w:t>
            </w:r>
          </w:p>
        </w:tc>
      </w:tr>
    </w:tbl>
    <w:p>
      <w:pPr>
        <w:pStyle w:val="5"/>
        <w:wordWrap w:val="0"/>
        <w:rPr>
          <w:sz w:val="20"/>
        </w:rPr>
      </w:pPr>
    </w:p>
    <w:p>
      <w:pPr>
        <w:pStyle w:val="5"/>
        <w:spacing w:line="480" w:lineRule="auto"/>
        <w:rPr>
          <w:sz w:val="20"/>
        </w:rPr>
      </w:pPr>
      <w:r>
        <w:rPr>
          <w:sz w:val="20"/>
        </w:rPr>
        <w:t xml:space="preserve">Abbreviations: </w:t>
      </w:r>
      <w:r>
        <w:rPr>
          <w:rFonts w:hint="eastAsia"/>
          <w:sz w:val="20"/>
        </w:rPr>
        <w:t xml:space="preserve">HT, helical tomotherapy; </w:t>
      </w:r>
      <w:r>
        <w:rPr>
          <w:sz w:val="20"/>
        </w:rPr>
        <w:t>BM, brain metastasis;</w:t>
      </w:r>
      <w:r>
        <w:rPr>
          <w:rFonts w:hint="eastAsia"/>
          <w:sz w:val="20"/>
        </w:rPr>
        <w:t xml:space="preserve"> </w:t>
      </w:r>
      <w:r>
        <w:rPr>
          <w:sz w:val="20"/>
        </w:rPr>
        <w:t>No., sample number; MFU, median follow-up time. 1</w:t>
      </w:r>
      <w:r>
        <w:rPr>
          <w:rFonts w:hint="eastAsia"/>
          <w:sz w:val="20"/>
        </w:rPr>
        <w:t>-</w:t>
      </w:r>
      <w:r>
        <w:rPr>
          <w:sz w:val="20"/>
        </w:rPr>
        <w:t>y</w:t>
      </w:r>
      <w:r>
        <w:rPr>
          <w:rFonts w:hint="eastAsia"/>
          <w:sz w:val="20"/>
        </w:rPr>
        <w:t xml:space="preserve"> </w:t>
      </w:r>
      <w:r>
        <w:rPr>
          <w:sz w:val="20"/>
        </w:rPr>
        <w:t>LC, 1-year local control rate; 1</w:t>
      </w:r>
      <w:r>
        <w:rPr>
          <w:rFonts w:hint="eastAsia"/>
          <w:sz w:val="20"/>
        </w:rPr>
        <w:t>-</w:t>
      </w:r>
      <w:r>
        <w:rPr>
          <w:sz w:val="20"/>
        </w:rPr>
        <w:t>y</w:t>
      </w:r>
      <w:r>
        <w:rPr>
          <w:rFonts w:hint="eastAsia"/>
          <w:sz w:val="20"/>
        </w:rPr>
        <w:t xml:space="preserve"> </w:t>
      </w:r>
      <w:r>
        <w:rPr>
          <w:sz w:val="20"/>
        </w:rPr>
        <w:t>OS, 1-year overall survival rate; MST, median survival time; m, months;</w:t>
      </w:r>
      <w:r>
        <w:rPr>
          <w:rFonts w:hint="eastAsia"/>
          <w:sz w:val="20"/>
        </w:rPr>
        <w:t xml:space="preserve"> AEs, adverse events; HFSRT, hypofractionated stereotactic radiotherapy; </w:t>
      </w:r>
      <w:r>
        <w:rPr>
          <w:sz w:val="20"/>
        </w:rPr>
        <w:t xml:space="preserve">SRS, stereotactic radiosurgery; WBRT, whole brain radiotherapy; </w:t>
      </w:r>
      <w:r>
        <w:rPr>
          <w:rFonts w:hint="eastAsia"/>
          <w:sz w:val="20"/>
        </w:rPr>
        <w:t xml:space="preserve">SIB, simultaneous integrated boost; </w:t>
      </w:r>
      <w:r>
        <w:rPr>
          <w:sz w:val="20"/>
        </w:rPr>
        <w:t>NA, not available</w:t>
      </w:r>
      <w:r>
        <w:rPr>
          <w:rFonts w:hint="eastAsia"/>
          <w:sz w:val="20"/>
        </w:rPr>
        <w:t xml:space="preserve">; LAC, </w:t>
      </w:r>
      <w:r>
        <w:rPr>
          <w:sz w:val="20"/>
        </w:rPr>
        <w:t>Lung adenocarcinoma</w:t>
      </w:r>
      <w:r>
        <w:rPr>
          <w:rFonts w:hint="eastAsia"/>
          <w:sz w:val="20"/>
        </w:rPr>
        <w:t>; HFRT, hypofractionated ratiotherapy</w:t>
      </w:r>
    </w:p>
    <w:p>
      <w:pPr>
        <w:spacing w:line="480" w:lineRule="auto"/>
        <w:rPr>
          <w:kern w:val="0"/>
          <w:sz w:val="20"/>
        </w:rPr>
      </w:pPr>
      <w:r>
        <w:rPr>
          <w:kern w:val="0"/>
          <w:sz w:val="20"/>
        </w:rPr>
        <w:t>*This data was diameter of the lesions (cm)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jYjkyM2M2YTU2ZGY4OTgzZDU5NWQyZTkxYTY1ODIifQ=="/>
  </w:docVars>
  <w:rsids>
    <w:rsidRoot w:val="00426A78"/>
    <w:rsid w:val="0006586C"/>
    <w:rsid w:val="000B20EF"/>
    <w:rsid w:val="0010370D"/>
    <w:rsid w:val="001316E3"/>
    <w:rsid w:val="00426A78"/>
    <w:rsid w:val="0054029C"/>
    <w:rsid w:val="005B229E"/>
    <w:rsid w:val="00660BB3"/>
    <w:rsid w:val="00FE1C57"/>
    <w:rsid w:val="16293C5B"/>
    <w:rsid w:val="303A44F2"/>
    <w:rsid w:val="31DB16A7"/>
    <w:rsid w:val="35F6401E"/>
    <w:rsid w:val="4D4B02CE"/>
    <w:rsid w:val="615F0961"/>
    <w:rsid w:val="69E7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unhideWhenUsed/>
    <w:uiPriority w:val="99"/>
    <w:pPr>
      <w:jc w:val="left"/>
    </w:pPr>
  </w:style>
  <w:style w:type="paragraph" w:styleId="3">
    <w:name w:val="footer"/>
    <w:basedOn w:val="1"/>
    <w:link w:val="11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0"/>
    <w:unhideWhenUsed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jc w:val="left"/>
    </w:pPr>
    <w:rPr>
      <w:kern w:val="0"/>
      <w:sz w:val="24"/>
    </w:rPr>
  </w:style>
  <w:style w:type="paragraph" w:styleId="6">
    <w:name w:val="annotation subject"/>
    <w:basedOn w:val="2"/>
    <w:next w:val="2"/>
    <w:link w:val="13"/>
    <w:semiHidden/>
    <w:unhideWhenUsed/>
    <w:uiPriority w:val="99"/>
    <w:rPr>
      <w:b/>
      <w:bCs/>
    </w:rPr>
  </w:style>
  <w:style w:type="character" w:styleId="9">
    <w:name w:val="annotation reference"/>
    <w:basedOn w:val="8"/>
    <w:semiHidden/>
    <w:unhideWhenUsed/>
    <w:uiPriority w:val="99"/>
    <w:rPr>
      <w:sz w:val="21"/>
      <w:szCs w:val="21"/>
    </w:rPr>
  </w:style>
  <w:style w:type="character" w:customStyle="1" w:styleId="10">
    <w:name w:val="页眉 字符"/>
    <w:basedOn w:val="8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sz w:val="18"/>
      <w:szCs w:val="18"/>
    </w:rPr>
  </w:style>
  <w:style w:type="character" w:customStyle="1" w:styleId="12">
    <w:name w:val="批注文字 字符"/>
    <w:basedOn w:val="8"/>
    <w:link w:val="2"/>
    <w:uiPriority w:val="99"/>
    <w:rPr>
      <w:rFonts w:ascii="Times New Roman" w:hAnsi="Times New Roman" w:eastAsia="宋体" w:cs="Times New Roman"/>
      <w:kern w:val="2"/>
      <w:sz w:val="21"/>
    </w:rPr>
  </w:style>
  <w:style w:type="character" w:customStyle="1" w:styleId="13">
    <w:name w:val="批注主题 字符"/>
    <w:basedOn w:val="12"/>
    <w:link w:val="6"/>
    <w:semiHidden/>
    <w:uiPriority w:val="99"/>
    <w:rPr>
      <w:rFonts w:ascii="Times New Roman" w:hAnsi="Times New Roman" w:eastAsia="宋体" w:cs="Times New Roman"/>
      <w:b/>
      <w:bCs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647</Words>
  <Characters>3252</Characters>
  <Lines>27</Lines>
  <Paragraphs>7</Paragraphs>
  <TotalTime>9</TotalTime>
  <ScaleCrop>false</ScaleCrop>
  <LinksUpToDate>false</LinksUpToDate>
  <CharactersWithSpaces>3636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2022-02-10T09:04:00Z</dcterms:created>
  <dc:creator>Ma yuchao</dc:creator>
  <cp:lastModifiedBy>myc</cp:lastModifiedBy>
  <dcterms:modified xsi:type="dcterms:W3CDTF">2022-10-08T08:30:33Z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F239653D0FF143BF8E09C22C98BA2207</vt:lpwstr>
  </property>
</Properties>
</file>