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2737" w:rsidRPr="007E7084" w:rsidRDefault="00802737" w:rsidP="00802737">
      <w:pPr>
        <w:spacing w:line="480" w:lineRule="auto"/>
        <w:rPr>
          <w:b/>
          <w:bCs/>
          <w:color w:val="000000" w:themeColor="text1"/>
          <w:sz w:val="36"/>
          <w:szCs w:val="36"/>
          <w:highlight w:val="white"/>
          <w:lang w:val="en-US"/>
        </w:rPr>
      </w:pPr>
      <w:r w:rsidRPr="007E7084">
        <w:rPr>
          <w:b/>
          <w:bCs/>
          <w:color w:val="000000" w:themeColor="text1"/>
          <w:sz w:val="36"/>
          <w:szCs w:val="36"/>
          <w:highlight w:val="white"/>
          <w:lang w:val="en-US"/>
        </w:rPr>
        <w:t xml:space="preserve">Supporting information </w:t>
      </w:r>
    </w:p>
    <w:p w:rsidR="00802737" w:rsidRPr="007E7084" w:rsidRDefault="00802737" w:rsidP="00802737">
      <w:pPr>
        <w:spacing w:line="480" w:lineRule="auto"/>
        <w:jc w:val="both"/>
        <w:rPr>
          <w:color w:val="000000" w:themeColor="text1"/>
          <w:lang w:val="en-US"/>
        </w:rPr>
      </w:pPr>
      <w:r w:rsidRPr="007E7084">
        <w:rPr>
          <w:b/>
          <w:color w:val="000000" w:themeColor="text1"/>
          <w:lang w:val="en-US"/>
        </w:rPr>
        <w:t>S1 Fig. Metabolic follow-up of animal models and oscillatory potential analysis</w:t>
      </w:r>
      <w:r w:rsidRPr="007E7084">
        <w:rPr>
          <w:rFonts w:eastAsia="Times"/>
          <w:b/>
          <w:color w:val="000000" w:themeColor="text1"/>
          <w:lang w:val="en-US"/>
        </w:rPr>
        <w:t xml:space="preserve">. </w:t>
      </w:r>
      <w:r w:rsidRPr="007E7084">
        <w:rPr>
          <w:color w:val="000000" w:themeColor="text1"/>
          <w:lang w:val="en-US"/>
        </w:rPr>
        <w:t>A, Follow-up of body weight and blood glucose levels, glucose tolerance test, and insulin tolerance test in control-diet (</w:t>
      </w:r>
      <w:r w:rsidRPr="007E7084">
        <w:rPr>
          <w:i/>
          <w:iCs/>
          <w:color w:val="000000" w:themeColor="text1"/>
          <w:lang w:val="en-US"/>
        </w:rPr>
        <w:t>n</w:t>
      </w:r>
      <w:r w:rsidRPr="007E7084">
        <w:rPr>
          <w:color w:val="000000" w:themeColor="text1"/>
          <w:lang w:val="en-US"/>
        </w:rPr>
        <w:t xml:space="preserve"> = 75) and high-fat diet-fed (</w:t>
      </w:r>
      <w:r w:rsidRPr="007E7084">
        <w:rPr>
          <w:i/>
          <w:iCs/>
          <w:color w:val="000000" w:themeColor="text1"/>
          <w:lang w:val="en-US"/>
        </w:rPr>
        <w:t>n</w:t>
      </w:r>
      <w:r w:rsidRPr="007E7084">
        <w:rPr>
          <w:color w:val="000000" w:themeColor="text1"/>
          <w:lang w:val="en-US"/>
        </w:rPr>
        <w:t xml:space="preserve"> = 75) mice for 12 weeks. B, Body weight, blood glucose levels, glucose tolerance test, and insulin tolerance test in lean (</w:t>
      </w:r>
      <w:r w:rsidRPr="007E7084">
        <w:rPr>
          <w:i/>
          <w:iCs/>
          <w:color w:val="000000" w:themeColor="text1"/>
          <w:lang w:val="en-US"/>
        </w:rPr>
        <w:t>n</w:t>
      </w:r>
      <w:r w:rsidRPr="007E7084">
        <w:rPr>
          <w:color w:val="000000" w:themeColor="text1"/>
          <w:lang w:val="en-US"/>
        </w:rPr>
        <w:t xml:space="preserve"> = 20) and spontaneously obese (</w:t>
      </w:r>
      <w:r w:rsidRPr="007E7084">
        <w:rPr>
          <w:i/>
          <w:iCs/>
          <w:color w:val="000000" w:themeColor="text1"/>
          <w:lang w:val="en-US"/>
        </w:rPr>
        <w:t>n</w:t>
      </w:r>
      <w:r w:rsidRPr="007E7084">
        <w:rPr>
          <w:color w:val="000000" w:themeColor="text1"/>
          <w:lang w:val="en-US"/>
        </w:rPr>
        <w:t xml:space="preserve"> = 20) </w:t>
      </w:r>
      <w:proofErr w:type="spellStart"/>
      <w:r w:rsidRPr="007E7084">
        <w:rPr>
          <w:i/>
          <w:color w:val="000000" w:themeColor="text1"/>
          <w:lang w:val="en-US"/>
        </w:rPr>
        <w:t>Neotomodon</w:t>
      </w:r>
      <w:proofErr w:type="spellEnd"/>
      <w:r w:rsidRPr="007E7084">
        <w:rPr>
          <w:i/>
          <w:color w:val="000000" w:themeColor="text1"/>
          <w:lang w:val="en-US"/>
        </w:rPr>
        <w:t xml:space="preserve"> </w:t>
      </w:r>
      <w:proofErr w:type="spellStart"/>
      <w:r w:rsidRPr="007E7084">
        <w:rPr>
          <w:i/>
          <w:color w:val="000000" w:themeColor="text1"/>
          <w:lang w:val="en-US"/>
        </w:rPr>
        <w:t>alstoni</w:t>
      </w:r>
      <w:proofErr w:type="spellEnd"/>
      <w:r w:rsidRPr="007E7084">
        <w:rPr>
          <w:color w:val="000000" w:themeColor="text1"/>
          <w:lang w:val="en-US"/>
        </w:rPr>
        <w:t xml:space="preserve"> mice. In both models, mice have higher glycemia than control mice at every time point (</w:t>
      </w:r>
      <w:r w:rsidRPr="007E7084">
        <w:rPr>
          <w:i/>
          <w:color w:val="000000" w:themeColor="text1"/>
          <w:lang w:val="en-US"/>
        </w:rPr>
        <w:t>P</w:t>
      </w:r>
      <w:r w:rsidRPr="007E7084">
        <w:rPr>
          <w:color w:val="000000" w:themeColor="text1"/>
          <w:lang w:val="en-US"/>
        </w:rPr>
        <w:t xml:space="preserve"> &lt; 0.05), suggesting reduced insulin sensitivity. </w:t>
      </w:r>
      <w:r w:rsidRPr="007E7084">
        <w:rPr>
          <w:color w:val="000000" w:themeColor="text1"/>
          <w:highlight w:val="white"/>
          <w:lang w:val="en-US"/>
        </w:rPr>
        <w:t>This was confirmed by insulin tolerance tests, which showed a lower fall in blood glucose in response to insulin in obese mice as compared with control mice</w:t>
      </w:r>
      <w:r w:rsidRPr="007E7084">
        <w:rPr>
          <w:color w:val="000000" w:themeColor="text1"/>
          <w:lang w:val="en-US"/>
        </w:rPr>
        <w:t>. C, Blood glucose level follow-up in rats after 4, 6, 8, or 12 weeks of streptozotocin (</w:t>
      </w:r>
      <w:r w:rsidRPr="007E7084">
        <w:rPr>
          <w:i/>
          <w:iCs/>
          <w:color w:val="000000" w:themeColor="text1"/>
          <w:lang w:val="en-US"/>
        </w:rPr>
        <w:t>n</w:t>
      </w:r>
      <w:r w:rsidRPr="007E7084">
        <w:rPr>
          <w:color w:val="000000" w:themeColor="text1"/>
          <w:lang w:val="en-US"/>
        </w:rPr>
        <w:t xml:space="preserve"> = 40) and vehicle (</w:t>
      </w:r>
      <w:r w:rsidRPr="007E7084">
        <w:rPr>
          <w:i/>
          <w:iCs/>
          <w:color w:val="000000" w:themeColor="text1"/>
          <w:lang w:val="en-US"/>
        </w:rPr>
        <w:t>n</w:t>
      </w:r>
      <w:r w:rsidRPr="007E7084">
        <w:rPr>
          <w:color w:val="000000" w:themeColor="text1"/>
          <w:lang w:val="en-US"/>
        </w:rPr>
        <w:t xml:space="preserve"> = 40) treatment. Values, mean ± </w:t>
      </w:r>
      <w:proofErr w:type="spellStart"/>
      <w:r w:rsidRPr="007E7084">
        <w:rPr>
          <w:color w:val="000000" w:themeColor="text1"/>
          <w:lang w:val="en-US"/>
        </w:rPr>
        <w:t>s.d.</w:t>
      </w:r>
      <w:proofErr w:type="spellEnd"/>
      <w:r w:rsidRPr="007E7084">
        <w:rPr>
          <w:color w:val="000000" w:themeColor="text1"/>
          <w:lang w:val="en-US"/>
        </w:rPr>
        <w:t xml:space="preserve"> * indicates </w:t>
      </w:r>
      <w:r w:rsidRPr="007E7084">
        <w:rPr>
          <w:i/>
          <w:color w:val="000000" w:themeColor="text1"/>
          <w:lang w:val="en-US"/>
        </w:rPr>
        <w:t>P</w:t>
      </w:r>
      <w:r w:rsidRPr="007E7084">
        <w:rPr>
          <w:color w:val="000000" w:themeColor="text1"/>
          <w:lang w:val="en-US"/>
        </w:rPr>
        <w:t xml:space="preserve"> values &lt; 0.05 determined by a two-sample Student’s </w:t>
      </w:r>
      <w:r w:rsidRPr="007E7084">
        <w:rPr>
          <w:i/>
          <w:color w:val="000000" w:themeColor="text1"/>
          <w:lang w:val="en-US"/>
        </w:rPr>
        <w:t>t</w:t>
      </w:r>
      <w:r w:rsidRPr="007E7084">
        <w:rPr>
          <w:color w:val="000000" w:themeColor="text1"/>
          <w:lang w:val="en-US"/>
        </w:rPr>
        <w:t>-test in B (body weight and glycemia) and by a mixed ANOVA followed by Bonferroni test everywhere else. D, Illustrative ERG (top) and oscillatory potentials (OP, bottom) in control-diet and high-fat diet-fed mice for 12 weeks, measured in response to a light flash of 7.72 (</w:t>
      </w:r>
      <w:proofErr w:type="spellStart"/>
      <w:r w:rsidRPr="007E7084">
        <w:rPr>
          <w:color w:val="000000" w:themeColor="text1"/>
          <w:lang w:val="en-US"/>
        </w:rPr>
        <w:t>cd.s</w:t>
      </w:r>
      <w:proofErr w:type="spellEnd"/>
      <w:r w:rsidRPr="007E7084">
        <w:rPr>
          <w:color w:val="000000" w:themeColor="text1"/>
          <w:lang w:val="en-US"/>
        </w:rPr>
        <w:t>)/m</w:t>
      </w:r>
      <w:r w:rsidRPr="007E7084">
        <w:rPr>
          <w:color w:val="000000" w:themeColor="text1"/>
          <w:vertAlign w:val="superscript"/>
          <w:lang w:val="en-US"/>
        </w:rPr>
        <w:t>2</w:t>
      </w:r>
      <w:r w:rsidRPr="007E7084">
        <w:rPr>
          <w:color w:val="000000" w:themeColor="text1"/>
          <w:lang w:val="en-US"/>
        </w:rPr>
        <w:t xml:space="preserve"> (arrow) under dark-adapted conditions. E, Temporal monitoring (0 to 12 weeks, as indicated) of the average amplitude and implicit time of OP1, OP2, OP3, and OP4 in control (</w:t>
      </w:r>
      <w:r w:rsidRPr="007E7084">
        <w:rPr>
          <w:i/>
          <w:iCs/>
          <w:color w:val="000000" w:themeColor="text1"/>
          <w:lang w:val="en-US"/>
        </w:rPr>
        <w:t>n</w:t>
      </w:r>
      <w:r w:rsidRPr="007E7084">
        <w:rPr>
          <w:color w:val="000000" w:themeColor="text1"/>
          <w:lang w:val="en-US"/>
        </w:rPr>
        <w:t xml:space="preserve"> = 10) and high-fat diet fed mice (</w:t>
      </w:r>
      <w:r w:rsidRPr="007E7084">
        <w:rPr>
          <w:i/>
          <w:iCs/>
          <w:color w:val="000000" w:themeColor="text1"/>
          <w:lang w:val="en-US"/>
        </w:rPr>
        <w:t>n</w:t>
      </w:r>
      <w:r w:rsidRPr="007E7084">
        <w:rPr>
          <w:color w:val="000000" w:themeColor="text1"/>
          <w:lang w:val="en-US"/>
        </w:rPr>
        <w:t xml:space="preserve"> = 12) under dark-adapted conditions at increasing light intensities (0.02, 0.24, 2.45, and 7.72 (</w:t>
      </w:r>
      <w:proofErr w:type="spellStart"/>
      <w:r w:rsidRPr="007E7084">
        <w:rPr>
          <w:color w:val="000000" w:themeColor="text1"/>
          <w:lang w:val="en-US"/>
        </w:rPr>
        <w:t>cd.s</w:t>
      </w:r>
      <w:proofErr w:type="spellEnd"/>
      <w:r w:rsidRPr="007E7084">
        <w:rPr>
          <w:color w:val="000000" w:themeColor="text1"/>
          <w:lang w:val="en-US"/>
        </w:rPr>
        <w:t>)/m</w:t>
      </w:r>
      <w:r w:rsidRPr="007E7084">
        <w:rPr>
          <w:color w:val="000000" w:themeColor="text1"/>
          <w:vertAlign w:val="superscript"/>
          <w:lang w:val="en-US"/>
        </w:rPr>
        <w:t>2</w:t>
      </w:r>
      <w:r w:rsidRPr="007E7084">
        <w:rPr>
          <w:color w:val="000000" w:themeColor="text1"/>
          <w:lang w:val="en-US"/>
        </w:rPr>
        <w:t xml:space="preserve">. CD, control diet. HFD, high-fat diet. </w:t>
      </w:r>
      <w:proofErr w:type="spellStart"/>
      <w:r w:rsidRPr="007E7084">
        <w:rPr>
          <w:color w:val="000000" w:themeColor="text1"/>
          <w:lang w:val="en-US"/>
        </w:rPr>
        <w:t>n.s</w:t>
      </w:r>
      <w:proofErr w:type="spellEnd"/>
      <w:r w:rsidRPr="007E7084">
        <w:rPr>
          <w:color w:val="000000" w:themeColor="text1"/>
          <w:lang w:val="en-US"/>
        </w:rPr>
        <w:t>., not significant (</w:t>
      </w:r>
      <w:r w:rsidRPr="007E7084">
        <w:rPr>
          <w:i/>
          <w:iCs/>
          <w:color w:val="000000" w:themeColor="text1"/>
          <w:lang w:val="en-US"/>
        </w:rPr>
        <w:t>P</w:t>
      </w:r>
      <w:r w:rsidRPr="007E7084">
        <w:rPr>
          <w:color w:val="000000" w:themeColor="text1"/>
          <w:lang w:val="en-US"/>
        </w:rPr>
        <w:t xml:space="preserve"> &gt; 0.05).</w:t>
      </w:r>
    </w:p>
    <w:p w:rsidR="00802737" w:rsidRPr="007E7084" w:rsidRDefault="00802737" w:rsidP="00802737">
      <w:pPr>
        <w:spacing w:line="480" w:lineRule="auto"/>
        <w:jc w:val="both"/>
        <w:rPr>
          <w:color w:val="000000" w:themeColor="text1"/>
          <w:lang w:val="en-US"/>
        </w:rPr>
      </w:pPr>
    </w:p>
    <w:p w:rsidR="00802737" w:rsidRPr="007E7084" w:rsidRDefault="00802737" w:rsidP="00802737">
      <w:pPr>
        <w:spacing w:line="480" w:lineRule="auto"/>
        <w:jc w:val="both"/>
        <w:rPr>
          <w:color w:val="000000" w:themeColor="text1"/>
          <w:lang w:val="en-US"/>
        </w:rPr>
      </w:pPr>
      <w:r w:rsidRPr="007E7084">
        <w:rPr>
          <w:b/>
          <w:color w:val="000000" w:themeColor="text1"/>
          <w:lang w:val="en-US"/>
        </w:rPr>
        <w:t xml:space="preserve">S2 Fig. Oscillatory potentials and DR score analysis in people with early risk factors for DR, and correlation with slow frequency spontaneous ERG oscillation power. </w:t>
      </w:r>
      <w:r w:rsidRPr="007E7084">
        <w:rPr>
          <w:color w:val="000000" w:themeColor="text1"/>
          <w:lang w:val="en-US"/>
        </w:rPr>
        <w:t>A, Illustrative recording from the ISCEV DA 3 ERG protocol in a control case. N1-P1 and P1-</w:t>
      </w:r>
      <w:r w:rsidRPr="007E7084">
        <w:rPr>
          <w:color w:val="000000" w:themeColor="text1"/>
          <w:lang w:val="en-US"/>
        </w:rPr>
        <w:lastRenderedPageBreak/>
        <w:t>N2 B, amplitude and C, peak time ratio in control (metabolically healthy,</w:t>
      </w:r>
      <w:r w:rsidRPr="007E7084">
        <w:rPr>
          <w:i/>
          <w:iCs/>
          <w:color w:val="000000" w:themeColor="text1"/>
          <w:lang w:val="en-US"/>
        </w:rPr>
        <w:t xml:space="preserve"> n</w:t>
      </w:r>
      <w:r w:rsidRPr="007E7084">
        <w:rPr>
          <w:color w:val="000000" w:themeColor="text1"/>
          <w:lang w:val="en-US"/>
        </w:rPr>
        <w:t xml:space="preserve"> = 8) and disease (OW, </w:t>
      </w:r>
      <w:r w:rsidRPr="007E7084">
        <w:rPr>
          <w:i/>
          <w:iCs/>
          <w:color w:val="000000" w:themeColor="text1"/>
          <w:lang w:val="en-US"/>
        </w:rPr>
        <w:t>n</w:t>
      </w:r>
      <w:r w:rsidRPr="007E7084">
        <w:rPr>
          <w:color w:val="000000" w:themeColor="text1"/>
          <w:lang w:val="en-US"/>
        </w:rPr>
        <w:t xml:space="preserve"> = 5; obese, </w:t>
      </w:r>
      <w:r w:rsidRPr="007E7084">
        <w:rPr>
          <w:i/>
          <w:iCs/>
          <w:color w:val="000000" w:themeColor="text1"/>
          <w:lang w:val="en-US"/>
        </w:rPr>
        <w:t>n</w:t>
      </w:r>
      <w:r w:rsidRPr="007E7084">
        <w:rPr>
          <w:color w:val="000000" w:themeColor="text1"/>
          <w:lang w:val="en-US"/>
        </w:rPr>
        <w:t xml:space="preserve"> = 2; </w:t>
      </w:r>
      <w:proofErr w:type="spellStart"/>
      <w:r w:rsidRPr="007E7084">
        <w:rPr>
          <w:color w:val="000000" w:themeColor="text1"/>
          <w:lang w:val="en-US"/>
        </w:rPr>
        <w:t>MetS</w:t>
      </w:r>
      <w:proofErr w:type="spellEnd"/>
      <w:r w:rsidRPr="007E7084">
        <w:rPr>
          <w:color w:val="000000" w:themeColor="text1"/>
          <w:lang w:val="en-US"/>
        </w:rPr>
        <w:t xml:space="preserve">, </w:t>
      </w:r>
      <w:r w:rsidRPr="007E7084">
        <w:rPr>
          <w:i/>
          <w:iCs/>
          <w:color w:val="000000" w:themeColor="text1"/>
          <w:lang w:val="en-US"/>
        </w:rPr>
        <w:t>n</w:t>
      </w:r>
      <w:r w:rsidRPr="007E7084">
        <w:rPr>
          <w:color w:val="000000" w:themeColor="text1"/>
          <w:lang w:val="en-US"/>
        </w:rPr>
        <w:t xml:space="preserve"> = 6; and diabetes with no DR, </w:t>
      </w:r>
      <w:r w:rsidRPr="007E7084">
        <w:rPr>
          <w:i/>
          <w:iCs/>
          <w:color w:val="000000" w:themeColor="text1"/>
          <w:lang w:val="en-US"/>
        </w:rPr>
        <w:t>n</w:t>
      </w:r>
      <w:r w:rsidRPr="007E7084">
        <w:rPr>
          <w:color w:val="000000" w:themeColor="text1"/>
          <w:lang w:val="en-US"/>
        </w:rPr>
        <w:t xml:space="preserve"> = 61) groups. D, DR score in control (metabolically healthy,</w:t>
      </w:r>
      <w:r w:rsidRPr="007E7084">
        <w:rPr>
          <w:i/>
          <w:iCs/>
          <w:color w:val="000000" w:themeColor="text1"/>
          <w:lang w:val="en-US"/>
        </w:rPr>
        <w:t xml:space="preserve"> n</w:t>
      </w:r>
      <w:r w:rsidRPr="007E7084">
        <w:rPr>
          <w:color w:val="000000" w:themeColor="text1"/>
          <w:lang w:val="en-US"/>
        </w:rPr>
        <w:t xml:space="preserve"> = 74) and disease (OW, </w:t>
      </w:r>
      <w:r w:rsidRPr="007E7084">
        <w:rPr>
          <w:i/>
          <w:iCs/>
          <w:color w:val="000000" w:themeColor="text1"/>
          <w:lang w:val="en-US"/>
        </w:rPr>
        <w:t>n</w:t>
      </w:r>
      <w:r w:rsidRPr="007E7084">
        <w:rPr>
          <w:color w:val="000000" w:themeColor="text1"/>
          <w:lang w:val="en-US"/>
        </w:rPr>
        <w:t xml:space="preserve"> = 22; obese, </w:t>
      </w:r>
      <w:r w:rsidRPr="007E7084">
        <w:rPr>
          <w:i/>
          <w:iCs/>
          <w:color w:val="000000" w:themeColor="text1"/>
          <w:lang w:val="en-US"/>
        </w:rPr>
        <w:t>n</w:t>
      </w:r>
      <w:r w:rsidRPr="007E7084">
        <w:rPr>
          <w:color w:val="000000" w:themeColor="text1"/>
          <w:lang w:val="en-US"/>
        </w:rPr>
        <w:t xml:space="preserve"> = 18; </w:t>
      </w:r>
      <w:proofErr w:type="spellStart"/>
      <w:r w:rsidRPr="007E7084">
        <w:rPr>
          <w:color w:val="000000" w:themeColor="text1"/>
          <w:lang w:val="en-US"/>
        </w:rPr>
        <w:t>MetS</w:t>
      </w:r>
      <w:proofErr w:type="spellEnd"/>
      <w:r w:rsidRPr="007E7084">
        <w:rPr>
          <w:color w:val="000000" w:themeColor="text1"/>
          <w:lang w:val="en-US"/>
        </w:rPr>
        <w:t xml:space="preserve">, </w:t>
      </w:r>
      <w:r w:rsidRPr="007E7084">
        <w:rPr>
          <w:i/>
          <w:iCs/>
          <w:color w:val="000000" w:themeColor="text1"/>
          <w:lang w:val="en-US"/>
        </w:rPr>
        <w:t>n</w:t>
      </w:r>
      <w:r w:rsidRPr="007E7084">
        <w:rPr>
          <w:color w:val="000000" w:themeColor="text1"/>
          <w:lang w:val="en-US"/>
        </w:rPr>
        <w:t xml:space="preserve"> = 88; and diabetes with no DR, </w:t>
      </w:r>
      <w:r w:rsidRPr="007E7084">
        <w:rPr>
          <w:i/>
          <w:iCs/>
          <w:color w:val="000000" w:themeColor="text1"/>
          <w:lang w:val="en-US"/>
        </w:rPr>
        <w:t>n</w:t>
      </w:r>
      <w:r w:rsidRPr="007E7084">
        <w:rPr>
          <w:color w:val="000000" w:themeColor="text1"/>
          <w:lang w:val="en-US"/>
        </w:rPr>
        <w:t xml:space="preserve"> = 109) groups. B-D, Graphs show mean ± confidence interval. Correlation analysis between the E, N1-P1 or P1-N2 amplitude ratio, F, N1-P1 or P1-N2 peak time ratio, and G, DR score with the spontaneous oscillation (SO) PCA score (detailed in Methods) in the groups of interest.</w:t>
      </w:r>
    </w:p>
    <w:p w:rsidR="00802737" w:rsidRPr="007E7084" w:rsidRDefault="00802737" w:rsidP="00802737">
      <w:pPr>
        <w:spacing w:line="480" w:lineRule="auto"/>
        <w:jc w:val="both"/>
        <w:rPr>
          <w:b/>
          <w:color w:val="000000" w:themeColor="text1"/>
          <w:lang w:val="en-US"/>
        </w:rPr>
      </w:pPr>
    </w:p>
    <w:p w:rsidR="00802737" w:rsidRPr="007E7084" w:rsidRDefault="00802737" w:rsidP="00802737">
      <w:pPr>
        <w:spacing w:line="480" w:lineRule="auto"/>
        <w:jc w:val="both"/>
        <w:rPr>
          <w:b/>
          <w:color w:val="000000" w:themeColor="text1"/>
          <w:lang w:val="en-US"/>
        </w:rPr>
      </w:pPr>
      <w:r w:rsidRPr="007E7084">
        <w:rPr>
          <w:b/>
          <w:color w:val="000000" w:themeColor="text1"/>
          <w:lang w:val="en-US"/>
        </w:rPr>
        <w:t>S3 Fig. Random Forest model performs better than support vector machine algorithms and when it primarily uses spontaneous photopic ERG of 60-s duration in humans.</w:t>
      </w:r>
      <w:r w:rsidRPr="007E7084">
        <w:rPr>
          <w:color w:val="000000" w:themeColor="text1"/>
          <w:lang w:val="en-US"/>
        </w:rPr>
        <w:t xml:space="preserve"> A, ROC curves for both linear and radial </w:t>
      </w:r>
      <w:proofErr w:type="spellStart"/>
      <w:r w:rsidRPr="007E7084">
        <w:rPr>
          <w:color w:val="000000" w:themeColor="text1"/>
          <w:lang w:val="en-US"/>
        </w:rPr>
        <w:t>svm</w:t>
      </w:r>
      <w:proofErr w:type="spellEnd"/>
      <w:r w:rsidRPr="007E7084">
        <w:rPr>
          <w:color w:val="000000" w:themeColor="text1"/>
          <w:lang w:val="en-US"/>
        </w:rPr>
        <w:t xml:space="preserve"> algorithms. B, Performance parameters for the random forest model using power spectra from photopic or mesopic ERGs of 10, 30 or 60 s. C, ROC curves for the random forest model using power spectra from photopic, mesopic or combined photopic and mesopic ERGs of 60 s. D, Corresponding performance parameters. All data correspond to binary classification between control and disease cases. Controls are constituted by metabolically healthy subjects (</w:t>
      </w:r>
      <w:r w:rsidRPr="007E7084">
        <w:rPr>
          <w:i/>
          <w:iCs/>
          <w:color w:val="000000" w:themeColor="text1"/>
          <w:lang w:val="en-US"/>
        </w:rPr>
        <w:t>n</w:t>
      </w:r>
      <w:r w:rsidRPr="007E7084">
        <w:rPr>
          <w:color w:val="000000" w:themeColor="text1"/>
          <w:lang w:val="en-US"/>
        </w:rPr>
        <w:t xml:space="preserve"> = 62) and the disease group by patients with overweight (</w:t>
      </w:r>
      <w:r w:rsidRPr="007E7084">
        <w:rPr>
          <w:i/>
          <w:iCs/>
          <w:color w:val="000000" w:themeColor="text1"/>
          <w:lang w:val="en-US"/>
        </w:rPr>
        <w:t>n</w:t>
      </w:r>
      <w:r w:rsidRPr="007E7084">
        <w:rPr>
          <w:color w:val="000000" w:themeColor="text1"/>
          <w:lang w:val="en-US"/>
        </w:rPr>
        <w:t xml:space="preserve"> = 41), obesity (</w:t>
      </w:r>
      <w:r w:rsidRPr="007E7084">
        <w:rPr>
          <w:i/>
          <w:iCs/>
          <w:color w:val="000000" w:themeColor="text1"/>
          <w:lang w:val="en-US"/>
        </w:rPr>
        <w:t>n</w:t>
      </w:r>
      <w:r w:rsidRPr="007E7084">
        <w:rPr>
          <w:color w:val="000000" w:themeColor="text1"/>
          <w:lang w:val="en-US"/>
        </w:rPr>
        <w:t xml:space="preserve"> = 16), metabolic syndrome (</w:t>
      </w:r>
      <w:r w:rsidRPr="007E7084">
        <w:rPr>
          <w:i/>
          <w:iCs/>
          <w:color w:val="000000" w:themeColor="text1"/>
          <w:lang w:val="en-US"/>
        </w:rPr>
        <w:t>n</w:t>
      </w:r>
      <w:r w:rsidRPr="007E7084">
        <w:rPr>
          <w:color w:val="000000" w:themeColor="text1"/>
          <w:lang w:val="en-US"/>
        </w:rPr>
        <w:t xml:space="preserve"> = 55), and diabetes with no DR (</w:t>
      </w:r>
      <w:r w:rsidRPr="007E7084">
        <w:rPr>
          <w:i/>
          <w:iCs/>
          <w:color w:val="000000" w:themeColor="text1"/>
          <w:lang w:val="en-US"/>
        </w:rPr>
        <w:t>n</w:t>
      </w:r>
      <w:r w:rsidRPr="007E7084">
        <w:rPr>
          <w:color w:val="000000" w:themeColor="text1"/>
          <w:lang w:val="en-US"/>
        </w:rPr>
        <w:t xml:space="preserve"> = 63).</w:t>
      </w:r>
    </w:p>
    <w:p w:rsidR="00F42BDC" w:rsidRDefault="00F42BDC">
      <w:bookmarkStart w:id="0" w:name="_GoBack"/>
      <w:bookmarkEnd w:id="0"/>
    </w:p>
    <w:sectPr w:rsidR="00F42BDC" w:rsidSect="00D574EC">
      <w:footerReference w:type="even" r:id="rId4"/>
      <w:footerReference w:type="default" r:id="rId5"/>
      <w:pgSz w:w="12240" w:h="15840"/>
      <w:pgMar w:top="1417" w:right="1701" w:bottom="1417" w:left="1701" w:header="708" w:footer="708" w:gutter="0"/>
      <w:lnNumType w:countBy="1" w:restart="continuous"/>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C17" w:rsidRDefault="00802737">
    <w:pPr>
      <w:pBdr>
        <w:top w:val="nil"/>
        <w:left w:val="nil"/>
        <w:bottom w:val="nil"/>
        <w:right w:val="nil"/>
        <w:between w:val="nil"/>
      </w:pBdr>
      <w:tabs>
        <w:tab w:val="center" w:pos="4252"/>
        <w:tab w:val="right" w:pos="8504"/>
      </w:tabs>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end"/>
    </w:r>
  </w:p>
  <w:p w:rsidR="00912C17" w:rsidRDefault="00802737">
    <w:pPr>
      <w:pBdr>
        <w:top w:val="nil"/>
        <w:left w:val="nil"/>
        <w:bottom w:val="nil"/>
        <w:right w:val="nil"/>
        <w:between w:val="nil"/>
      </w:pBdr>
      <w:tabs>
        <w:tab w:val="center" w:pos="4252"/>
        <w:tab w:val="right" w:pos="8504"/>
      </w:tabs>
      <w:ind w:right="360"/>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145380"/>
      <w:docPartObj>
        <w:docPartGallery w:val="Page Numbers (Bottom of Page)"/>
        <w:docPartUnique/>
      </w:docPartObj>
    </w:sdtPr>
    <w:sdtEndPr/>
    <w:sdtContent>
      <w:p w:rsidR="00912C17" w:rsidRDefault="00802737">
        <w:pPr>
          <w:pStyle w:val="Piedepgina"/>
          <w:jc w:val="right"/>
        </w:pPr>
        <w:r>
          <w:fldChar w:fldCharType="begin"/>
        </w:r>
        <w:r>
          <w:instrText>PAGE   \* MERGEFORMAT</w:instrText>
        </w:r>
        <w:r>
          <w:fldChar w:fldCharType="separate"/>
        </w:r>
        <w:r>
          <w:rPr>
            <w:lang w:val="es-ES"/>
          </w:rPr>
          <w:t>2</w:t>
        </w:r>
        <w:r>
          <w:fldChar w:fldCharType="end"/>
        </w:r>
      </w:p>
    </w:sdtContent>
  </w:sdt>
  <w:p w:rsidR="00912C17" w:rsidRDefault="00802737">
    <w:pPr>
      <w:pBdr>
        <w:top w:val="nil"/>
        <w:left w:val="nil"/>
        <w:bottom w:val="nil"/>
        <w:right w:val="nil"/>
        <w:between w:val="nil"/>
      </w:pBdr>
      <w:tabs>
        <w:tab w:val="center" w:pos="4252"/>
        <w:tab w:val="right" w:pos="8504"/>
      </w:tabs>
      <w:ind w:right="360"/>
      <w:rPr>
        <w:rFonts w:ascii="Cambria" w:eastAsia="Cambria" w:hAnsi="Cambria" w:cs="Cambria"/>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37"/>
    <w:rsid w:val="00802737"/>
    <w:rsid w:val="00F42B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4225C-6D7C-4384-9F1F-132F8BE64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737"/>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802737"/>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802737"/>
    <w:rPr>
      <w:rFonts w:eastAsiaTheme="minorEastAsia"/>
      <w:sz w:val="24"/>
      <w:szCs w:val="24"/>
      <w:lang w:val="es-ES_tradnl" w:eastAsia="es-ES"/>
    </w:rPr>
  </w:style>
  <w:style w:type="character" w:styleId="Nmerodelnea">
    <w:name w:val="line number"/>
    <w:basedOn w:val="Fuentedeprrafopredeter"/>
    <w:uiPriority w:val="99"/>
    <w:semiHidden/>
    <w:unhideWhenUsed/>
    <w:rsid w:val="00802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2772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Universidad Nacional Autonoma de México</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COLETTE THEBAULT</dc:creator>
  <cp:keywords/>
  <dc:description/>
  <cp:lastModifiedBy>STEPHANIE COLETTE THEBAULT</cp:lastModifiedBy>
  <cp:revision>1</cp:revision>
  <dcterms:created xsi:type="dcterms:W3CDTF">2022-11-11T15:28:00Z</dcterms:created>
  <dcterms:modified xsi:type="dcterms:W3CDTF">2022-11-11T15:28:00Z</dcterms:modified>
</cp:coreProperties>
</file>