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/>
          <w:b/>
          <w:bCs/>
          <w:color w:val="000000"/>
          <w:kern w:val="0"/>
          <w:sz w:val="24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bCs/>
          <w:color w:val="000000"/>
          <w:kern w:val="0"/>
          <w:sz w:val="24"/>
          <w:lang w:val="en-US" w:eastAsia="zh-CN"/>
        </w:rPr>
        <w:t>Text 1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/>
          <w:b/>
          <w:bCs/>
          <w:color w:val="000000"/>
          <w:kern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/>
          <w:b/>
          <w:bCs/>
          <w:color w:val="000000"/>
          <w:kern w:val="0"/>
          <w:sz w:val="24"/>
          <w:lang w:val="en-GB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lang w:val="en-GB"/>
        </w:rPr>
        <w:t xml:space="preserve">MR imaging protocol </w:t>
      </w:r>
    </w:p>
    <w:p>
      <w:pPr>
        <w:widowControl/>
        <w:ind w:firstLine="480" w:firstLineChars="200"/>
        <w:jc w:val="lef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  <w:lang w:val="en-GB"/>
        </w:rPr>
        <w:t xml:space="preserve">MRI was performed using a 3.0 Tesla (T) whole-body MRI system (Intera Achieva 3.0 T, Philips Healthcare, Best, The Netherlands) with a 16-channel phased array coil. All images were obtained in the axial plane, after 4-6 h of fasting. The contrast agent used was gadoxetic acid disodium (Gd-EOB-DTPA, Primovist; Bayer Schering, Pharma, Berlin, Germany) and a dose of 0.025 mmol/kg body weight was injected intravenously as a rapid bolus at a rate of 2 ml/s via a power injector and flushed with 20 ml NaCl. Before contrast agent administration, we acquired unenhanced MR images including fast spoiled dual-echo T1-weighted gradient-recalled-echo images (in-phase and out-phase), fat-suppressed fast spin-echo T2-weighted images (T2WI). We acquired enhanced MR images after Gd-EOB-DTPA administration: arterial phase (20–35 s, AP), portal phase (60 s, PP), transitional phase (3 min, TP), and hepatobiliary phase (20 min, HBP). The </w:t>
      </w:r>
      <w:r>
        <w:rPr>
          <w:rFonts w:hint="eastAsia" w:ascii="Times New Roman" w:hAnsi="Times New Roman"/>
          <w:sz w:val="24"/>
          <w:lang w:val="en-US" w:eastAsia="zh-CN"/>
        </w:rPr>
        <w:t xml:space="preserve">MRI </w:t>
      </w:r>
      <w:r>
        <w:rPr>
          <w:rFonts w:ascii="Times New Roman" w:hAnsi="Times New Roman"/>
          <w:sz w:val="24"/>
          <w:lang w:val="en-GB"/>
        </w:rPr>
        <w:t>parameters were</w:t>
      </w:r>
      <w:r>
        <w:rPr>
          <w:rFonts w:hint="eastAsia" w:ascii="Times New Roman" w:hAnsi="Times New Roman"/>
          <w:sz w:val="24"/>
          <w:lang w:val="en-US" w:eastAsia="zh-CN"/>
        </w:rPr>
        <w:t xml:space="preserve"> detailed in the supplementary table1. </w:t>
      </w:r>
    </w:p>
    <w:p>
      <w:pPr>
        <w:widowControl/>
        <w:ind w:firstLine="480" w:firstLineChars="200"/>
        <w:jc w:val="left"/>
        <w:rPr>
          <w:rFonts w:ascii="Times New Roman" w:hAnsi="Times New Roman"/>
          <w:sz w:val="24"/>
          <w:lang w:val="en-GB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/>
          <w:b/>
          <w:bCs/>
          <w:color w:val="000000"/>
          <w:kern w:val="0"/>
          <w:sz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left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Supplementary Table 1. MRI scan sequence and parameters</w:t>
      </w:r>
    </w:p>
    <w:tbl>
      <w:tblPr>
        <w:tblStyle w:val="4"/>
        <w:tblpPr w:leftFromText="180" w:rightFromText="180" w:vertAnchor="text" w:horzAnchor="page" w:tblpX="126" w:tblpY="250"/>
        <w:tblOverlap w:val="never"/>
        <w:tblW w:w="745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96"/>
        <w:gridCol w:w="1256"/>
        <w:gridCol w:w="1039"/>
        <w:gridCol w:w="639"/>
        <w:gridCol w:w="1013"/>
        <w:gridCol w:w="983"/>
        <w:gridCol w:w="983"/>
        <w:gridCol w:w="607"/>
        <w:gridCol w:w="1139"/>
        <w:gridCol w:w="1060"/>
        <w:gridCol w:w="1143"/>
        <w:gridCol w:w="812"/>
        <w:gridCol w:w="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96" w:type="pct"/>
            <w:gridSpan w:val="2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Sequence</w:t>
            </w:r>
          </w:p>
        </w:tc>
        <w:tc>
          <w:tcPr>
            <w:tcW w:w="494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Orientation</w:t>
            </w:r>
          </w:p>
        </w:tc>
        <w:tc>
          <w:tcPr>
            <w:tcW w:w="408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Category</w:t>
            </w:r>
          </w:p>
        </w:tc>
        <w:tc>
          <w:tcPr>
            <w:tcW w:w="251" w:type="pct"/>
            <w:tcBorders>
              <w:top w:val="single" w:color="5A5A5A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</w:t>
            </w:r>
          </w:p>
        </w:tc>
        <w:tc>
          <w:tcPr>
            <w:tcW w:w="398" w:type="pct"/>
            <w:tcBorders>
              <w:top w:val="single" w:color="5A5A5A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</w:t>
            </w:r>
          </w:p>
        </w:tc>
        <w:tc>
          <w:tcPr>
            <w:tcW w:w="386" w:type="pct"/>
            <w:tcBorders>
              <w:top w:val="single" w:color="5A5A5A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FOV</w:t>
            </w:r>
          </w:p>
        </w:tc>
        <w:tc>
          <w:tcPr>
            <w:tcW w:w="386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Matrix</w:t>
            </w:r>
          </w:p>
        </w:tc>
        <w:tc>
          <w:tcPr>
            <w:tcW w:w="238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</w:t>
            </w:r>
          </w:p>
        </w:tc>
        <w:tc>
          <w:tcPr>
            <w:tcW w:w="448" w:type="pct"/>
            <w:tcBorders>
              <w:top w:val="single" w:color="5A5A5A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Band</w:t>
            </w:r>
          </w:p>
        </w:tc>
        <w:tc>
          <w:tcPr>
            <w:tcW w:w="417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Seam thickness (mm)</w:t>
            </w:r>
          </w:p>
        </w:tc>
        <w:tc>
          <w:tcPr>
            <w:tcW w:w="449" w:type="pct"/>
            <w:tcBorders>
              <w:top w:val="single" w:color="5A5A5A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</w:t>
            </w:r>
          </w:p>
        </w:tc>
        <w:tc>
          <w:tcPr>
            <w:tcW w:w="319" w:type="pct"/>
            <w:vMerge w:val="restart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Hold breath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496" w:type="pct"/>
            <w:gridSpan w:val="2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(ms)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(ms)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386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8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width(HZ)</w:t>
            </w:r>
          </w:p>
        </w:tc>
        <w:tc>
          <w:tcPr>
            <w:tcW w:w="417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saturation</w:t>
            </w:r>
          </w:p>
        </w:tc>
        <w:tc>
          <w:tcPr>
            <w:tcW w:w="319" w:type="pct"/>
            <w:vMerge w:val="continue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98" w:type="pct"/>
            <w:gridSpan w:val="13"/>
            <w:tcBorders>
              <w:top w:val="single" w:color="5A5A5A" w:sz="8" w:space="0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Philips Healthcare, Intera Achieva 3.0 T, with a 16-channel phased array coil.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(training sets)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T2WI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TRA/ COR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TSE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 × 392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 × 202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90°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T1WI IN/OUT PHASE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T1-FFE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2.3/1.15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 × 319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 × 200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55°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Yes/No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CONTRAST- Enhanced T1WI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TRA/ COR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THRIVE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 × 332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248×212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10°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723.7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4698" w:type="pct"/>
            <w:gridSpan w:val="13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Siemens MAGNETOM Verio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(testing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sets)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T2WI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TSE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 × 256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160°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haste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T2WI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TSE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380×380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 × 320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134°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T1WI IN/OUT PHASE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T1-vibe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1.23/2.46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 × 380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 × 288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9°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Yes/No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496" w:type="pct"/>
            <w:gridSpan w:val="2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CONTRAST- Enhanced T1WI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TRA/ COR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T1-vibe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 × 332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320×320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9°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5A5A5A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3"/>
          <w:wAfter w:w="4698" w:type="pct"/>
          <w:trHeight w:val="328" w:hRule="atLeast"/>
          <w:jc w:val="center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/>
        <w:jc w:val="both"/>
        <w:rPr>
          <w:rFonts w:hint="default" w:ascii="Times New Roman" w:hAnsi="Times New Roman" w:cs="Times New Roman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/>
        <w:jc w:val="both"/>
        <w:rPr>
          <w:rFonts w:hint="default" w:ascii="Times New Roman" w:hAnsi="Times New Roman" w:cs="Times New Roman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/>
        <w:jc w:val="both"/>
        <w:rPr>
          <w:rFonts w:hint="default" w:ascii="Calibri" w:hAnsi="Calibri" w:cs="Calibri" w:eastAsiaTheme="minorEastAsia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Notes: TRA, transverse axial; COR, coronal; TSE, turbo spin echo;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T1-FFE, T1 fast field echo;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T1-vibe,T1 volume interpolate bady examination; THRIVE, T1 high resolution isotropic volume examination.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45D90"/>
    <w:rsid w:val="01524806"/>
    <w:rsid w:val="03B17A06"/>
    <w:rsid w:val="05EF3CBF"/>
    <w:rsid w:val="2C942A89"/>
    <w:rsid w:val="3CAD6560"/>
    <w:rsid w:val="409C5B35"/>
    <w:rsid w:val="61246AB0"/>
    <w:rsid w:val="710459C8"/>
    <w:rsid w:val="71954D00"/>
    <w:rsid w:val="79A4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rPr>
      <w:sz w:val="20"/>
      <w:szCs w:val="20"/>
      <w:lang w:val="en-GB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annotation reference"/>
    <w:basedOn w:val="5"/>
    <w:semiHidden/>
    <w:qFormat/>
    <w:uiPriority w:val="0"/>
    <w:rPr>
      <w:rFonts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2021-11-02T02:28:00Z</dcterms:created>
  <dc:creator>uu</dc:creator>
  <cp:lastModifiedBy>uu</cp:lastModifiedBy>
  <dcterms:modified xsi:type="dcterms:W3CDTF">2022-08-10T12:20:36Z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A55990126A5D4928A4D61BC0EA02DC36</vt:lpwstr>
  </property>
</Properties>
</file>