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/>
          <w:b/>
          <w:bCs/>
          <w:color w:val="000000"/>
          <w:kern w:val="0"/>
          <w:sz w:val="24"/>
          <w:lang w:val="en-US" w:eastAsia="zh-CN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lang w:val="en-US" w:eastAsia="zh-CN"/>
        </w:rPr>
        <w:t xml:space="preserve">Supplemental </w:t>
      </w:r>
      <w:r>
        <w:rPr>
          <w:rFonts w:hint="eastAsia" w:ascii="Times New Roman" w:hAnsi="Times New Roman"/>
          <w:b/>
          <w:bCs/>
          <w:color w:val="000000"/>
          <w:kern w:val="0"/>
          <w:sz w:val="24"/>
          <w:lang w:val="en-US" w:eastAsia="zh-CN"/>
        </w:rPr>
        <w:t>Text 2</w:t>
      </w:r>
    </w:p>
    <w:p>
      <w:pPr>
        <w:widowControl/>
        <w:numPr>
          <w:ilvl w:val="0"/>
          <w:numId w:val="0"/>
        </w:numPr>
        <w:spacing w:line="360" w:lineRule="auto"/>
        <w:ind w:leftChars="0"/>
        <w:jc w:val="left"/>
        <w:rPr>
          <w:rFonts w:hint="eastAsia" w:ascii="Times New Roman" w:hAnsi="Times New Roman"/>
          <w:color w:val="auto"/>
          <w:kern w:val="0"/>
          <w:sz w:val="24"/>
          <w:szCs w:val="24"/>
          <w:lang w:val="en-GB" w:eastAsia="zh-CN"/>
        </w:rPr>
      </w:pPr>
      <w:r>
        <w:rPr>
          <w:rFonts w:hint="default" w:ascii="Times New Roman" w:hAnsi="Times New Roman"/>
          <w:b/>
          <w:color w:val="auto"/>
          <w:kern w:val="0"/>
          <w:sz w:val="24"/>
          <w:szCs w:val="24"/>
          <w:lang w:val="en-GB"/>
        </w:rPr>
        <w:t xml:space="preserve">Fig. </w:t>
      </w:r>
      <w:r>
        <w:rPr>
          <w:rFonts w:hint="eastAsia" w:ascii="Times New Roman" w:hAnsi="Times New Roman"/>
          <w:b/>
          <w:color w:val="auto"/>
          <w:kern w:val="0"/>
          <w:sz w:val="24"/>
          <w:szCs w:val="24"/>
        </w:rPr>
        <w:t>2</w:t>
      </w:r>
      <w:r>
        <w:rPr>
          <w:rFonts w:hint="default" w:ascii="Times New Roman" w:hAnsi="Times New Roman"/>
          <w:b/>
          <w:color w:val="auto"/>
          <w:kern w:val="0"/>
          <w:sz w:val="24"/>
          <w:szCs w:val="24"/>
          <w:lang w:val="en-GB"/>
        </w:rPr>
        <w:t xml:space="preserve">: </w:t>
      </w:r>
      <w:r>
        <w:rPr>
          <w:rFonts w:ascii="Arial" w:hAnsi="Arial" w:eastAsia="等线 Light" w:cs="Arial"/>
          <w:b/>
          <w:bCs/>
          <w:kern w:val="0"/>
          <w:sz w:val="24"/>
          <w:szCs w:val="24"/>
          <w:lang w:val="en-GB" w:eastAsia="en-US"/>
        </w:rPr>
        <w:t xml:space="preserve">Definitions of the </w:t>
      </w:r>
      <w:r>
        <w:rPr>
          <w:rFonts w:hint="eastAsia" w:ascii="Arial" w:hAnsi="Arial" w:eastAsia="等线 Light" w:cs="Arial"/>
          <w:b/>
          <w:bCs/>
          <w:kern w:val="0"/>
          <w:sz w:val="24"/>
          <w:szCs w:val="24"/>
          <w:lang w:val="en-US" w:eastAsia="zh-CN"/>
        </w:rPr>
        <w:t xml:space="preserve">radiology </w:t>
      </w:r>
      <w:r>
        <w:rPr>
          <w:rFonts w:ascii="Arial" w:hAnsi="Arial" w:eastAsia="等线 Light" w:cs="Arial"/>
          <w:b/>
          <w:bCs/>
          <w:kern w:val="0"/>
          <w:sz w:val="24"/>
          <w:szCs w:val="24"/>
          <w:lang w:val="en-GB" w:eastAsia="en-US"/>
        </w:rPr>
        <w:t xml:space="preserve">imaging </w:t>
      </w:r>
      <w:r>
        <w:rPr>
          <w:rFonts w:hint="eastAsia" w:ascii="Arial" w:hAnsi="Arial" w:eastAsia="等线 Light" w:cs="Arial"/>
          <w:b/>
          <w:bCs/>
          <w:kern w:val="0"/>
          <w:sz w:val="24"/>
          <w:szCs w:val="24"/>
          <w:lang w:val="en-US" w:eastAsia="zh-CN"/>
        </w:rPr>
        <w:t xml:space="preserve">factors: 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>(a) O</w:t>
      </w:r>
      <w:r>
        <w:rPr>
          <w:rFonts w:hint="default" w:ascii="Times New Roman" w:hAnsi="Times New Roman"/>
          <w:color w:val="auto"/>
          <w:kern w:val="0"/>
          <w:sz w:val="24"/>
          <w:szCs w:val="24"/>
          <w:lang w:val="en-GB" w:eastAsia="zh-CN"/>
        </w:rPr>
        <w:t>n T2-weighted imaging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 xml:space="preserve"> tumour signal shows </w:t>
      </w:r>
      <w:r>
        <w:rPr>
          <w:rFonts w:hint="default" w:ascii="Times New Roman" w:hAnsi="Times New Roman"/>
          <w:color w:val="auto"/>
          <w:kern w:val="0"/>
          <w:sz w:val="24"/>
          <w:szCs w:val="24"/>
          <w:lang w:val="en-GB" w:eastAsia="zh-CN"/>
        </w:rPr>
        <w:t>nonuniform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 xml:space="preserve">. (b) On 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GB" w:eastAsia="zh-CN"/>
        </w:rPr>
        <w:t>portal venous phase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 xml:space="preserve"> imaging the 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GB" w:eastAsia="zh-CN"/>
        </w:rPr>
        <w:t>tumour</w:t>
      </w:r>
      <w:r>
        <w:rPr>
          <w:rFonts w:hint="default" w:ascii="Times New Roman" w:hAnsi="Times New Roman"/>
          <w:color w:val="auto"/>
          <w:kern w:val="0"/>
          <w:sz w:val="24"/>
          <w:szCs w:val="24"/>
          <w:lang w:val="en-GB" w:eastAsia="zh-CN"/>
        </w:rPr>
        <w:t xml:space="preserve"> 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 xml:space="preserve">shows enhanced </w:t>
      </w:r>
      <w:r>
        <w:rPr>
          <w:rFonts w:hint="default" w:ascii="Times New Roman" w:hAnsi="Times New Roman"/>
          <w:color w:val="auto"/>
          <w:kern w:val="0"/>
          <w:sz w:val="24"/>
          <w:szCs w:val="24"/>
          <w:lang w:val="en-GB" w:eastAsia="zh-CN"/>
        </w:rPr>
        <w:t>capsule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 xml:space="preserve">. (c) On </w:t>
      </w:r>
      <w:r>
        <w:rPr>
          <w:rFonts w:hint="default" w:ascii="Times New Roman" w:hAnsi="Times New Roman"/>
          <w:color w:val="auto"/>
          <w:kern w:val="0"/>
          <w:sz w:val="24"/>
          <w:szCs w:val="24"/>
          <w:lang w:val="en-GB" w:eastAsia="zh-CN"/>
        </w:rPr>
        <w:t xml:space="preserve">arterial 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 xml:space="preserve">phase (AP) imaging there is 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GB" w:eastAsia="zh-CN"/>
        </w:rPr>
        <w:t xml:space="preserve">a </w:t>
      </w:r>
      <w:r>
        <w:rPr>
          <w:rFonts w:hint="default" w:ascii="Times New Roman" w:hAnsi="Times New Roman"/>
          <w:color w:val="auto"/>
          <w:kern w:val="0"/>
          <w:sz w:val="24"/>
          <w:szCs w:val="24"/>
          <w:lang w:val="en-GB" w:eastAsia="zh-CN"/>
        </w:rPr>
        <w:t>wedge-shaped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GB" w:eastAsia="zh-CN"/>
        </w:rPr>
        <w:t>material enhancement outside the tumor margin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 xml:space="preserve">. (d) On 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GB" w:eastAsia="zh-CN"/>
        </w:rPr>
        <w:t>hepatobiliary phase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 xml:space="preserve"> (HBP) imaging, 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GB" w:eastAsia="zh-CN"/>
        </w:rPr>
        <w:t>tumour</w:t>
      </w:r>
      <w:r>
        <w:rPr>
          <w:rFonts w:hint="default" w:ascii="Times New Roman" w:hAnsi="Times New Roman"/>
          <w:color w:val="auto"/>
          <w:kern w:val="0"/>
          <w:sz w:val="24"/>
          <w:szCs w:val="24"/>
          <w:lang w:val="en-GB" w:eastAsia="zh-CN"/>
        </w:rPr>
        <w:t xml:space="preserve"> margin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 xml:space="preserve"> shows 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GB" w:eastAsia="zh-CN"/>
        </w:rPr>
        <w:t>irregular protrusion into the surrounding normal hepatic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 xml:space="preserve">. (d) On HBP imaging, there is 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GB" w:eastAsia="zh-CN"/>
        </w:rPr>
        <w:t>flame-like hypointense area adjacent to the tumor border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>. (e-f) On T1-weighted in-phase (e) and opposed-phase (f) images show fat in tumour. (g)</w:t>
      </w:r>
      <w:r>
        <w:rPr>
          <w:rFonts w:hint="default" w:ascii="Times New Roman" w:hAnsi="Times New Roman"/>
          <w:color w:val="auto"/>
          <w:kern w:val="0"/>
          <w:sz w:val="24"/>
          <w:szCs w:val="24"/>
          <w:lang w:val="en-GB" w:eastAsia="zh-CN"/>
        </w:rPr>
        <w:t xml:space="preserve"> 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/>
          <w:color w:val="auto"/>
          <w:kern w:val="0"/>
          <w:sz w:val="24"/>
          <w:szCs w:val="24"/>
          <w:lang w:val="en-GB" w:eastAsia="zh-CN"/>
        </w:rPr>
        <w:t>onhypervascular HBP hypointense nodule (NHHN)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>: S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GB" w:eastAsia="zh-CN"/>
        </w:rPr>
        <w:t>olid nodule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US" w:eastAsia="zh-CN"/>
        </w:rPr>
        <w:t xml:space="preserve"> is</w:t>
      </w:r>
      <w:r>
        <w:rPr>
          <w:rFonts w:hint="eastAsia" w:ascii="Times New Roman" w:hAnsi="Times New Roman"/>
          <w:color w:val="auto"/>
          <w:kern w:val="0"/>
          <w:sz w:val="24"/>
          <w:szCs w:val="24"/>
          <w:lang w:val="en-GB" w:eastAsia="zh-CN"/>
        </w:rPr>
        <w:t xml:space="preserve"> hypointensity on the HBP without AP hyper-enhancement.</w:t>
      </w:r>
    </w:p>
    <w:p>
      <w:pPr>
        <w:widowControl/>
        <w:numPr>
          <w:ilvl w:val="0"/>
          <w:numId w:val="0"/>
        </w:numPr>
        <w:jc w:val="left"/>
        <w:rPr>
          <w:rFonts w:hint="eastAsia" w:ascii="Times New Roman" w:hAnsi="Times New Roman"/>
          <w:b/>
          <w:bCs/>
          <w:sz w:val="24"/>
          <w:lang w:val="en-GB"/>
        </w:rPr>
      </w:pPr>
      <w:bookmarkStart w:id="0" w:name="_GoBack"/>
      <w:bookmarkEnd w:id="0"/>
    </w:p>
    <w:p>
      <w:pPr>
        <w:widowControl/>
        <w:numPr>
          <w:ilvl w:val="0"/>
          <w:numId w:val="0"/>
        </w:numPr>
        <w:jc w:val="left"/>
        <w:rPr>
          <w:rFonts w:hint="eastAsia" w:ascii="Times New Roman" w:hAnsi="Times New Roman" w:eastAsia="宋体"/>
          <w:b/>
          <w:bCs/>
          <w:sz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lang w:val="en-GB"/>
        </w:rPr>
        <w:t>The qualitative data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:</w:t>
      </w:r>
    </w:p>
    <w:p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ascii="Times New Roman" w:hAnsi="Times New Roman"/>
          <w:sz w:val="24"/>
          <w:lang w:val="en-GB"/>
        </w:rPr>
      </w:pP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 xml:space="preserve"> signal, classified as uniform or nonuniform on T2WI and specifically, the presence of haemorrhage, necrosis, or cystic changes inside the </w:t>
      </w: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>;</w:t>
      </w:r>
    </w:p>
    <w:p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 xml:space="preserve">radiological evidence of </w:t>
      </w: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 xml:space="preserve"> capsule, defined as a distinct ring with delayed contrast enhancement along the </w:t>
      </w: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 xml:space="preserve"> border and classified as absent </w:t>
      </w: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 xml:space="preserve"> capsule, complete capsule, or incomplete capsule; </w:t>
      </w:r>
    </w:p>
    <w:p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>arterial peri</w:t>
      </w: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 xml:space="preserve">al enhancement, defined as a material enhancement outside the </w:t>
      </w: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 xml:space="preserve"> margin and becoming isointense with background liver parenchyma on </w:t>
      </w:r>
      <w:r>
        <w:rPr>
          <w:rFonts w:hint="eastAsia" w:ascii="Times New Roman" w:hAnsi="Times New Roman"/>
          <w:sz w:val="24"/>
          <w:lang w:val="en-US" w:eastAsia="zh-CN"/>
        </w:rPr>
        <w:t>TP</w:t>
      </w:r>
      <w:r>
        <w:rPr>
          <w:rFonts w:ascii="Times New Roman" w:hAnsi="Times New Roman"/>
          <w:sz w:val="24"/>
          <w:lang w:val="en-GB"/>
        </w:rPr>
        <w:t xml:space="preserve"> images and HBP images, regardless of shape; </w:t>
      </w:r>
    </w:p>
    <w:p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ascii="Times New Roman" w:hAnsi="Times New Roman"/>
          <w:sz w:val="24"/>
          <w:lang w:val="en-GB"/>
        </w:rPr>
      </w:pP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 xml:space="preserve"> margin, classified as smooth or non-smooth, with a non-smooth margin defined as a lobular or irregular protrusion into the surrounding normal hepatic parenchyma on both axial and coronal HBP images; </w:t>
      </w:r>
    </w:p>
    <w:p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>peri</w:t>
      </w: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 xml:space="preserve">al hypointensity on the HBP, defined as an irregular hypointense area of normal liver parenchyma located outside the </w:t>
      </w: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 xml:space="preserve"> margin on HBP;</w:t>
      </w:r>
    </w:p>
    <w:p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 xml:space="preserve">fat content of the </w:t>
      </w: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>, classified as negative or positive</w:t>
      </w:r>
      <w:r>
        <w:rPr>
          <w:rFonts w:hint="eastAsia" w:ascii="Times New Roman" w:hAnsi="Times New Roman"/>
          <w:sz w:val="24"/>
          <w:lang w:val="en-US" w:eastAsia="zh-CN"/>
        </w:rPr>
        <w:t xml:space="preserve">. </w:t>
      </w:r>
      <w:r>
        <w:rPr>
          <w:rFonts w:ascii="Times New Roman" w:hAnsi="Times New Roman"/>
          <w:sz w:val="24"/>
          <w:lang w:val="en-US" w:eastAsia="zh-CN"/>
        </w:rPr>
        <w:t xml:space="preserve">Intratumoral fat was determined when high </w:t>
      </w:r>
      <w:r>
        <w:rPr>
          <w:rFonts w:hint="default" w:ascii="Times New Roman" w:hAnsi="Times New Roman"/>
          <w:sz w:val="24"/>
          <w:lang w:val="en-US" w:eastAsia="zh-CN"/>
        </w:rPr>
        <w:t>signal intensity foci within a tumor on in-phase chemical shift imaging showed signal drop on opposed-phase</w:t>
      </w:r>
      <w:r>
        <w:rPr>
          <w:rFonts w:hint="eastAsia" w:ascii="Times New Roman" w:hAnsi="Times New Roman"/>
          <w:sz w:val="24"/>
          <w:lang w:val="en-US" w:eastAsia="zh-CN"/>
        </w:rPr>
        <w:t>;</w:t>
      </w:r>
    </w:p>
    <w:p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>nonhypervascular HBP hypointense nodule (NHHN), defined as solid nodules showing hypointensity on the HBP without AP hyper-enhancement at gadoxetic acid-enhancement.</w:t>
      </w:r>
    </w:p>
    <w:p>
      <w:pPr>
        <w:widowControl/>
        <w:numPr>
          <w:ilvl w:val="0"/>
          <w:numId w:val="0"/>
        </w:numPr>
        <w:jc w:val="left"/>
        <w:rPr>
          <w:rFonts w:hint="eastAsia" w:ascii="Times New Roman" w:hAnsi="Times New Roman"/>
          <w:b/>
          <w:bCs/>
          <w:sz w:val="24"/>
          <w:lang w:val="en-US" w:eastAsia="zh-CN"/>
        </w:rPr>
      </w:pPr>
    </w:p>
    <w:p>
      <w:pPr>
        <w:widowControl/>
        <w:numPr>
          <w:ilvl w:val="0"/>
          <w:numId w:val="0"/>
        </w:numPr>
        <w:jc w:val="left"/>
        <w:rPr>
          <w:rFonts w:hint="eastAsia" w:ascii="Times New Roman" w:hAnsi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lang w:val="en-US" w:eastAsia="zh-CN"/>
        </w:rPr>
        <w:t>The q</w:t>
      </w:r>
      <w:r>
        <w:rPr>
          <w:rFonts w:hint="eastAsia" w:ascii="Times New Roman" w:hAnsi="Times New Roman"/>
          <w:b/>
          <w:bCs/>
          <w:sz w:val="24"/>
          <w:lang w:val="en-GB"/>
        </w:rPr>
        <w:t>uantitative data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:</w:t>
      </w:r>
    </w:p>
    <w:p>
      <w:pPr>
        <w:widowControl/>
        <w:numPr>
          <w:ilvl w:val="0"/>
          <w:numId w:val="2"/>
        </w:numPr>
        <w:ind w:left="425" w:leftChars="0" w:hanging="425" w:firstLineChars="0"/>
        <w:jc w:val="left"/>
        <w:rPr>
          <w:rFonts w:ascii="Times New Roman" w:hAnsi="Times New Roman"/>
          <w:sz w:val="24"/>
          <w:lang w:val="en-GB"/>
        </w:rPr>
      </w:pP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 xml:space="preserve"> size was determined by measuring the maximum diameter of the </w:t>
      </w: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 xml:space="preserve"> at the axial and coronary positions on the HBP. </w:t>
      </w:r>
    </w:p>
    <w:p>
      <w:pPr>
        <w:widowControl/>
        <w:numPr>
          <w:ilvl w:val="0"/>
          <w:numId w:val="2"/>
        </w:numPr>
        <w:ind w:left="425" w:leftChars="0" w:hanging="425" w:firstLineChars="0"/>
        <w:jc w:val="left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 xml:space="preserve">The </w:t>
      </w: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 xml:space="preserve"> CER was calculated by measuring the </w:t>
      </w: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 xml:space="preserve"> signal intensity before (SI pre) and after (SI post) intravenous administration of Gd-EOB-DTPA in the AP, PP, TP, and HBP. Regions of interest were manually traced to the maximum extent within the range of the </w:t>
      </w: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 xml:space="preserve">, and used to obtain the mean SI of the HCC from every sequence. The </w:t>
      </w:r>
      <w:r>
        <w:rPr>
          <w:rFonts w:hint="eastAsia" w:ascii="Times New Roman" w:hAnsi="Times New Roman"/>
          <w:sz w:val="24"/>
          <w:lang w:val="en-GB" w:eastAsia="zh-CN"/>
        </w:rPr>
        <w:t>tumor</w:t>
      </w:r>
      <w:r>
        <w:rPr>
          <w:rFonts w:ascii="Times New Roman" w:hAnsi="Times New Roman"/>
          <w:sz w:val="24"/>
          <w:lang w:val="en-GB"/>
        </w:rPr>
        <w:t xml:space="preserve"> CER was calculated as follows: CER=SI</w:t>
      </w:r>
      <w:r>
        <w:rPr>
          <w:rFonts w:ascii="Times New Roman" w:hAnsi="Times New Roman"/>
          <w:sz w:val="24"/>
          <w:vertAlign w:val="subscript"/>
          <w:lang w:val="en-GB"/>
        </w:rPr>
        <w:t>post</w:t>
      </w:r>
      <w:r>
        <w:rPr>
          <w:rFonts w:ascii="Times New Roman" w:hAnsi="Times New Roman"/>
          <w:sz w:val="24"/>
          <w:lang w:val="en-GB"/>
        </w:rPr>
        <w:t>-SI</w:t>
      </w:r>
      <w:r>
        <w:rPr>
          <w:rFonts w:ascii="Times New Roman" w:hAnsi="Times New Roman"/>
          <w:sz w:val="24"/>
          <w:vertAlign w:val="subscript"/>
          <w:lang w:val="en-GB"/>
        </w:rPr>
        <w:t xml:space="preserve">pre </w:t>
      </w:r>
      <w:r>
        <w:rPr>
          <w:rFonts w:ascii="Times New Roman" w:hAnsi="Times New Roman"/>
          <w:sz w:val="24"/>
          <w:lang w:val="en-GB"/>
        </w:rPr>
        <w:t>/ SI</w:t>
      </w:r>
      <w:r>
        <w:rPr>
          <w:rFonts w:ascii="Times New Roman" w:hAnsi="Times New Roman"/>
          <w:sz w:val="24"/>
          <w:vertAlign w:val="subscript"/>
          <w:lang w:val="en-GB"/>
        </w:rPr>
        <w:t>pre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F51552"/>
    <w:multiLevelType w:val="singleLevel"/>
    <w:tmpl w:val="92F51552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3D61B2C"/>
    <w:multiLevelType w:val="singleLevel"/>
    <w:tmpl w:val="B3D61B2C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C0E06"/>
    <w:rsid w:val="2A7C0E06"/>
    <w:rsid w:val="41F12EDB"/>
    <w:rsid w:val="502901E5"/>
    <w:rsid w:val="52484D83"/>
    <w:rsid w:val="56DF1336"/>
    <w:rsid w:val="5A2A26BF"/>
    <w:rsid w:val="5AA4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iPriority w:val="0"/>
    <w:rPr>
      <w:sz w:val="20"/>
      <w:szCs w:val="20"/>
      <w:lang w:val="en-GB"/>
    </w:rPr>
  </w:style>
  <w:style w:type="character" w:styleId="5">
    <w:name w:val="annotation reference"/>
    <w:basedOn w:val="4"/>
    <w:semiHidden/>
    <w:qFormat/>
    <w:uiPriority w:val="0"/>
    <w:rPr>
      <w:rFonts w:cs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2021-11-03T01:31:00Z</dcterms:created>
  <dc:creator>Administrator</dc:creator>
  <cp:lastModifiedBy>uu</cp:lastModifiedBy>
  <dcterms:modified xsi:type="dcterms:W3CDTF">2022-08-11T14:57:38Z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8D6F745F881C4D46A524408130712616</vt:lpwstr>
  </property>
</Properties>
</file>