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/>
          <w:lang w:val="en-US" w:eastAsia="zh-CN"/>
        </w:rPr>
      </w:pPr>
    </w:p>
    <w:p>
      <w:pPr>
        <w:jc w:val="center"/>
        <w:rPr>
          <w:rFonts w:hint="default" w:ascii="Times New Roman" w:hAnsi="Times New Roman" w:eastAsia="宋体" w:cs="Times New Roman"/>
          <w:b/>
          <w:bCs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2"/>
          <w:szCs w:val="22"/>
          <w:lang w:val="en-US" w:eastAsia="zh-CN" w:bidi="ar"/>
        </w:rPr>
        <w:t>Supplementary Appendix</w:t>
      </w:r>
    </w:p>
    <w:p>
      <w:pPr>
        <w:jc w:val="center"/>
        <w:rPr>
          <w:rFonts w:hint="default" w:ascii="Times New Roman" w:hAnsi="Times New Roman" w:eastAsia="宋体" w:cs="Times New Roman"/>
          <w:b/>
          <w:bCs/>
          <w:kern w:val="0"/>
          <w:sz w:val="22"/>
          <w:szCs w:val="22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</w:pP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S1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: The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Setup and scenario of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VR-Rehab system</w:t>
      </w:r>
    </w:p>
    <w:p>
      <w:pP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</w:pP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Figure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S2: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The chage of TUGT in VR group and AV group</w:t>
      </w:r>
    </w:p>
    <w:p>
      <w:pP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</w:pP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Figure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S3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: The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secondary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 outcomes of VR group and AV group at each test visit </w:t>
      </w:r>
    </w:p>
    <w:p>
      <w:pP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</w:pP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: The mean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value of QSM in VR and AV group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from Baseline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(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Pre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)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to Post 14w </w:t>
      </w:r>
    </w:p>
    <w:p>
      <w:pP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</w:pP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: The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Volume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value of QSM in VR and AV group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from Baseline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(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Pre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)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to Post 14w </w:t>
      </w:r>
    </w:p>
    <w:p>
      <w:pP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Table S3: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Primary and secondary efficacy outcomes assessed from Baseline（Pre）to Post 6w and 14w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in the H&amp;Y&lt;2.5 group and H&amp;Y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≥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2.5 group</w:t>
      </w:r>
    </w:p>
    <w:p>
      <w:pP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Table S4: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Primary and secondary efficacy outcomes assessed from Baseline（Pre）to Post 6w and 14w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in the age &lt; 70 years old and age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≥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70 years old group</w:t>
      </w:r>
    </w:p>
    <w:p>
      <w:pP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Table S5: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Primary and secondary efficacy outcomes assessed from Baseline（Pre）to Post 6w and 14w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in the disease duration &lt; 3 years and disease duration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≥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3 years group</w:t>
      </w:r>
    </w:p>
    <w:p>
      <w:pP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Table S6: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Primary and secondary efficacy outcomes assessed from Baseline（Pre）to Post 6w and 14w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in the male group and female group</w:t>
      </w:r>
    </w:p>
    <w:p>
      <w:pP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</w:pP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7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: The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adverse events during Intervention</w:t>
      </w:r>
    </w:p>
    <w:p>
      <w:pPr>
        <w:rPr>
          <w:rFonts w:hint="eastAsia" w:ascii="Times New Roman" w:hAnsi="Times New Roman"/>
          <w:lang w:val="en-US" w:eastAsia="zh-C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bookmarkStart w:id="0" w:name="_GoBack"/>
      <w:bookmarkEnd w:id="0"/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drawing>
          <wp:inline distT="0" distB="0" distL="114300" distR="114300">
            <wp:extent cx="5922645" cy="5721985"/>
            <wp:effectExtent l="0" t="0" r="8255" b="5715"/>
            <wp:docPr id="4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2645" cy="572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2"/>
          <w:szCs w:val="22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szCs w:val="22"/>
          <w:lang w:val="en-US" w:eastAsia="zh-CN" w:bidi="ar"/>
        </w:rPr>
        <w:t>S1: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The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Setup and scenario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of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VR-Rehab system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: (A)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The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HTC Vive Pro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device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comprises of the following elements: A HTC Vive head-mounted display (HMD, HTC Vive Pro) fully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immerse the patient in the virtual environment;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two base stations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equipped with Steam tracking technology to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track the patient’s accurate position and motion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in virtual environment;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two operating handles to track the patient’s movements and transfer the movements onto a virtual limb in the virtual environment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. (B) Actual scene diagram of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VR-Rehab system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High-configuration computer is used to run the Steam VR software system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The computer generates a virtual environment through the HTC Vive link box and displays it in HMD, and the patient immerse the virtual environment through HMD.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Four VR-assisted lower limb gait training scenarios will be available for patients to choose from (nine-grid training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(C)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, single-plank bridge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(D), fruit picking(E), 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training, and crossbar training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(F)</w:t>
      </w:r>
      <w:r>
        <w:rPr>
          <w:rFonts w:hint="default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.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hint="eastAsia" w:ascii="Times New Roman" w:hAnsi="Times New Roman"/>
          <w:lang w:val="en-US"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547360" cy="1952625"/>
            <wp:effectExtent l="0" t="0" r="0" b="0"/>
            <wp:docPr id="1" name="图片 3" descr="TUGT 附录 20220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TUGT 附录 202208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cs="Times New Roman"/>
          <w:sz w:val="28"/>
          <w:szCs w:val="36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2"/>
          <w:szCs w:val="22"/>
          <w:lang w:bidi="ar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szCs w:val="22"/>
          <w:lang w:val="en-US" w:eastAsia="zh-CN" w:bidi="ar"/>
        </w:rPr>
        <w:t>S2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szCs w:val="22"/>
          <w:lang w:bidi="ar"/>
        </w:rPr>
        <w:t>: The chage of TUGT in VR group and AV group.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 (A) 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>The change of TUGT in VR group at the Post 6w and 14w visit. (B) The change of TUGT in AV group at the Post 6w and 14w visit.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 VR：Virtual Reality Group；AV：Audio-visual Group；TUGT：Time Up and Go Test；Pre: Baseline before intervention; Post 6w: 6 weeks postintervention; Post 14w: 14 weeks postintervention; 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0.05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; 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1; ***denotes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01. </w:t>
      </w:r>
    </w:p>
    <w:p>
      <w:pPr>
        <w:rPr>
          <w:rFonts w:hint="default" w:ascii="Times New Roman" w:hAnsi="Times New Roman"/>
          <w:lang w:val="en-US" w:eastAsia="zh-CN"/>
        </w:rPr>
      </w:pPr>
    </w:p>
    <w:p>
      <w:pPr>
        <w:rPr>
          <w:rFonts w:hint="eastAsia" w:ascii="Times New Roman" w:hAnsi="Times New Roman"/>
          <w:lang w:val="en-US"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5424170" cy="4291965"/>
            <wp:effectExtent l="0" t="0" r="11430" b="635"/>
            <wp:docPr id="4" name="图片 3" descr="BMJ 20220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BMJ 202208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417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2"/>
          <w:szCs w:val="22"/>
          <w:lang w:bidi="ar"/>
        </w:rPr>
        <w:t>Figure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szCs w:val="22"/>
          <w:lang w:val="en-US" w:eastAsia="zh-CN" w:bidi="ar"/>
        </w:rPr>
        <w:t xml:space="preserve"> S2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szCs w:val="22"/>
          <w:lang w:bidi="ar"/>
        </w:rPr>
        <w:t xml:space="preserve">: The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szCs w:val="22"/>
          <w:lang w:val="en-US" w:eastAsia="zh-CN" w:bidi="ar"/>
        </w:rPr>
        <w:t>secondary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szCs w:val="22"/>
          <w:lang w:bidi="ar"/>
        </w:rPr>
        <w:t xml:space="preserve"> outcomes of VR group and</w:t>
      </w:r>
      <w:r>
        <w:rPr>
          <w:rFonts w:ascii="Times New Roman" w:hAnsi="Times New Roman" w:eastAsia="宋体" w:cs="Times New Roman"/>
          <w:b/>
          <w:bCs/>
          <w:kern w:val="0"/>
          <w:sz w:val="22"/>
          <w:szCs w:val="22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2"/>
          <w:szCs w:val="22"/>
          <w:lang w:bidi="ar"/>
        </w:rPr>
        <w:t>AV group at each test visit.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 (A) The BBS score at each test visit. (B) The Tinetti score at each test visit. (C) The 6-MWT at each test visit. (D) The UPDRS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Ⅲ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 scores at each test visit. VR：Virtual Reality Group；AV：Audio-visual Group；TUGT：Timed Up and Go Test；BBS：Berg Balance Scale；Tinetti test：Tinetti gait test; 6 MWT：6 Meter Walking Time; Pre: Baseline before intervention; Post 6w: 6 weeks postintervention; Post 14w: 14 weeks postintervention; 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0.05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;  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1; ***denotes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01. *(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purple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 )denotes comparing with Pre test between VR group; *(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>yellow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 )denotes comparing with Pre test between AV group.</w:t>
      </w:r>
    </w:p>
    <w:p>
      <w:pPr>
        <w:rPr>
          <w:rFonts w:hint="eastAsia" w:ascii="Times New Roman" w:hAnsi="Times New Roman"/>
          <w:lang w:val="en-US" w:eastAsia="zh-CN"/>
        </w:rPr>
      </w:pPr>
    </w:p>
    <w:p>
      <w:pPr>
        <w:rPr>
          <w:rFonts w:hint="eastAsia" w:ascii="Times New Roman" w:hAnsi="Times New Roman"/>
          <w:lang w:val="en-US" w:eastAsia="zh-CN"/>
        </w:rPr>
      </w:pPr>
    </w:p>
    <w:p>
      <w:pPr>
        <w:rPr>
          <w:rFonts w:hint="eastAsia" w:ascii="Times New Roman" w:hAnsi="Times New Roman"/>
          <w:lang w:val="en-US" w:eastAsia="zh-CN"/>
        </w:rPr>
      </w:pPr>
    </w:p>
    <w:p>
      <w:pPr>
        <w:rPr>
          <w:rFonts w:hint="eastAsia" w:ascii="Times New Roman" w:hAnsi="Times New Roman"/>
          <w:lang w:val="en-US" w:eastAsia="zh-CN"/>
        </w:rPr>
      </w:pPr>
    </w:p>
    <w:p>
      <w:pPr>
        <w:rPr>
          <w:rFonts w:hint="eastAsia" w:ascii="Times New Roman" w:hAnsi="Times New Roman"/>
          <w:lang w:val="en-US" w:eastAsia="zh-CN"/>
        </w:rPr>
      </w:pPr>
    </w:p>
    <w:p>
      <w:pPr>
        <w:rPr>
          <w:rFonts w:hint="default" w:ascii="Times New Roman" w:hAnsi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Table S1: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Primary and secondary efficacy outcomes assessed from Baseline（Pre）to Post 6w and 14w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in the H&amp;Y&lt;2.5 group and H&amp;Y </w:t>
      </w:r>
      <w:r>
        <w:rPr>
          <w:rFonts w:hint="default" w:ascii="Times New Roman" w:hAnsi="Times New Roman" w:cs="Arial"/>
          <w:b/>
          <w:bCs/>
          <w:sz w:val="24"/>
          <w:szCs w:val="32"/>
          <w:lang w:val="en-US" w:eastAsia="zh-CN"/>
        </w:rPr>
        <w:t>≥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2.5 group</w:t>
      </w:r>
    </w:p>
    <w:tbl>
      <w:tblPr>
        <w:tblStyle w:val="3"/>
        <w:tblW w:w="758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2070"/>
        <w:gridCol w:w="1430"/>
        <w:gridCol w:w="24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90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Outcome</w:t>
            </w:r>
          </w:p>
        </w:tc>
        <w:tc>
          <w:tcPr>
            <w:tcW w:w="2070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ascii="Times New Roman" w:hAnsi="Times New Roman" w:eastAsia="等线"/>
                <w:lang w:val="en-US" w:eastAsia="zh-CN" w:bidi="ar"/>
              </w:rPr>
              <w:t xml:space="preserve">Group Effect </w:t>
            </w:r>
            <w:r>
              <w:rPr>
                <w:rStyle w:val="6"/>
                <w:rFonts w:ascii="Times New Roman" w:hAnsi="Times New Roman" w:eastAsia="等线"/>
                <w:lang w:val="en-US" w:eastAsia="zh-CN" w:bidi="ar"/>
              </w:rPr>
              <w:t xml:space="preserve">    </w:t>
            </w:r>
          </w:p>
        </w:tc>
        <w:tc>
          <w:tcPr>
            <w:tcW w:w="1430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Time Effect</w:t>
            </w:r>
          </w:p>
        </w:tc>
        <w:tc>
          <w:tcPr>
            <w:tcW w:w="2497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Group × Time Effect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97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ascii="Times New Roman" w:hAnsi="Times New Roman" w:eastAsia="等线"/>
                <w:lang w:val="en-US" w:eastAsia="zh-CN" w:bidi="ar"/>
              </w:rPr>
              <w:t xml:space="preserve">  </w:t>
            </w:r>
            <w:r>
              <w:rPr>
                <w:rStyle w:val="6"/>
                <w:rFonts w:ascii="Times New Roman" w:hAnsi="Times New Roman" w:eastAsia="等线"/>
                <w:lang w:val="en-US" w:eastAsia="zh-CN" w:bidi="ar"/>
              </w:rPr>
              <w:t>F (P Value)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(P Value)</w:t>
            </w:r>
          </w:p>
        </w:tc>
        <w:tc>
          <w:tcPr>
            <w:tcW w:w="249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(P Value)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Outcome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TUGT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(0.259)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ascii="Times New Roman" w:hAnsi="Times New Roman"/>
                <w:lang w:val="en-US" w:eastAsia="zh-CN" w:bidi="ar"/>
              </w:rPr>
              <w:t>18.477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(&lt;0.001</w:t>
            </w:r>
            <w:r>
              <w:rPr>
                <w:rStyle w:val="8"/>
                <w:rFonts w:ascii="Times New Roman" w:hAnsi="Times New Roman"/>
                <w:lang w:val="en-US" w:eastAsia="zh-CN" w:bidi="ar"/>
              </w:rPr>
              <w:t>***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)</w:t>
            </w:r>
          </w:p>
        </w:tc>
        <w:tc>
          <w:tcPr>
            <w:tcW w:w="2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ascii="Times New Roman" w:hAnsi="Times New Roman"/>
                <w:lang w:val="en-US" w:eastAsia="zh-CN" w:bidi="ar"/>
              </w:rPr>
              <w:t>2.403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(0.035</w:t>
            </w:r>
            <w:r>
              <w:rPr>
                <w:rStyle w:val="8"/>
                <w:rFonts w:ascii="Times New Roman" w:hAnsi="Times New Roman"/>
                <w:lang w:val="en-US" w:eastAsia="zh-CN" w:bidi="ar"/>
              </w:rPr>
              <w:t>*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Secondary Outcome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BBS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ascii="Times New Roman" w:hAnsi="Times New Roman"/>
                <w:lang w:val="en-US" w:eastAsia="zh-CN" w:bidi="ar"/>
              </w:rPr>
              <w:t>6.588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(&lt;0.001</w:t>
            </w:r>
            <w:r>
              <w:rPr>
                <w:rStyle w:val="8"/>
                <w:rFonts w:ascii="Times New Roman" w:hAnsi="Times New Roman"/>
                <w:lang w:val="en-US" w:eastAsia="zh-CN" w:bidi="ar"/>
              </w:rPr>
              <w:t>***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)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ascii="Times New Roman" w:hAnsi="Times New Roman"/>
                <w:lang w:val="en-US" w:eastAsia="zh-CN" w:bidi="ar"/>
              </w:rPr>
              <w:t>44.513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(0.001</w:t>
            </w:r>
            <w:r>
              <w:rPr>
                <w:rStyle w:val="8"/>
                <w:rFonts w:ascii="Times New Roman" w:hAnsi="Times New Roman"/>
                <w:lang w:val="en-US" w:eastAsia="zh-CN" w:bidi="ar"/>
              </w:rPr>
              <w:t>**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)</w:t>
            </w:r>
          </w:p>
        </w:tc>
        <w:tc>
          <w:tcPr>
            <w:tcW w:w="2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ascii="Times New Roman" w:hAnsi="Times New Roman"/>
                <w:lang w:val="en-US" w:eastAsia="zh-CN" w:bidi="ar"/>
              </w:rPr>
              <w:t>4.528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(0.001</w:t>
            </w:r>
            <w:r>
              <w:rPr>
                <w:rStyle w:val="8"/>
                <w:rFonts w:ascii="Times New Roman" w:hAnsi="Times New Roman"/>
                <w:lang w:val="en-US" w:eastAsia="zh-CN" w:bidi="ar"/>
              </w:rPr>
              <w:t>**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Tinetti test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2.197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(0.105)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33.723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(&lt;0.001***)</w:t>
            </w:r>
          </w:p>
        </w:tc>
        <w:tc>
          <w:tcPr>
            <w:tcW w:w="2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1.882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(0.096)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6-MWT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ascii="Times New Roman" w:hAnsi="Times New Roman"/>
                <w:lang w:val="en-US" w:eastAsia="zh-CN" w:bidi="ar"/>
              </w:rPr>
              <w:t>40.719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(&lt;0.001</w:t>
            </w:r>
            <w:r>
              <w:rPr>
                <w:rStyle w:val="8"/>
                <w:rFonts w:ascii="Times New Roman" w:hAnsi="Times New Roman"/>
                <w:lang w:val="en-US" w:eastAsia="zh-CN" w:bidi="ar"/>
              </w:rPr>
              <w:t>***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)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ascii="Times New Roman" w:hAnsi="Times New Roman"/>
                <w:lang w:val="en-US" w:eastAsia="zh-CN" w:bidi="ar"/>
              </w:rPr>
            </w:pPr>
            <w:r>
              <w:rPr>
                <w:rStyle w:val="7"/>
                <w:rFonts w:ascii="Times New Roman" w:hAnsi="Times New Roman"/>
                <w:lang w:val="en-US" w:eastAsia="zh-CN" w:bidi="ar"/>
              </w:rPr>
              <w:t>75.019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ascii="Times New Roman" w:hAnsi="Times New Roman"/>
                <w:lang w:val="en-US" w:eastAsia="zh-CN" w:bidi="ar"/>
              </w:rPr>
              <w:t>(0.007</w:t>
            </w:r>
            <w:r>
              <w:rPr>
                <w:rStyle w:val="8"/>
                <w:rFonts w:ascii="Times New Roman" w:hAnsi="Times New Roman"/>
                <w:lang w:val="en-US" w:eastAsia="zh-CN" w:bidi="ar"/>
              </w:rPr>
              <w:t>**</w:t>
            </w:r>
            <w:r>
              <w:rPr>
                <w:rStyle w:val="7"/>
                <w:rFonts w:ascii="Times New Roman" w:hAnsi="Times New Roman"/>
                <w:lang w:val="en-US" w:eastAsia="zh-CN" w:bidi="ar"/>
              </w:rPr>
              <w:t>)</w:t>
            </w:r>
          </w:p>
        </w:tc>
        <w:tc>
          <w:tcPr>
            <w:tcW w:w="24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74.76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UPDRS Ⅲ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2.806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(&lt;0.001***)</w:t>
            </w:r>
          </w:p>
        </w:tc>
        <w:tc>
          <w:tcPr>
            <w:tcW w:w="143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12.281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(0.052)</w:t>
            </w:r>
          </w:p>
        </w:tc>
        <w:tc>
          <w:tcPr>
            <w:tcW w:w="2497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(0.211)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9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Analyses were conducted with the use of a Linear mixed models.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Values are mean±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standard deviation.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 VR：Virtual Reality Group；AV：Audio-visual Group；TUGT：Time Up and Go Test；BBS：Berg Balance Scale；Tinetti test：Tinetti gait test; 6 MWT：6 Meter Walking Time;  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0.05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;  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1; ***denotes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01.</w:t>
      </w:r>
    </w:p>
    <w:p>
      <w:pPr>
        <w:rPr>
          <w:rFonts w:hint="default" w:ascii="Times New Roman" w:hAnsi="Times New Roman"/>
          <w:lang w:val="en-US" w:eastAsia="zh-CN"/>
        </w:rPr>
      </w:pPr>
    </w:p>
    <w:p>
      <w:pPr>
        <w:rPr>
          <w:rFonts w:hint="eastAsia" w:ascii="Times New Roman" w:hAnsi="Times New Roman"/>
          <w:lang w:val="en-US" w:eastAsia="zh-CN"/>
        </w:rPr>
      </w:pPr>
    </w:p>
    <w:p>
      <w:pPr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Table S2: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Primary and secondary efficacy outcomes assessed from Baseline（Pre）to Post 6w and 14w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in the age &lt; 70 years old and age </w:t>
      </w:r>
      <w:r>
        <w:rPr>
          <w:rFonts w:hint="default" w:ascii="Times New Roman" w:hAnsi="Times New Roman" w:cs="Arial"/>
          <w:b/>
          <w:bCs/>
          <w:sz w:val="24"/>
          <w:szCs w:val="32"/>
          <w:lang w:val="en-US" w:eastAsia="zh-CN"/>
        </w:rPr>
        <w:t>≥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70 years old group</w:t>
      </w:r>
    </w:p>
    <w:tbl>
      <w:tblPr>
        <w:tblStyle w:val="3"/>
        <w:tblW w:w="775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872"/>
        <w:gridCol w:w="1800"/>
        <w:gridCol w:w="24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90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Outcome</w:t>
            </w:r>
          </w:p>
        </w:tc>
        <w:tc>
          <w:tcPr>
            <w:tcW w:w="1872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Group Effect     </w:t>
            </w:r>
          </w:p>
        </w:tc>
        <w:tc>
          <w:tcPr>
            <w:tcW w:w="1767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Time Effect</w:t>
            </w:r>
          </w:p>
        </w:tc>
        <w:tc>
          <w:tcPr>
            <w:tcW w:w="2528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Group × Time Effect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28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F (P Value)</w:t>
            </w:r>
          </w:p>
        </w:tc>
        <w:tc>
          <w:tcPr>
            <w:tcW w:w="176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(P Value)</w:t>
            </w:r>
          </w:p>
        </w:tc>
        <w:tc>
          <w:tcPr>
            <w:tcW w:w="25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(P Value)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Outcome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TUGT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1.499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(0.229)</w:t>
            </w:r>
          </w:p>
        </w:tc>
        <w:tc>
          <w:tcPr>
            <w:tcW w:w="17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28.18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(&lt;0.001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25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2.193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Secondary Outcome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BBS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6.052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(&lt;0.001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17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54.035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(0.002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25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5.098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(&lt;0.001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Tinetti test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1.124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(0.352)</w:t>
            </w:r>
          </w:p>
        </w:tc>
        <w:tc>
          <w:tcPr>
            <w:tcW w:w="17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49.294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(&lt;0.001***)</w:t>
            </w:r>
          </w:p>
        </w:tc>
        <w:tc>
          <w:tcPr>
            <w:tcW w:w="25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2.688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(0.021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6-MWT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2.793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(0.053)</w:t>
            </w:r>
          </w:p>
        </w:tc>
        <w:tc>
          <w:tcPr>
            <w:tcW w:w="17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33.813(&lt;0.001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25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1.595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UPDRS Ⅲ</w:t>
            </w:r>
          </w:p>
        </w:tc>
        <w:tc>
          <w:tcPr>
            <w:tcW w:w="1872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5.553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(0.003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1767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13.622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(&lt;0.001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2528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0.823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(0.556)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2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8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Analyses were conducted with the use of a Linear mixed models.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Values are mean±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standard deviation.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 VR：Virtual Reality Group；AV：Audio-visual Group；TUGT：Time Up and Go Test；BBS：Berg Balance Scale；Tinetti test：Tinetti gait test; 6 MWT：6 Meter Walking Time;  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0.05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;  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1; ***denotes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01.</w:t>
      </w:r>
    </w:p>
    <w:p>
      <w:pPr>
        <w:rPr>
          <w:rFonts w:hint="default" w:ascii="Times New Roman" w:hAnsi="Times New Roman"/>
          <w:lang w:val="en-US" w:eastAsia="zh-CN"/>
        </w:rPr>
      </w:pPr>
    </w:p>
    <w:p>
      <w:pPr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Table S3: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Primary and secondary efficacy outcomes assessed from Baseline（Pre）to Post 6w and 14w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in the disease duration &lt; 3 years and disease duration </w:t>
      </w:r>
      <w:r>
        <w:rPr>
          <w:rFonts w:hint="default" w:ascii="Times New Roman" w:hAnsi="Times New Roman" w:cs="Arial"/>
          <w:b/>
          <w:bCs/>
          <w:sz w:val="24"/>
          <w:szCs w:val="32"/>
          <w:lang w:val="en-US" w:eastAsia="zh-CN"/>
        </w:rPr>
        <w:t>≥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3 years group</w:t>
      </w:r>
    </w:p>
    <w:tbl>
      <w:tblPr>
        <w:tblStyle w:val="3"/>
        <w:tblW w:w="776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887"/>
        <w:gridCol w:w="1810"/>
        <w:gridCol w:w="2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90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Outcome</w:t>
            </w:r>
          </w:p>
        </w:tc>
        <w:tc>
          <w:tcPr>
            <w:tcW w:w="1887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Group Effect     </w:t>
            </w:r>
          </w:p>
        </w:tc>
        <w:tc>
          <w:tcPr>
            <w:tcW w:w="1810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Time Effect</w:t>
            </w:r>
          </w:p>
        </w:tc>
        <w:tc>
          <w:tcPr>
            <w:tcW w:w="2480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Group × Time Effect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7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F (P Value)</w:t>
            </w:r>
          </w:p>
        </w:tc>
        <w:tc>
          <w:tcPr>
            <w:tcW w:w="18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(P Value)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 (P Value)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Outcome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TUGT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3.198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(0.033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18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22.555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(&lt;0.001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2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1.972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Secondary Outcome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BBS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3.913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(0.016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18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44.312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(&lt;0.001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2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1.905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Tinetti test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5.052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(0.005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18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40.093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(&lt;0.001***)</w:t>
            </w:r>
          </w:p>
        </w:tc>
        <w:tc>
          <w:tcPr>
            <w:tcW w:w="2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2.333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(0.041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6-MWT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2.793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(0.053)</w:t>
            </w:r>
          </w:p>
        </w:tc>
        <w:tc>
          <w:tcPr>
            <w:tcW w:w="18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29.118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(&lt;0.001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2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1.595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(0.161)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UPDRS Ⅲ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5.497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(0.003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181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15.335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(&lt;0.001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248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5.497</w:t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(0.21)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9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80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Analyses were conducted with the use of a Linear mixed models.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Values are mean±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standard deviation.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 VR：Virtual Reality Group；AV：Audio-visual Group；TUGT：Time Up and Go Test；BBS：Berg Balance Scale；Tinetti test：Tinetti gait test; 6 MWT：6 Meter Walking Time;  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0.05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;  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1; ***denotes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01.</w:t>
      </w:r>
    </w:p>
    <w:p>
      <w:pPr>
        <w:rPr>
          <w:rFonts w:hint="default" w:ascii="Times New Roman" w:hAnsi="Times New Roman"/>
          <w:lang w:val="en-US" w:eastAsia="zh-CN"/>
        </w:rPr>
      </w:pPr>
    </w:p>
    <w:p>
      <w:pPr>
        <w:rPr>
          <w:rFonts w:hint="default" w:ascii="Times New Roman" w:hAnsi="Times New Roman"/>
          <w:lang w:val="en-US" w:eastAsia="zh-CN"/>
        </w:rPr>
      </w:pPr>
    </w:p>
    <w:p>
      <w:pPr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Table S4: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Primary and secondary efficacy outcomes assessed from Baseline（Pre）to Post 6w and 14w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in the male group and female group</w:t>
      </w:r>
    </w:p>
    <w:p>
      <w:pPr>
        <w:rPr>
          <w:rFonts w:hint="eastAsia" w:ascii="Times New Roman" w:hAnsi="Times New Roman"/>
          <w:lang w:val="en-US" w:eastAsia="zh-CN"/>
        </w:rPr>
      </w:pPr>
    </w:p>
    <w:tbl>
      <w:tblPr>
        <w:tblStyle w:val="3"/>
        <w:tblW w:w="776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881"/>
        <w:gridCol w:w="1729"/>
        <w:gridCol w:w="2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590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Outcome</w:t>
            </w:r>
          </w:p>
        </w:tc>
        <w:tc>
          <w:tcPr>
            <w:tcW w:w="1881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Group Effect     </w:t>
            </w:r>
          </w:p>
        </w:tc>
        <w:tc>
          <w:tcPr>
            <w:tcW w:w="1729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Time Effect</w:t>
            </w:r>
          </w:p>
        </w:tc>
        <w:tc>
          <w:tcPr>
            <w:tcW w:w="2567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Group × Time Effect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F (P Value)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 (P Value)</w:t>
            </w:r>
          </w:p>
        </w:tc>
        <w:tc>
          <w:tcPr>
            <w:tcW w:w="256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 (P Value)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Primary Outcome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TUGT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(0.149)</w:t>
            </w:r>
          </w:p>
        </w:tc>
        <w:tc>
          <w:tcPr>
            <w:tcW w:w="17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21.621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(&lt;0.001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2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1.824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(0.106)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Secondary Outcome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BBS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6.733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7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45.887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(&lt;0.001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2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4.934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(&lt;0.001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Tinetti test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1.935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(0.141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17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50.894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(&lt;0.001***)</w:t>
            </w:r>
          </w:p>
        </w:tc>
        <w:tc>
          <w:tcPr>
            <w:tcW w:w="2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3.017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(0.011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6-MWT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3.151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(0.035)</w:t>
            </w:r>
          </w:p>
        </w:tc>
        <w:tc>
          <w:tcPr>
            <w:tcW w:w="17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24.416(&lt;0.001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2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1.73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(0.126)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UPDRS Ⅲ</w:t>
            </w:r>
          </w:p>
        </w:tc>
        <w:tc>
          <w:tcPr>
            <w:tcW w:w="1881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2.412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(0.081)</w:t>
            </w:r>
          </w:p>
        </w:tc>
        <w:tc>
          <w:tcPr>
            <w:tcW w:w="1729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15.534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(&lt;0.001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***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2567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(0.592)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9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67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rPr>
          <w:rFonts w:hint="default" w:ascii="Times New Roman" w:hAnsi="Times New Roman"/>
          <w:lang w:val="en-US" w:eastAsia="zh-CN"/>
        </w:rPr>
      </w:pP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</w:pP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Analyses were conducted with the use of a Linear mixed models.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Values are mean±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standard deviation.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 VR：Virtual Reality Group；AV：Audio-visual Group；TUGT：Time Up and Go Test；BBS：Berg Balance Scale；Tinetti test：Tinetti gait test; 6 MWT：6 Meter Walking Time;  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0.05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;  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1; ***denotes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01.</w:t>
      </w:r>
    </w:p>
    <w:p>
      <w:pPr>
        <w:rPr>
          <w:rFonts w:hint="default" w:ascii="Times New Roman" w:hAnsi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t>Table S5: The mean</w:t>
      </w: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t>value of QSM in VR and AV group</w:t>
      </w: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from Baseline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Pre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to Post 14w </w:t>
      </w:r>
    </w:p>
    <w:tbl>
      <w:tblPr>
        <w:tblStyle w:val="3"/>
        <w:tblpPr w:leftFromText="180" w:rightFromText="180" w:vertAnchor="text" w:horzAnchor="page" w:tblpX="176" w:tblpY="41"/>
        <w:tblOverlap w:val="never"/>
        <w:tblW w:w="118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0"/>
        <w:gridCol w:w="1630"/>
        <w:gridCol w:w="1642"/>
        <w:gridCol w:w="1536"/>
        <w:gridCol w:w="1702"/>
        <w:gridCol w:w="984"/>
        <w:gridCol w:w="10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Mean(*10-2)</w:t>
            </w:r>
          </w:p>
        </w:tc>
        <w:tc>
          <w:tcPr>
            <w:tcW w:w="327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VR</w:t>
            </w:r>
          </w:p>
        </w:tc>
        <w:tc>
          <w:tcPr>
            <w:tcW w:w="323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AV</w:t>
            </w:r>
          </w:p>
        </w:tc>
        <w:tc>
          <w:tcPr>
            <w:tcW w:w="98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P（VR）</w:t>
            </w:r>
          </w:p>
        </w:tc>
        <w:tc>
          <w:tcPr>
            <w:tcW w:w="104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P（AV）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0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Post 14w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Post 14w</w:t>
            </w:r>
          </w:p>
        </w:tc>
        <w:tc>
          <w:tcPr>
            <w:tcW w:w="98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Caudate_L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3.75(0.23)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3.84(0.26)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3.94(0.18)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3.98(0.22)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Caudate_R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3.49(0.23)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3.43(0.22)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3.73(0.21)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3.85(0.29)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Globus_pallidus_internal_L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7.75(0.48)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7.69(0.44)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7.92(0.51)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8.23(0.6)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Globus_pallidus_internal_R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7.43(0.44)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7.14(0.45)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7.64(0.6)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8(0.53)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Globus_pallidus_external_L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10.31(0.44)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9.99(0.55)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9.17(0.62)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10.78(0.43)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Globus_pallidus_external_R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9.74(0.59)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9.7(0.56)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10.32(0.63)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10.87(0.64)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Putamen_L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4.51(0.31)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4.55(0.33)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4.63(0.28)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4.82(0.31)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Putamen_R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4.32(0.32)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4.3(0.3)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4.72(0.29)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4.9(0.3)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Thalamus_L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-0.13(0.14)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-0.23(0.16)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-0.25(0.13)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-12.79(12.42)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Thalamus_R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-0.46(0.16)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-0.6(0.18)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-0.28(0.3)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-0.56(0.21)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Pulvinar_L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2.69(0.23)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2.63(0.25)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2.83(0.25)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2.81(0.28)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Pulvinar_R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4.18(0.41)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3.31(0.45)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3.49(0.32)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3.64(0.42)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Subthalamic_nucleus_L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6.86(0.52)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6.72(0.47)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6.95(0.51)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7.05(0.58)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Subthalamic_nucleus_R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7.79(0.5)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7.45(0.55)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7.79(0.54)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7.94(0.57)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Substantia_nigra_L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8.33(0.55)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8.51(0.55)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8.31(0.61)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8.93(0.73)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Substantia_nigra_R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9.31(0.59)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8.78(0.58)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9.59(0.75)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9.71(0.62)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Red_nucleus_L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9.05(0.58)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8.78(0.58)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9.59(0.75)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9.5(0.65)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Red_nucleus_R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8(0.42)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7.79(0.42)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8.02(0.52)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8.12(0.46)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Dentate_L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5.94(0.31)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5.97(0.33)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6.65(0.47)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6.75(0.47)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Dentate_R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6.15(0.61)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6.17(0.43)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6.5(0.51)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6.45(0.47)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Ventricles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0.55(0.07)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0.64(0.07)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0.5(0.1)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0.5(0.1)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CSF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0.06(0.04)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0.06(0.04)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0.02(0.04)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-22.15(22.19)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Cortex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0.14(0.02)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0.15(0.02)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0.16(0.03)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0.13(0.03)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White_matter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-0.5(0.06)</w:t>
            </w:r>
          </w:p>
        </w:tc>
        <w:tc>
          <w:tcPr>
            <w:tcW w:w="164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-0.5(0.05)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-0.53(0.06)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-0.54(0.05)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0.795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0.179</w:t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</w:pP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VR：Virtual Reality Group；AV：Audio-visual Group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Pre: Baseline before intervention; Post 14w: 14 weeks postintervention; 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0.05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; 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1.</w:t>
      </w:r>
    </w:p>
    <w:p>
      <w:pPr>
        <w:rPr>
          <w:rFonts w:hint="default" w:ascii="Times New Roman" w:hAnsi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t>: The</w:t>
      </w: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 xml:space="preserve"> Volume </w:t>
      </w: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t>value of QSM in VR and AV group</w:t>
      </w: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from Baseline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>Pre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b/>
          <w:bCs/>
          <w:sz w:val="24"/>
          <w:szCs w:val="32"/>
        </w:rPr>
        <w:t xml:space="preserve">to Post 14w </w:t>
      </w:r>
    </w:p>
    <w:p>
      <w:pP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sectPr>
          <w:pgSz w:w="11906" w:h="16838"/>
          <w:pgMar w:top="720" w:right="720" w:bottom="720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rPr>
          <w:rFonts w:hint="default" w:ascii="Times New Roman" w:hAnsi="Times New Roman"/>
          <w:lang w:val="en-US" w:eastAsia="zh-CN"/>
        </w:rPr>
      </w:pPr>
    </w:p>
    <w:tbl>
      <w:tblPr>
        <w:tblStyle w:val="3"/>
        <w:tblW w:w="1407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7"/>
        <w:gridCol w:w="2310"/>
        <w:gridCol w:w="2330"/>
        <w:gridCol w:w="2350"/>
        <w:gridCol w:w="2210"/>
        <w:gridCol w:w="770"/>
        <w:gridCol w:w="8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Volume(mm3)</w:t>
            </w:r>
          </w:p>
        </w:tc>
        <w:tc>
          <w:tcPr>
            <w:tcW w:w="464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VR</w:t>
            </w:r>
          </w:p>
        </w:tc>
        <w:tc>
          <w:tcPr>
            <w:tcW w:w="45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AV</w:t>
            </w:r>
          </w:p>
        </w:tc>
        <w:tc>
          <w:tcPr>
            <w:tcW w:w="77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P（VR）</w:t>
            </w:r>
          </w:p>
        </w:tc>
        <w:tc>
          <w:tcPr>
            <w:tcW w:w="86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P（AV）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Post 14w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Post 14w</w:t>
            </w:r>
          </w:p>
        </w:tc>
        <w:tc>
          <w:tcPr>
            <w:tcW w:w="77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Caudate_L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4029.01(152.85)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4059.88(163.29)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3735.68(145.88)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3686.34(142.09)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Caudate_R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4262.57(187.75)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4255.89(191.03)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3982.93(194.7)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3973.12(197.79)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Globus_pallidus_internal_L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511.07(20.05)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502.2(18.87)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497.1(22.99)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494.52(22.49)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Globus_pallidus_internal_R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476.37(17.14)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464.33(19.06)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463.26(24.58)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461(23.48)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Globus_pallidus_external_L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1508.29(36.51)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1484.53(38.28)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1537.6(66.08)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1522.75(78.25)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Globus_pallidus_external_R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1364.56(47.3)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1325.66(35.05)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1343.42(67.24)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1373.64(69.59)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Putamen_L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3852.39(111.56)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3780.25(103.08)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3573.72(106.77)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3502.62(96.66)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Putamen_R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4087.05(113.13)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4057.94(107.62)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3694.48(124.88)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3747.43(120.54)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Thalamus_L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4672.33(115.3)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4697.18(109.98)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4417.27(105.54)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4437.93(110.97)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Thalamus_R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4979.43(108.75)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5063.06(114.38)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4569.41(155.23)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4610.54(164.73)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Pulvinar_L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1031.5(41.31)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1016.49(45.29)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992.07(34.75)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966.88(44.01)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Pulvinar_R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1323.9(75.27)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1122.42(60.78)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1071.69(80.42)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1081.51(96.18)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Subthalamic_nucleus_L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143.01(7.02)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142.83(7.21)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153.75(8.95)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150.85(9.75)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Subthalamic_nucleus_R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144.89(6.99)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138.87(7.88)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142(6.35)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142.39(6.88)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Substantia_nigra_L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541.16(22.44)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555.92(22.85)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539.14(28.94)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542.3(31.67)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Substantia_nigra_R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616.52(29.15)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575.07(31.13)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589.38(28.52)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572.33(27.15)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Red_nucleus_L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591.17(36.16)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575.07(31.13)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589.38(28.52)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535.01(40.57)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Red_nucleus_R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256.11(8.65)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255.08(10.98)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246.74(9.4)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248.87(9.63)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Dentate_L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684.16(46.32)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704.28(52.63)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741.45(53.29)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732.93(52.59)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Dentate_R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736.61(79.5)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889.77(92.9)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798.21(85.78)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860.01(113.92)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Ventricles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41437.95(2910.72)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41843.94(3046.73)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41718.42(6385.75)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41949.47(6378.65)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CSF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322896.28(7591.72)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322825.05(7459.88)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290520.19(8945.54)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294203.04(8895.35)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Cortex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663466.59(12989.15)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662886.53(12908.72)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623602.66(14679.94)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624852.9(14729.34)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White_matter</w:t>
            </w:r>
          </w:p>
        </w:tc>
        <w:tc>
          <w:tcPr>
            <w:tcW w:w="23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415358.78(8905.98)</w:t>
            </w:r>
          </w:p>
        </w:tc>
        <w:tc>
          <w:tcPr>
            <w:tcW w:w="23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415422.9(8760.33)</w:t>
            </w:r>
          </w:p>
        </w:tc>
        <w:tc>
          <w:tcPr>
            <w:tcW w:w="23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380047.88(8753.16)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380611.95(8897.47)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0.943</w:t>
            </w:r>
          </w:p>
        </w:tc>
        <w:tc>
          <w:tcPr>
            <w:tcW w:w="8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0.796</w:t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</w:pP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VR：Virtual Reality Group；AV：Audio-visual Group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Pre: Baseline before intervention; Post 14w: 14 weeks postintervention; 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0.05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 xml:space="preserve">; **denotes p </w:t>
      </w:r>
      <w:r>
        <w:rPr>
          <w:rFonts w:ascii="Times New Roman" w:hAnsi="Times New Roman" w:eastAsia="宋体" w:cs="Times New Roman"/>
          <w:kern w:val="0"/>
          <w:sz w:val="22"/>
          <w:szCs w:val="22"/>
          <w:lang w:bidi="ar"/>
        </w:rPr>
        <w:t>&lt; 0.0</w:t>
      </w:r>
      <w:r>
        <w:rPr>
          <w:rFonts w:hint="eastAsia" w:ascii="Times New Roman" w:hAnsi="Times New Roman" w:eastAsia="宋体" w:cs="Times New Roman"/>
          <w:kern w:val="0"/>
          <w:sz w:val="22"/>
          <w:szCs w:val="22"/>
          <w:lang w:bidi="ar"/>
        </w:rPr>
        <w:t>1.</w:t>
      </w:r>
    </w:p>
    <w:p>
      <w:pPr>
        <w:rPr>
          <w:rFonts w:hint="default" w:ascii="Times New Roman" w:hAnsi="Times New Roman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/>
        </w:rPr>
      </w:pP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  <w:t>: The</w:t>
      </w: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 xml:space="preserve"> adverse events during Intervention</w:t>
      </w:r>
    </w:p>
    <w:p>
      <w:pPr>
        <w:rPr>
          <w:rFonts w:hint="default" w:ascii="Times New Roman" w:hAnsi="Times New Roman"/>
          <w:lang w:val="en-US" w:eastAsia="zh-CN"/>
        </w:rPr>
      </w:pPr>
    </w:p>
    <w:tbl>
      <w:tblPr>
        <w:tblStyle w:val="3"/>
        <w:tblW w:w="1407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1817"/>
        <w:gridCol w:w="14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8"/>
                <w:lang w:val="en-US" w:eastAsia="zh-CN"/>
              </w:rPr>
              <w:t>Event</w:t>
            </w:r>
          </w:p>
        </w:tc>
        <w:tc>
          <w:tcPr>
            <w:tcW w:w="3290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/>
                <w:b/>
                <w:bCs/>
                <w:sz w:val="2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8"/>
                <w:lang w:val="en-US" w:eastAsia="zh-CN"/>
              </w:rPr>
              <w:t>(%) of participants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8"/>
                <w:lang w:val="en-US" w:eastAsia="zh-CN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8"/>
                <w:lang w:val="en-US" w:eastAsia="zh-CN"/>
              </w:rPr>
              <w:t>VR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8"/>
                <w:lang w:val="en-US" w:eastAsia="zh-CN"/>
              </w:rPr>
              <w:t>（n=22）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8"/>
                <w:lang w:val="en-US" w:eastAsia="zh-CN"/>
              </w:rPr>
              <w:t>AV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8"/>
                <w:lang w:val="en-US" w:eastAsia="zh-CN"/>
              </w:rPr>
              <w:t>（n=22）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Dizziness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Nausea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Eye pain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Disorientation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Fall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>
      <w:pPr>
        <w:rPr>
          <w:rFonts w:hint="default" w:ascii="Times New Roman" w:hAnsi="Times New Roman"/>
          <w:lang w:val="en-US" w:eastAsia="zh-CN"/>
        </w:rPr>
      </w:pPr>
    </w:p>
    <w:p>
      <w:pPr>
        <w:rPr>
          <w:rFonts w:hint="default" w:ascii="Times New Roman" w:hAnsi="Times New Roman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tspvjAdvTT3713a2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lMTJiOTY3YTFlMTE0MDEyYzA2MDBiZGVjYmU5YzAifQ=="/>
  </w:docVars>
  <w:rsids>
    <w:rsidRoot w:val="1D2A6AA7"/>
    <w:rsid w:val="1CF54D52"/>
    <w:rsid w:val="1D2A6AA7"/>
    <w:rsid w:val="3BE03A6C"/>
    <w:rsid w:val="51E91218"/>
    <w:rsid w:val="6FDC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01"/>
    <w:basedOn w:val="4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6">
    <w:name w:val="font4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7">
    <w:name w:val="font11"/>
    <w:basedOn w:val="4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8">
    <w:name w:val="font21"/>
    <w:basedOn w:val="4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  <w:vertAlign w:val="superscript"/>
    </w:rPr>
  </w:style>
  <w:style w:type="character" w:customStyle="1" w:styleId="9">
    <w:name w:val="font31"/>
    <w:basedOn w:val="4"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1507</Words>
  <Characters>8719</Characters>
  <Lines>0</Lines>
  <Paragraphs>0</Paragraphs>
  <TotalTime>4</TotalTime>
  <ScaleCrop>false</ScaleCrop>
  <LinksUpToDate>false</LinksUpToDate>
  <CharactersWithSpaces>9567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2022-08-02T01:33:00Z</dcterms:created>
  <dc:creator>丽娜</dc:creator>
  <cp:lastModifiedBy>丽娜</cp:lastModifiedBy>
  <dcterms:modified xsi:type="dcterms:W3CDTF">2022-10-10T06:56:37Z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7ED01843F3774D658B31579DC39121CA</vt:lpwstr>
  </property>
</Properties>
</file>