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GuardianAgateSans1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Table S1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Baseline characteristics of 4785 participants without </w:t>
      </w:r>
      <w:r>
        <w:rPr>
          <w:rFonts w:hint="eastAsia" w:ascii="Times New Roman" w:hAnsi="Times New Roman" w:cs="Times New Roman"/>
          <w:b/>
          <w:bCs/>
          <w:kern w:val="0"/>
          <w:sz w:val="20"/>
          <w:szCs w:val="20"/>
        </w:rPr>
        <w:t>KOA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by </w:t>
      </w:r>
      <w:r>
        <w:rPr>
          <w:rFonts w:ascii="Times New Roman" w:hAnsi="Times New Roman" w:eastAsia="MinionPro-Bold" w:cs="Times New Roman"/>
          <w:b/>
          <w:bCs/>
          <w:kern w:val="0"/>
          <w:sz w:val="20"/>
          <w:szCs w:val="20"/>
        </w:rPr>
        <w:t xml:space="preserve">sarcopenia status </w:t>
      </w:r>
      <w:r>
        <w:rPr>
          <w:rFonts w:ascii="Times New Roman" w:hAnsi="Times New Roman" w:cs="Times New Roman"/>
          <w:b/>
          <w:bCs/>
          <w:sz w:val="20"/>
          <w:szCs w:val="20"/>
        </w:rPr>
        <w:t>in the</w:t>
      </w:r>
      <w:r>
        <w:rPr>
          <w:rFonts w:ascii="Times New Roman" w:hAnsi="Times New Roman" w:eastAsia="WarnockPro-Regular" w:cs="Times New Roman"/>
          <w:b/>
          <w:bCs/>
          <w:kern w:val="0"/>
          <w:sz w:val="20"/>
          <w:szCs w:val="20"/>
        </w:rPr>
        <w:t xml:space="preserve"> longitudinal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analysis</w:t>
      </w:r>
    </w:p>
    <w:p>
      <w:pPr>
        <w:rPr>
          <w:rFonts w:ascii="Times New Roman" w:hAnsi="Times New Roman" w:eastAsia="GuardianAgateSans1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</w:p>
    <w:tbl>
      <w:tblPr>
        <w:tblStyle w:val="5"/>
        <w:tblpPr w:leftFromText="181" w:rightFromText="181" w:vertAnchor="text" w:horzAnchor="margin" w:tblpXSpec="center" w:tblpY="1"/>
        <w:tblOverlap w:val="never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2"/>
        <w:gridCol w:w="1566"/>
        <w:gridCol w:w="1796"/>
        <w:gridCol w:w="1796"/>
        <w:gridCol w:w="83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919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MinionPro-Bold" w:cs="Times New Roman"/>
                <w:kern w:val="0"/>
                <w:sz w:val="20"/>
                <w:szCs w:val="20"/>
              </w:rPr>
              <w:t>No sarcopenia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(n=3619)</w:t>
            </w:r>
          </w:p>
        </w:tc>
        <w:tc>
          <w:tcPr>
            <w:tcW w:w="1054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MinionPro-Bold" w:cs="Times New Roman"/>
                <w:kern w:val="0"/>
                <w:sz w:val="20"/>
                <w:szCs w:val="20"/>
              </w:rPr>
              <w:t>Possible sarcopenia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(n=838)</w:t>
            </w:r>
          </w:p>
        </w:tc>
        <w:tc>
          <w:tcPr>
            <w:tcW w:w="1054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MinionPro-Bold" w:cs="Times New Roman"/>
                <w:kern w:val="0"/>
                <w:sz w:val="20"/>
                <w:szCs w:val="20"/>
              </w:rPr>
              <w:t>Sarcopenia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(n=328)</w:t>
            </w:r>
          </w:p>
        </w:tc>
        <w:tc>
          <w:tcPr>
            <w:tcW w:w="489" w:type="pct"/>
            <w:tcBorders>
              <w:top w:val="single" w:color="auto" w:sz="12" w:space="0"/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Age, y</w:t>
            </w:r>
          </w:p>
        </w:tc>
        <w:tc>
          <w:tcPr>
            <w:tcW w:w="919" w:type="pct"/>
            <w:tcBorders>
              <w:top w:val="single" w:color="auto" w:sz="8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62(59-67)</w:t>
            </w:r>
          </w:p>
        </w:tc>
        <w:tc>
          <w:tcPr>
            <w:tcW w:w="1054" w:type="pct"/>
            <w:tcBorders>
              <w:top w:val="single" w:color="auto" w:sz="8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64(60-71)</w:t>
            </w:r>
          </w:p>
        </w:tc>
        <w:tc>
          <w:tcPr>
            <w:tcW w:w="1054" w:type="pct"/>
            <w:tcBorders>
              <w:top w:val="single" w:color="auto" w:sz="8" w:space="0"/>
            </w:tcBorders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70(66-76)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489" w:type="pct"/>
            <w:tcBorders>
              <w:top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Men, n (%)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1783(49.27)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344(41.05)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150(45.73)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  <w:shd w:val="clear" w:color="auto" w:fill="auto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Married (vs others)</w:t>
            </w:r>
          </w:p>
        </w:tc>
        <w:tc>
          <w:tcPr>
            <w:tcW w:w="919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3246 (89.7)</w:t>
            </w: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640 (76.4)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201(61.5)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Rural (vs urban)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3180(87.86)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678(80.91)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291(88.71)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  <w:r>
              <w:rPr>
                <w:rFonts w:ascii="Times New Roman" w:hAnsi="Times New Roman" w:eastAsia="GuardianSansGR-Regular" w:cs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1459(40.33)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293(35.01)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134(40.98)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489" w:type="pct"/>
            <w:vAlign w:val="bottom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0.015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Drinking</w:t>
            </w:r>
            <w:r>
              <w:rPr>
                <w:rFonts w:ascii="Times New Roman" w:hAnsi="Times New Roman" w:eastAsia="GuardianSansGR-Regular" w:cs="Times New Roman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19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1167 (32.25)</w:t>
            </w: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208 (24.85)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 (29.66)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BMI </w:t>
            </w:r>
            <w: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  <w:t>category, n (%)</w:t>
            </w:r>
          </w:p>
        </w:tc>
        <w:tc>
          <w:tcPr>
            <w:tcW w:w="919" w:type="pct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489" w:type="pct"/>
            <w:vMerge w:val="restart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  <w:t>Underweight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147(4.06)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110(13.13)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113(34.45)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489" w:type="pct"/>
            <w:vMerge w:val="continue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  <w:t>Normal weight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1887(52.14)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505(60.26)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212(64.63)</w:t>
            </w:r>
          </w:p>
        </w:tc>
        <w:tc>
          <w:tcPr>
            <w:tcW w:w="489" w:type="pct"/>
            <w:vMerge w:val="continue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  <w:t>Overweight or obese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1585(43.80)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223(26.61)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3(0.91)</w:t>
            </w:r>
          </w:p>
        </w:tc>
        <w:tc>
          <w:tcPr>
            <w:tcW w:w="489" w:type="pct"/>
            <w:vMerge w:val="continue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MinionPro-Regular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Comorbidities, n (%)</w:t>
            </w:r>
          </w:p>
        </w:tc>
        <w:tc>
          <w:tcPr>
            <w:tcW w:w="919" w:type="pct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eXGyreBonum-Regular-Identity-H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Hypertension</w:t>
            </w:r>
            <w:r>
              <w:rPr>
                <w:rFonts w:ascii="Times New Roman" w:hAnsi="Times New Roman" w:eastAsia="TeXGyreBonum-Regular-Identity-H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993(27.56)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215(25.87)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58(17.74)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TeXGyreBonum-Regular-Identity-H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Dyslipidemia</w:t>
            </w:r>
            <w:r>
              <w:rPr>
                <w:rFonts w:ascii="Times New Roman" w:hAnsi="Times New Roman" w:eastAsia="TeXGyreBonum-Regular-Identity-H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359(10.1)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69(8.44)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14(4.39)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inionPro-Regular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Diabetes</w:t>
            </w:r>
            <w:r>
              <w:rPr>
                <w:rFonts w:ascii="Times New Roman" w:hAnsi="Times New Roman" w:eastAsia="MinionPro-Regular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MinionPro-Regular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211(5.89)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43(5.17)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17(5.25)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0.672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Memory-related disease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43(1.19)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13(1.55)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6(1.85)</w:t>
            </w:r>
          </w:p>
        </w:tc>
        <w:tc>
          <w:tcPr>
            <w:tcW w:w="48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0.472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Emotional/psychiatric problems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45(1.25)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10(1.2)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7(2.17)</w:t>
            </w:r>
          </w:p>
        </w:tc>
        <w:tc>
          <w:tcPr>
            <w:tcW w:w="48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0.362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uardianAgateSans1GR-Regular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Inflammatory biomarkers</w:t>
            </w:r>
          </w:p>
        </w:tc>
        <w:tc>
          <w:tcPr>
            <w:tcW w:w="919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4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GuardianAgateSans1GR-Regular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CRP, mg/L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1.1(0.6-2.2)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0.9(0.5-2.2)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1(0.5-2.1)</w:t>
            </w:r>
          </w:p>
        </w:tc>
        <w:tc>
          <w:tcPr>
            <w:tcW w:w="489" w:type="pct"/>
            <w:vAlign w:val="center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0.091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ind w:firstLine="100" w:firstLineChars="5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GuardianAgateSans1GR-Regular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WBC, 1000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6.0(5.0-7.2)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5.9(4.8-7.2)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5.9(4.9-7.1)</w:t>
            </w:r>
          </w:p>
        </w:tc>
        <w:tc>
          <w:tcPr>
            <w:tcW w:w="489" w:type="pct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0.325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Handgrip strength, kg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31.5(26.0-38.4)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21.4(16.2-27.0)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17.0(13.8-23.2)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1" w:type="pct"/>
          </w:tcPr>
          <w:p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  <w:t>ASM/Ht</w:t>
            </w:r>
            <w: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</w:rPr>
              <w:t>, kg/m</w:t>
            </w:r>
            <w:r>
              <w:rPr>
                <w:rFonts w:ascii="Times New Roman" w:hAnsi="Times New Roman" w:eastAsia="MinionPro-Regular" w:cs="Times New Roman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19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6.9(5.9-7.5)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6.4(5.2-7.1)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1054" w:type="pct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0"/>
                <w:szCs w:val="20"/>
              </w:rPr>
              <w:t>5.2(4.8-6.6)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***</w:t>
            </w:r>
          </w:p>
        </w:tc>
        <w:tc>
          <w:tcPr>
            <w:tcW w:w="489" w:type="pct"/>
          </w:tcPr>
          <w:p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bookmarkEnd w:id="0"/>
    </w:tbl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Data are shown as means ± standard deviation, median (interquartile range), or numbers (percentages).</w:t>
      </w:r>
    </w:p>
    <w:p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GuardianSansGR-Regular" w:cs="Times New Roman"/>
          <w:color w:val="000000" w:themeColor="text1"/>
          <w:kern w:val="0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 xml:space="preserve">a </w:t>
      </w:r>
      <w:r>
        <w:rPr>
          <w:rFonts w:ascii="Times New Roman" w:hAnsi="Times New Roman" w:eastAsia="GuardianSans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Missing data: 68 for smoking, 21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GuardianSans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for drinking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, 16 for hypertension, 58 for dyslipidemia, 26 </w:t>
      </w:r>
      <w:r>
        <w:rPr>
          <w:rFonts w:ascii="Times New Roman" w:hAnsi="Times New Roman" w:eastAsia="GuardianSans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for diabetes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 , 19 for Emotional/psychiatric problems ,25 for Memory-related disease</w:t>
      </w:r>
      <w:r>
        <w:rPr>
          <w:rFonts w:ascii="Times New Roman" w:hAnsi="Times New Roman" w:eastAsia="GuardianSans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.</w:t>
      </w:r>
    </w:p>
    <w:p>
      <w:pPr>
        <w:autoSpaceDE w:val="0"/>
        <w:autoSpaceDN w:val="0"/>
        <w:adjustRightInd w:val="0"/>
        <w:rPr>
          <w:rFonts w:ascii="Times New Roman" w:hAnsi="Times New Roman" w:eastAsia="GuardianAgateSans1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GuardianSans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Abbreviation: </w:t>
      </w:r>
      <w:r>
        <w:rPr>
          <w:rFonts w:ascii="Times New Roman" w:hAnsi="Times New Roman" w:eastAsia="MinionPro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ASM, appendicular skeletal muscle; </w:t>
      </w:r>
      <w: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 xml:space="preserve">BMI, </w:t>
      </w:r>
      <w:r>
        <w:rPr>
          <w:rFonts w:ascii="Times New Roman" w:hAnsi="Times New Roman" w:eastAsia="GuardianSans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body mass index</w:t>
      </w:r>
      <w:r>
        <w:rPr>
          <w:rFonts w:ascii="Times New Roman" w:hAnsi="Times New Roman" w:eastAsia="GuardianAgateSans1GR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; CRP, C-Reactive Protein; WBC, White Blood Cells.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GuardianSans-Medium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Significant at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*</w:t>
      </w:r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  <w:t>P</w:t>
      </w:r>
      <w:r>
        <w:rPr>
          <w:rFonts w:ascii="Times New Roman" w:hAnsi="Times New Roman" w:eastAsia="MyriadPro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&lt; 0.05,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**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P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&lt; 0.01 and 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vertAlign w:val="superscript"/>
          <w14:textFill>
            <w14:solidFill>
              <w14:schemeClr w14:val="tx1"/>
            </w14:solidFill>
          </w14:textFill>
        </w:rPr>
        <w:t>***</w:t>
      </w:r>
      <w:r>
        <w:rPr>
          <w:rFonts w:ascii="Times New Roman" w:hAnsi="Times New Roman" w:cs="Times New Roman"/>
          <w:i/>
          <w:iCs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P &lt;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 xml:space="preserve"> 0.001 compared to </w:t>
      </w:r>
      <w:r>
        <w:rPr>
          <w:rFonts w:ascii="Times New Roman" w:hAnsi="Times New Roman" w:eastAsia="MyriadPro-Regular" w:cs="Times New Roman"/>
          <w:color w:val="000000" w:themeColor="text1"/>
          <w:kern w:val="0"/>
          <w:sz w:val="20"/>
          <w:szCs w:val="20"/>
          <w14:textFill>
            <w14:solidFill>
              <w14:schemeClr w14:val="tx1"/>
            </w14:solidFill>
          </w14:textFill>
        </w:rPr>
        <w:t>no sarcopenia group.</w:t>
      </w:r>
    </w:p>
    <w:p>
      <w:pPr>
        <w:rPr>
          <w:rFonts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uardianAgateSans1GR-Regular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inionPro-Bold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arnockPro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GuardianSansGR-Regular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nionPro-Regular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eXGyreBonum-Regular-Identity-H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GuardianSans-Medium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yriadPro-Regular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DB8"/>
    <w:rsid w:val="00044400"/>
    <w:rsid w:val="00082FCD"/>
    <w:rsid w:val="000D1FC9"/>
    <w:rsid w:val="000F5554"/>
    <w:rsid w:val="00101030"/>
    <w:rsid w:val="00146738"/>
    <w:rsid w:val="002444B3"/>
    <w:rsid w:val="002667E8"/>
    <w:rsid w:val="00266E91"/>
    <w:rsid w:val="00274FC7"/>
    <w:rsid w:val="003272CB"/>
    <w:rsid w:val="00372C24"/>
    <w:rsid w:val="003C46A3"/>
    <w:rsid w:val="003D0B83"/>
    <w:rsid w:val="00405156"/>
    <w:rsid w:val="00421F67"/>
    <w:rsid w:val="00446BF0"/>
    <w:rsid w:val="004816D8"/>
    <w:rsid w:val="004942B7"/>
    <w:rsid w:val="004B23E9"/>
    <w:rsid w:val="004F49C1"/>
    <w:rsid w:val="005C241A"/>
    <w:rsid w:val="00624948"/>
    <w:rsid w:val="00650912"/>
    <w:rsid w:val="007141F0"/>
    <w:rsid w:val="007254C3"/>
    <w:rsid w:val="00735CFB"/>
    <w:rsid w:val="008420AB"/>
    <w:rsid w:val="0085025B"/>
    <w:rsid w:val="00884FF6"/>
    <w:rsid w:val="008877CE"/>
    <w:rsid w:val="008C3815"/>
    <w:rsid w:val="008C6E68"/>
    <w:rsid w:val="008D3307"/>
    <w:rsid w:val="00911381"/>
    <w:rsid w:val="00946BF6"/>
    <w:rsid w:val="00957A7B"/>
    <w:rsid w:val="0097645F"/>
    <w:rsid w:val="009A1DB8"/>
    <w:rsid w:val="009D18C3"/>
    <w:rsid w:val="009E4B38"/>
    <w:rsid w:val="00A210A9"/>
    <w:rsid w:val="00A37A0D"/>
    <w:rsid w:val="00A53468"/>
    <w:rsid w:val="00A663FB"/>
    <w:rsid w:val="00BA6D80"/>
    <w:rsid w:val="00BD4912"/>
    <w:rsid w:val="00BD7378"/>
    <w:rsid w:val="00BD7B7E"/>
    <w:rsid w:val="00C93A72"/>
    <w:rsid w:val="00CC2431"/>
    <w:rsid w:val="00CD2FF3"/>
    <w:rsid w:val="00D02D0D"/>
    <w:rsid w:val="00D2163B"/>
    <w:rsid w:val="00D27FA9"/>
    <w:rsid w:val="00D355A7"/>
    <w:rsid w:val="00D3733A"/>
    <w:rsid w:val="00D451B2"/>
    <w:rsid w:val="00D86631"/>
    <w:rsid w:val="00DE1491"/>
    <w:rsid w:val="00E31BAB"/>
    <w:rsid w:val="00E85A74"/>
    <w:rsid w:val="00F77C79"/>
    <w:rsid w:val="00FA7753"/>
    <w:rsid w:val="00FD3BA7"/>
    <w:rsid w:val="00FF5C8B"/>
    <w:rsid w:val="5288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</Words>
  <Characters>1569</Characters>
  <Lines>13</Lines>
  <Paragraphs>3</Paragraphs>
  <TotalTime>4</TotalTime>
  <ScaleCrop>false</ScaleCrop>
  <LinksUpToDate>false</LinksUpToDate>
  <CharactersWithSpaces>1841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2022-09-26T13:31:00Z</dcterms:created>
  <dc:creator>11097</dc:creator>
  <cp:lastModifiedBy>Williams×J</cp:lastModifiedBy>
  <dcterms:modified xsi:type="dcterms:W3CDTF">2022-11-10T02:20:08Z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