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DA854" w14:textId="20F8F49A" w:rsidR="00A81D49" w:rsidRDefault="00A81D49" w:rsidP="00A81D49">
      <w:pPr>
        <w:rPr>
          <w:rFonts w:cs="Times New Roman"/>
          <w:b/>
          <w:bCs/>
        </w:rPr>
      </w:pPr>
      <w:bookmarkStart w:id="0" w:name="OLE_LINK28"/>
      <w:bookmarkStart w:id="1" w:name="OLE_LINK18"/>
      <w:r>
        <w:rPr>
          <w:rFonts w:cs="Times New Roman"/>
          <w:b/>
          <w:bCs/>
        </w:rPr>
        <w:t>Supplemental Material for:</w:t>
      </w:r>
    </w:p>
    <w:p w14:paraId="5400FF3A" w14:textId="6C266AD7" w:rsidR="00A81D49" w:rsidRDefault="00A81D49" w:rsidP="00A81D49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High plasma IL-18 identifies high-risk ARDS patients not identified by latent class analysis sub-phenotyping: a secondary analysis of the SAILS and HARP-2 studies</w:t>
      </w:r>
    </w:p>
    <w:bookmarkEnd w:id="1"/>
    <w:p w14:paraId="11EBC060" w14:textId="69F948FC" w:rsidR="00A81D49" w:rsidRPr="00A81D49" w:rsidRDefault="00A81D49" w:rsidP="00A81D49">
      <w:pPr>
        <w:rPr>
          <w:rFonts w:cs="Times New Roman"/>
        </w:rPr>
      </w:pPr>
      <w:r>
        <w:rPr>
          <w:rFonts w:cs="Times New Roman"/>
        </w:rPr>
        <w:t>Andrew R Moore</w:t>
      </w:r>
      <w:r>
        <w:rPr>
          <w:rFonts w:cs="Times New Roman"/>
          <w:vertAlign w:val="superscript"/>
        </w:rPr>
        <w:t>1</w:t>
      </w:r>
      <w:r>
        <w:rPr>
          <w:rFonts w:cs="Times New Roman"/>
        </w:rPr>
        <w:t>, Shaun M Pienkos</w:t>
      </w:r>
      <w:r>
        <w:rPr>
          <w:rFonts w:cs="Times New Roman"/>
          <w:vertAlign w:val="superscript"/>
        </w:rPr>
        <w:t>1</w:t>
      </w:r>
      <w:r>
        <w:rPr>
          <w:rFonts w:cs="Times New Roman"/>
        </w:rPr>
        <w:t>, Pratik Sinha</w:t>
      </w:r>
      <w:r>
        <w:rPr>
          <w:rFonts w:cs="Times New Roman"/>
          <w:vertAlign w:val="superscript"/>
        </w:rPr>
        <w:t>2</w:t>
      </w:r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Jiazhen</w:t>
      </w:r>
      <w:proofErr w:type="spellEnd"/>
      <w:r>
        <w:rPr>
          <w:rFonts w:cs="Times New Roman"/>
        </w:rPr>
        <w:t xml:space="preserve"> Guan</w:t>
      </w:r>
      <w:r>
        <w:rPr>
          <w:rFonts w:cs="Times New Roman"/>
          <w:vertAlign w:val="superscript"/>
        </w:rPr>
        <w:t>3</w:t>
      </w:r>
      <w:r>
        <w:rPr>
          <w:rFonts w:cs="Times New Roman"/>
        </w:rPr>
        <w:t>, Cecilia M O’Kane</w:t>
      </w:r>
      <w:r>
        <w:rPr>
          <w:rFonts w:cs="Times New Roman"/>
          <w:vertAlign w:val="superscript"/>
        </w:rPr>
        <w:t>4</w:t>
      </w:r>
      <w:r>
        <w:rPr>
          <w:rFonts w:cs="Times New Roman"/>
        </w:rPr>
        <w:t>, Joseph E Levitt</w:t>
      </w:r>
      <w:r>
        <w:rPr>
          <w:rFonts w:cs="Times New Roman"/>
          <w:vertAlign w:val="superscript"/>
        </w:rPr>
        <w:t>1</w:t>
      </w:r>
      <w:r>
        <w:rPr>
          <w:rFonts w:cs="Times New Roman"/>
        </w:rPr>
        <w:t>, Jennifer G Wilson</w:t>
      </w:r>
      <w:r>
        <w:rPr>
          <w:rFonts w:cs="Times New Roman"/>
          <w:vertAlign w:val="superscript"/>
        </w:rPr>
        <w:t>5</w:t>
      </w:r>
      <w:r>
        <w:rPr>
          <w:rFonts w:cs="Times New Roman"/>
        </w:rPr>
        <w:t>, Michael A Matthay</w:t>
      </w:r>
      <w:r>
        <w:rPr>
          <w:rFonts w:cs="Times New Roman"/>
          <w:vertAlign w:val="superscript"/>
        </w:rPr>
        <w:t>6,7</w:t>
      </w:r>
      <w:r>
        <w:rPr>
          <w:rFonts w:cs="Times New Roman"/>
        </w:rPr>
        <w:t>, Carolyn S Calfee</w:t>
      </w:r>
      <w:r>
        <w:rPr>
          <w:rFonts w:cs="Times New Roman"/>
          <w:vertAlign w:val="superscript"/>
        </w:rPr>
        <w:t>6,7</w:t>
      </w:r>
      <w:r>
        <w:rPr>
          <w:rFonts w:cs="Times New Roman"/>
        </w:rPr>
        <w:t>, Rebecca M Baron</w:t>
      </w:r>
      <w:r>
        <w:rPr>
          <w:rFonts w:cs="Times New Roman"/>
          <w:vertAlign w:val="superscript"/>
        </w:rPr>
        <w:t>8</w:t>
      </w:r>
      <w:r>
        <w:rPr>
          <w:rFonts w:cs="Times New Roman"/>
        </w:rPr>
        <w:t>, Daniel F McAuley</w:t>
      </w:r>
      <w:r>
        <w:rPr>
          <w:rFonts w:cs="Times New Roman"/>
          <w:vertAlign w:val="superscript"/>
        </w:rPr>
        <w:t>4</w:t>
      </w:r>
      <w:r>
        <w:rPr>
          <w:rFonts w:cs="Times New Roman"/>
        </w:rPr>
        <w:t>, Angela J Rogers</w:t>
      </w:r>
      <w:r>
        <w:rPr>
          <w:rFonts w:cs="Times New Roman"/>
          <w:vertAlign w:val="superscript"/>
        </w:rPr>
        <w:t>1</w:t>
      </w:r>
    </w:p>
    <w:p w14:paraId="2E978092" w14:textId="77777777" w:rsidR="00A81D49" w:rsidRDefault="00A81D49" w:rsidP="00A81D49">
      <w:pPr>
        <w:pStyle w:val="ListParagraph"/>
        <w:numPr>
          <w:ilvl w:val="0"/>
          <w:numId w:val="1"/>
        </w:numPr>
        <w:rPr>
          <w:rFonts w:cs="Times New Roman"/>
        </w:rPr>
      </w:pPr>
      <w:bookmarkStart w:id="2" w:name="OLE_LINK25"/>
      <w:r>
        <w:rPr>
          <w:rFonts w:cs="Times New Roman"/>
        </w:rPr>
        <w:t>Division of Pulmonary, Allergy and Critical Care Medicine, Stanford University, Stanford, CA</w:t>
      </w:r>
    </w:p>
    <w:p w14:paraId="052C311B" w14:textId="77777777" w:rsidR="00A81D49" w:rsidRDefault="00A81D49" w:rsidP="00A81D49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Division of Critical Care, Department of Anesthesia, Washington University, Saint Louis, MO</w:t>
      </w:r>
    </w:p>
    <w:p w14:paraId="0B647C4A" w14:textId="77777777" w:rsidR="00A81D49" w:rsidRDefault="00A81D49" w:rsidP="00A81D49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 xml:space="preserve">Division of Rheumatology, Brigham and Women’s Hospital, and Harvard Medical School, Boston, MA </w:t>
      </w:r>
    </w:p>
    <w:p w14:paraId="2900E9CE" w14:textId="77777777" w:rsidR="00A81D49" w:rsidRDefault="00A81D49" w:rsidP="00A81D49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Centre for Infection and Immunity, Queen's University of Belfast, Belfast, UK</w:t>
      </w:r>
    </w:p>
    <w:p w14:paraId="23164789" w14:textId="77777777" w:rsidR="00A81D49" w:rsidRDefault="00A81D49" w:rsidP="00A81D49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Department of Emergency Medicine, Stanford University, Stanford, CA</w:t>
      </w:r>
    </w:p>
    <w:p w14:paraId="28C31DBD" w14:textId="77777777" w:rsidR="00A81D49" w:rsidRDefault="00A81D49" w:rsidP="00A81D49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Department of Medicine, Cardiovascular Research Institute, University of California, San Francisco, California.</w:t>
      </w:r>
    </w:p>
    <w:p w14:paraId="60589803" w14:textId="77777777" w:rsidR="00A81D49" w:rsidRDefault="00A81D49" w:rsidP="00A81D49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Department of Anesthesia, Cardiovascular Research Institute, University of California, San Francisco, CA.</w:t>
      </w:r>
    </w:p>
    <w:p w14:paraId="578232B4" w14:textId="6FCB68EA" w:rsidR="00A81D49" w:rsidRDefault="00A81D49" w:rsidP="00A81D49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 xml:space="preserve">Division of </w:t>
      </w:r>
      <w:bookmarkStart w:id="3" w:name="OLE_LINK1"/>
      <w:r>
        <w:rPr>
          <w:rFonts w:cs="Times New Roman"/>
        </w:rPr>
        <w:t xml:space="preserve">Pulmonary and Critical Care Medicine, </w:t>
      </w:r>
      <w:bookmarkStart w:id="4" w:name="OLE_LINK2"/>
      <w:r>
        <w:rPr>
          <w:rFonts w:cs="Times New Roman"/>
        </w:rPr>
        <w:t>Brigham and Women’s Hospital, and Harvard Medical School, Boston, MA</w:t>
      </w:r>
      <w:bookmarkEnd w:id="2"/>
      <w:bookmarkEnd w:id="3"/>
      <w:bookmarkEnd w:id="4"/>
    </w:p>
    <w:p w14:paraId="6984B9E3" w14:textId="1BDAA0DD" w:rsidR="00A81D49" w:rsidRDefault="00A81D49" w:rsidP="00A81D49">
      <w:pPr>
        <w:rPr>
          <w:rFonts w:cs="Times New Roman"/>
        </w:rPr>
      </w:pPr>
    </w:p>
    <w:p w14:paraId="2D5A0F22" w14:textId="77777777" w:rsidR="00A81D49" w:rsidRPr="00A81D49" w:rsidRDefault="00A81D49" w:rsidP="00A81D49">
      <w:pPr>
        <w:rPr>
          <w:rFonts w:cs="Times New Roman"/>
        </w:rPr>
      </w:pPr>
    </w:p>
    <w:p w14:paraId="5D1F4B0F" w14:textId="1C3FD2AF" w:rsidR="00AE4BA5" w:rsidRDefault="00AE4BA5" w:rsidP="00AE4BA5">
      <w:pPr>
        <w:spacing w:line="480" w:lineRule="auto"/>
        <w:rPr>
          <w:bCs/>
        </w:rPr>
      </w:pPr>
      <w:r>
        <w:rPr>
          <w:b/>
        </w:rPr>
        <w:t xml:space="preserve">Supplemental Figure </w:t>
      </w:r>
      <w:r>
        <w:rPr>
          <w:rFonts w:cs="Times New Roman"/>
          <w:b/>
          <w:noProof/>
        </w:rPr>
        <w:t>1</w:t>
      </w:r>
      <w:r>
        <w:rPr>
          <w:rFonts w:cs="Times New Roman"/>
          <w:bCs/>
          <w:noProof/>
        </w:rPr>
        <w:t xml:space="preserve">: </w:t>
      </w:r>
      <w:bookmarkStart w:id="5" w:name="OLE_LINK29"/>
      <w:r>
        <w:rPr>
          <w:rFonts w:cs="Times New Roman"/>
          <w:bCs/>
        </w:rPr>
        <w:t>Mortality by</w:t>
      </w:r>
      <w:r>
        <w:rPr>
          <w:bCs/>
        </w:rPr>
        <w:t xml:space="preserve"> IL-18 </w:t>
      </w:r>
      <w:r>
        <w:rPr>
          <w:rFonts w:cs="Times New Roman"/>
          <w:bCs/>
        </w:rPr>
        <w:t xml:space="preserve">level separated </w:t>
      </w:r>
      <w:r>
        <w:rPr>
          <w:bCs/>
        </w:rPr>
        <w:t>by LCA class using top quintile cut-off rather than 800pg/</w:t>
      </w:r>
      <w:proofErr w:type="spellStart"/>
      <w:r>
        <w:rPr>
          <w:bCs/>
        </w:rPr>
        <w:t>mL.</w:t>
      </w:r>
      <w:proofErr w:type="spellEnd"/>
      <w:r>
        <w:rPr>
          <w:bCs/>
        </w:rPr>
        <w:t xml:space="preserve"> Survival analysis using top quintile cut-off for IL-18 shows that elevated IL-18 adds prognostic information in (a) all-comers, (c) hypo-inflammatory LCA patients, and (e) hyper-inflammatory LCA patients in SAILS. In HARP-2, elevated IL-18 adds prognostic information in (b) all-comers and (d) hypo-inflammatory LCA patients, but not in (f) hyper-inflammatory LCA patients.</w:t>
      </w:r>
      <w:bookmarkEnd w:id="0"/>
      <w:bookmarkEnd w:id="5"/>
    </w:p>
    <w:p w14:paraId="581049B8" w14:textId="77777777" w:rsidR="00A96B6C" w:rsidRDefault="00A96B6C"/>
    <w:sectPr w:rsidR="00A96B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C7884"/>
    <w:multiLevelType w:val="hybridMultilevel"/>
    <w:tmpl w:val="75500F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60678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BA5"/>
    <w:rsid w:val="00282463"/>
    <w:rsid w:val="00A81D49"/>
    <w:rsid w:val="00A96B6C"/>
    <w:rsid w:val="00AE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8B978"/>
  <w15:chartTrackingRefBased/>
  <w15:docId w15:val="{829AE0A4-0726-4B93-BFC5-7C69A2ECF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BA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1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Moore</dc:creator>
  <cp:keywords/>
  <dc:description/>
  <cp:lastModifiedBy>Andrew Moore</cp:lastModifiedBy>
  <cp:revision>2</cp:revision>
  <dcterms:created xsi:type="dcterms:W3CDTF">2022-11-09T00:12:00Z</dcterms:created>
  <dcterms:modified xsi:type="dcterms:W3CDTF">2022-11-09T00:12:00Z</dcterms:modified>
</cp:coreProperties>
</file>