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47" w:rsidRPr="006D220D" w:rsidRDefault="00CC2E47" w:rsidP="00CC2E47">
      <w:pPr>
        <w:spacing w:after="0" w:line="480" w:lineRule="auto"/>
        <w:jc w:val="both"/>
        <w:rPr>
          <w:rFonts w:ascii="Times New Roman" w:hAnsi="Times New Roman" w:cs="Times New Roman"/>
          <w:b/>
          <w:szCs w:val="24"/>
        </w:rPr>
      </w:pPr>
      <w:r w:rsidRPr="006D220D">
        <w:rPr>
          <w:rFonts w:ascii="Times New Roman" w:hAnsi="Times New Roman" w:cs="Times New Roman"/>
          <w:b/>
          <w:szCs w:val="24"/>
        </w:rPr>
        <w:t>S</w:t>
      </w:r>
      <w:r>
        <w:rPr>
          <w:rFonts w:ascii="Times New Roman" w:hAnsi="Times New Roman" w:cs="Times New Roman"/>
          <w:b/>
          <w:szCs w:val="24"/>
        </w:rPr>
        <w:t>upplementary Material</w:t>
      </w:r>
    </w:p>
    <w:p w:rsidR="00CC2E47" w:rsidRPr="00602FCF" w:rsidRDefault="00CC2E47" w:rsidP="00CC2E4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Supplement </w:t>
      </w:r>
      <w:r w:rsidRPr="00602FCF">
        <w:rPr>
          <w:rFonts w:ascii="Times New Roman" w:hAnsi="Times New Roman" w:cs="Times New Roman"/>
          <w:b/>
          <w:szCs w:val="24"/>
        </w:rPr>
        <w:t xml:space="preserve">1. </w:t>
      </w:r>
      <w:r w:rsidRPr="00602FCF">
        <w:rPr>
          <w:rFonts w:ascii="Times New Roman" w:hAnsi="Times New Roman" w:cs="Times New Roman"/>
          <w:szCs w:val="24"/>
        </w:rPr>
        <w:t>Sociodemographic and clinical characteristics of patients with pulmonary tuberculosis according to disaggregated sublineage, determined by 24-</w:t>
      </w:r>
      <w:r w:rsidRPr="00602FCF">
        <w:rPr>
          <w:rFonts w:ascii="Times New Roman" w:hAnsi="Times New Roman" w:cs="Times New Roman"/>
          <w:i/>
          <w:szCs w:val="24"/>
        </w:rPr>
        <w:t>loci</w:t>
      </w:r>
      <w:r w:rsidRPr="00602FCF">
        <w:rPr>
          <w:rFonts w:ascii="Times New Roman" w:hAnsi="Times New Roman" w:cs="Times New Roman"/>
          <w:szCs w:val="24"/>
        </w:rPr>
        <w:t xml:space="preserve"> MIRU-VNTR, </w:t>
      </w:r>
      <w:bookmarkStart w:id="0" w:name="_GoBack"/>
      <w:bookmarkEnd w:id="0"/>
      <w:r w:rsidRPr="00602FCF">
        <w:rPr>
          <w:rFonts w:ascii="Times New Roman" w:hAnsi="Times New Roman" w:cs="Times New Roman"/>
          <w:szCs w:val="24"/>
        </w:rPr>
        <w:t>Orizaba Veracruz 1997-2010 (n=755)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5"/>
        <w:gridCol w:w="603"/>
        <w:gridCol w:w="649"/>
        <w:gridCol w:w="581"/>
        <w:gridCol w:w="746"/>
        <w:gridCol w:w="642"/>
        <w:gridCol w:w="530"/>
        <w:gridCol w:w="533"/>
        <w:gridCol w:w="514"/>
        <w:gridCol w:w="514"/>
        <w:gridCol w:w="514"/>
        <w:gridCol w:w="552"/>
        <w:gridCol w:w="756"/>
        <w:gridCol w:w="519"/>
      </w:tblGrid>
      <w:tr w:rsidR="00CC2E47" w:rsidRPr="003C78AC" w:rsidTr="00010CBC">
        <w:trPr>
          <w:trHeight w:val="285"/>
        </w:trPr>
        <w:tc>
          <w:tcPr>
            <w:tcW w:w="1300" w:type="dxa"/>
            <w:vMerge w:val="restart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bookmarkStart w:id="1" w:name="_Hlk111043230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Variables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Total</w:t>
            </w:r>
          </w:p>
        </w:tc>
        <w:tc>
          <w:tcPr>
            <w:tcW w:w="59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Haarlem</w:t>
            </w:r>
          </w:p>
        </w:tc>
        <w:tc>
          <w:tcPr>
            <w:tcW w:w="53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LAM</w:t>
            </w:r>
          </w:p>
        </w:tc>
        <w:tc>
          <w:tcPr>
            <w:tcW w:w="68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Cameroon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spell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UgandaI</w:t>
            </w:r>
            <w:proofErr w:type="spellEnd"/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Ghana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S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X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TUR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EAI</w:t>
            </w: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Beijing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Unknown</w:t>
            </w:r>
          </w:p>
        </w:tc>
        <w:tc>
          <w:tcPr>
            <w:tcW w:w="478" w:type="dxa"/>
            <w:vMerge w:val="restart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0"/>
              </w:rPr>
              <w:t>p-</w:t>
            </w: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value*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5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4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49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proofErr w:type="gramStart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</w:t>
            </w:r>
            <w:proofErr w:type="gramEnd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 xml:space="preserve"> (%)</w:t>
            </w:r>
          </w:p>
        </w:tc>
        <w:tc>
          <w:tcPr>
            <w:tcW w:w="478" w:type="dxa"/>
            <w:vMerge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Male sex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442/755 (58.5)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257/419 (61.3)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81/163 (49.7)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30/49 (61.2)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21/28 (75.0)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9/23 (39.1)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12/18 (66.7)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7/15 (46.7)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8/15 (53.3)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12/15 (80.0)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5/8 (62.5)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0.023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Age (years) (median [IQR])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45 (32-59)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45 (33-59)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43 (30-55)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38 (24-53)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45 (29-58)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58 (34-70)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46 (38-59)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56 (32-77)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38 (29-54)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53 (41-64)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59 (57-60)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45 (27-62)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0.040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&gt;6 years of formal schooling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507/754 (67.2)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277/418 (66.3)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115/163 (70.6)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26/49 (53.1)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20/28 (71.4)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19/23 (82.6)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13/18 (72.2)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12/15 (80.0)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9/15 (60.0)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8/15 (53.3)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2/2 (100)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6/8 (75.0)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0.264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House with dirt floor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174/755 (23.1)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88/419 (21.0)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44/163 (27.0)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9/49 (18.4)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9/28 (32.1)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6/419 (21.0)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5/18 (27.8)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4/15 (26.7)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4/15 (26.7)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2/15 (13.3)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3/8 (37.5)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0.703</w:t>
            </w:r>
          </w:p>
        </w:tc>
      </w:tr>
      <w:tr w:rsidR="00CC2E47" w:rsidRPr="003C78AC" w:rsidTr="00010CBC">
        <w:trPr>
          <w:trHeight w:val="68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Rural residence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99/732 (13.5)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47/409 (11.5)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30/159 (18.9)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3/47 (6.4)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5/26 (19.2)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3/21 (14.3)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2/18 (11.1)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4/15 (26.7)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2/14 (14.3)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1/15 (6.7)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2/7 (28.6)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0.251</w:t>
            </w:r>
          </w:p>
        </w:tc>
      </w:tr>
      <w:tr w:rsidR="00CC2E47" w:rsidRPr="003C78AC" w:rsidTr="00010CBC">
        <w:trPr>
          <w:trHeight w:val="242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Nearest health center distance (meters)  (median [IQR])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708 (414-1,099)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685 (404-1025)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775 (432-1184)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735 (476-1044)</w:t>
            </w:r>
          </w:p>
        </w:tc>
        <w:tc>
          <w:tcPr>
            <w:tcW w:w="5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760 (324-1449)</w:t>
            </w:r>
          </w:p>
        </w:tc>
        <w:tc>
          <w:tcPr>
            <w:tcW w:w="4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674 (267-1130)</w:t>
            </w:r>
          </w:p>
        </w:tc>
        <w:tc>
          <w:tcPr>
            <w:tcW w:w="49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566 (471-861)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899 (519-1413)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808 (484-1432)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1045 (609-1109)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388 (354-422)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1504 (853-2094)</w:t>
            </w:r>
          </w:p>
        </w:tc>
        <w:tc>
          <w:tcPr>
            <w:tcW w:w="478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0.154</w:t>
            </w:r>
          </w:p>
        </w:tc>
      </w:tr>
      <w:tr w:rsidR="00CC2E47" w:rsidRPr="003C78AC" w:rsidTr="00010CBC">
        <w:trPr>
          <w:trHeight w:val="176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Access to social security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254/755 (33.6)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152/419 (36.3)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48/163 (29.5)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12/49 (24.5)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10/28 (35.7)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9/23 (39.1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4/18 (22.2)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5/15 (33.3)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5/15 (33.3)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7/15 (46.7)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1/8 (12.5)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0.549</w:t>
            </w:r>
          </w:p>
        </w:tc>
      </w:tr>
      <w:tr w:rsidR="00CC2E47" w:rsidRPr="003C78AC" w:rsidTr="00010CBC">
        <w:trPr>
          <w:trHeight w:val="81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Used alcohol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330/753 (43.8)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194/417 (46.5)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64/163 (39.3)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22/49 (44.9)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17/28 (60.7)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7/23 (30.4)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8/18 (44.4)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2/15 (33.3)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6/15 (40.0)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8/15 (53.3)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2/8 (25.0)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0.084</w:t>
            </w:r>
          </w:p>
        </w:tc>
      </w:tr>
      <w:tr w:rsidR="00CC2E47" w:rsidRPr="003C78AC" w:rsidTr="00010CBC">
        <w:trPr>
          <w:trHeight w:val="126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Used tobacco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164/753 (21.8)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106/417 (25.4)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22/163 (13.5)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10/49 (20.4)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5/28 (17.9)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2/23 (8.70)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6/18 (33.3)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1/15 (6.7)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5/15 (33.3)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7/15 (46.7)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2/8 (0.0)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0.005</w:t>
            </w:r>
          </w:p>
        </w:tc>
      </w:tr>
      <w:tr w:rsidR="00CC2E47" w:rsidRPr="003C78AC" w:rsidTr="00010CBC">
        <w:trPr>
          <w:trHeight w:val="173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Used illegal drugs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35/754 (4.6)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19/418 (4.6)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5/163 (3.1)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3/49 (6.1)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2/28 (7.1)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0/23 (0.0)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2/18 (11.1)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0/15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2/15 (13.3)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2/15 (13.3)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2/8 (0.0)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0.380</w:t>
            </w:r>
          </w:p>
        </w:tc>
      </w:tr>
      <w:tr w:rsidR="00CC2E47" w:rsidRPr="003C78AC" w:rsidTr="00010CBC">
        <w:trPr>
          <w:trHeight w:val="76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Homelessness or residence in shelters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20/754 (2.7)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12/419 (2.9)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4/162 (2.5)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0/49 (0.0)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1/28 (3.6)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1/23 (4.4)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0/18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0/15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1/15 (6.7)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1/15 (6.7)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0/8 (0.0)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0.903</w:t>
            </w:r>
          </w:p>
        </w:tc>
      </w:tr>
      <w:tr w:rsidR="00CC2E47" w:rsidRPr="003C78AC" w:rsidTr="00010CBC">
        <w:trPr>
          <w:trHeight w:val="109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Diabetes mellitus type 2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250/755 (33.1)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138/419 (32.9)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52/163 (31.9)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12/49 (24.5)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11/28 (39.3)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7/23 (30.4)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6/18 (33.3)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6/15 (40.0)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6/15 (40.0)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10/15 (66.7)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1/8 (12.5)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0.261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HIV coinfection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13/739 (1.8)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7/410 (1.7)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3/163 (1.8)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1/47 (2.1)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1/27 (3.7)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0/23 (0.0)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0/16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0/15 (0.0)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0/8 (0.0)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0.001</w:t>
            </w:r>
          </w:p>
        </w:tc>
      </w:tr>
      <w:tr w:rsidR="00CC2E47" w:rsidRPr="003C78AC" w:rsidTr="00010CBC">
        <w:trPr>
          <w:trHeight w:val="58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New case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688/754 (91.3)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384/418 (91.9)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145/163 (89.0)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47/49 (95.9)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26/28 (92.9)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21/23 (91.3)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18/18 (100.0)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12/15 (80.0)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14/15 (93.3)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14/15 (93.3)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6/8 (75.0)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0.179</w:t>
            </w:r>
          </w:p>
        </w:tc>
      </w:tr>
      <w:tr w:rsidR="00CC2E47" w:rsidRPr="003C78AC" w:rsidTr="00010CBC">
        <w:trPr>
          <w:trHeight w:val="246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AFB sputum positivity grade of 3+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211/755 (28.0)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123/419 (29.4)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47/163 (28.8)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13/49 (26.5)</w:t>
            </w:r>
          </w:p>
        </w:tc>
        <w:tc>
          <w:tcPr>
            <w:tcW w:w="5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10/28 (35.7)</w:t>
            </w:r>
          </w:p>
        </w:tc>
        <w:tc>
          <w:tcPr>
            <w:tcW w:w="4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3/23 (13.0)</w:t>
            </w:r>
          </w:p>
        </w:tc>
        <w:tc>
          <w:tcPr>
            <w:tcW w:w="49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5/18 (27.8)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4/15 (26.7)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1/15 (6.7)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4/15 (26.7)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1/8 (12.5)</w:t>
            </w:r>
          </w:p>
        </w:tc>
        <w:tc>
          <w:tcPr>
            <w:tcW w:w="478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0.530</w:t>
            </w:r>
          </w:p>
        </w:tc>
      </w:tr>
      <w:tr w:rsidR="00CC2E47" w:rsidRPr="003C78AC" w:rsidTr="00010CBC">
        <w:trPr>
          <w:trHeight w:val="5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Resistance to at least one drug</w:t>
            </w:r>
            <w:r w:rsidRPr="003C78AC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 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117/612 (19.1)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68/337 (20.2)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25/131 (19.1)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13/43 (30.2)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5/22 (22.7)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2/16 (12.5)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0/12 (0.0)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2/14 (14.3)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1/7 (14.3)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0.121</w:t>
            </w:r>
          </w:p>
        </w:tc>
      </w:tr>
      <w:tr w:rsidR="00CC2E47" w:rsidRPr="003C78AC" w:rsidTr="00010CBC">
        <w:trPr>
          <w:trHeight w:val="1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MDR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21/612 (3.4)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8/337 (2.4)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8/131 (6.1)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2/43 (4.7)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1/22 (4.55)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0/16 (0.0)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0/12 (0.0)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1/7 (14.3)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0.014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Fever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531/752 (70.6)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292/417 (70.0)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114/162 (70.4)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36/49 (73.5)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23/28 (82.1)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14/23 (60.99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11/18 (61.1)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13/15 (86.7)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12/15 (80.0)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11/15 (73.3)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4/8 (50.0)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0.580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Haemoptysis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250/753 (33.2)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141/417 (33.8)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39/163 (23.9)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19/49 (38.8)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13/28 (46.4)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11/23 (47.8)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8/18 (44.4)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7/15 (46.7)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5/15 (33.3)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7/15 (46.7)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0/8 (0.0)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0.030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Cavitations presence on chest radiograph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282/626 (45.1)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152/344 (44.2)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74/136 (54.5)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11/40 (27.5)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12/24 (50.0)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8/19 (42.1)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7/17 (41.2)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3/12 (25.0)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3/12 (25.0)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9/13 (69.2)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2/7 (28.6)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0.054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BMI (median [IQR])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20.9 (18.4-23.8)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20.5 (18.1-23.4)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21.0 (18.9-24.1)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20.3 (18.9-22.4)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21.6 (18.7-24.1)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22.7 (19.0-24.2)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20.9 (18.0-24.1)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23.0 (19.1-24.9)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23.9 (22.2-25.7)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22.1 (18.7-24.0)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25.4 (21.6-29.3)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21.3 (18.6-22.6)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0.053</w:t>
            </w:r>
          </w:p>
        </w:tc>
      </w:tr>
      <w:tr w:rsidR="00CC2E47" w:rsidRPr="003C78AC" w:rsidTr="00010CBC">
        <w:trPr>
          <w:trHeight w:val="346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Number of days between symptom onset and start of treatment (median [IQR])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105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(67-182)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106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(63-180)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119 (80-196)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129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(83-198)</w:t>
            </w:r>
          </w:p>
        </w:tc>
        <w:tc>
          <w:tcPr>
            <w:tcW w:w="5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122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(88-284)</w:t>
            </w:r>
          </w:p>
        </w:tc>
        <w:tc>
          <w:tcPr>
            <w:tcW w:w="4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85 (28-131)</w:t>
            </w:r>
          </w:p>
        </w:tc>
        <w:tc>
          <w:tcPr>
            <w:tcW w:w="49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102 (66-215)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82 (53-155)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68 (51-96)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76 (48-92)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101 (22-179)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112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(82-136)</w:t>
            </w:r>
          </w:p>
        </w:tc>
        <w:tc>
          <w:tcPr>
            <w:tcW w:w="478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0.017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Cluster belonging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519/755 (68.7)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318/419 (75.9)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95/163 (58.3)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36/49 (73.5)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17/28 (60.7)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12/23 (52.2)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8/18 (44.4)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9/15 (60.0)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11/15 (73.3)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10/15 (66.7)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3/8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(37.5)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&lt;0.001</w:t>
            </w:r>
          </w:p>
        </w:tc>
      </w:tr>
    </w:tbl>
    <w:p w:rsidR="00CC2E47" w:rsidRPr="00602FCF" w:rsidRDefault="00CC2E47" w:rsidP="00CC2E47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602FCF">
        <w:rPr>
          <w:rFonts w:ascii="Times New Roman" w:hAnsi="Times New Roman" w:cs="Times New Roman"/>
          <w:szCs w:val="24"/>
        </w:rPr>
        <w:t xml:space="preserve">Abbreviations: IQR-interquartile range; HIV-human immunodeficiency virus; AFB-acid fast bacilli; MDR-multidrug resistance; BMI-body mass index. </w:t>
      </w:r>
    </w:p>
    <w:p w:rsidR="00CC2E47" w:rsidRPr="00602FCF" w:rsidRDefault="00CC2E47" w:rsidP="00CC2E4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02FCF">
        <w:rPr>
          <w:rFonts w:ascii="Times New Roman" w:hAnsi="Times New Roman" w:cs="Times New Roman"/>
          <w:szCs w:val="24"/>
        </w:rPr>
        <w:t>* Pearson chi-square test</w:t>
      </w:r>
    </w:p>
    <w:p w:rsidR="00CC2E47" w:rsidRPr="003C78AC" w:rsidRDefault="00CC2E47" w:rsidP="00CC2E47">
      <w:pPr>
        <w:rPr>
          <w:rFonts w:ascii="Times New Roman" w:hAnsi="Times New Roman" w:cs="Times New Roman"/>
          <w:szCs w:val="24"/>
        </w:rPr>
      </w:pPr>
      <w:r w:rsidRPr="00602FCF">
        <w:rPr>
          <w:rFonts w:ascii="Times New Roman" w:hAnsi="Times New Roman" w:cs="Times New Roman"/>
          <w:szCs w:val="24"/>
        </w:rPr>
        <w:t xml:space="preserve">† </w:t>
      </w:r>
      <w:proofErr w:type="spellStart"/>
      <w:r w:rsidRPr="00602FCF">
        <w:rPr>
          <w:rFonts w:ascii="Times New Roman" w:hAnsi="Times New Roman" w:cs="Times New Roman"/>
          <w:szCs w:val="24"/>
        </w:rPr>
        <w:t>Kruskal</w:t>
      </w:r>
      <w:proofErr w:type="spellEnd"/>
      <w:r w:rsidRPr="00602FCF">
        <w:rPr>
          <w:rFonts w:ascii="Times New Roman" w:hAnsi="Times New Roman" w:cs="Times New Roman"/>
          <w:szCs w:val="24"/>
        </w:rPr>
        <w:t xml:space="preserve"> Wallis test</w:t>
      </w:r>
      <w:bookmarkEnd w:id="1"/>
    </w:p>
    <w:p w:rsidR="00CC2E47" w:rsidRPr="0026684D" w:rsidRDefault="00CC2E47" w:rsidP="00CC2E47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26684D">
        <w:rPr>
          <w:rFonts w:ascii="Times New Roman" w:hAnsi="Times New Roman" w:cs="Times New Roman"/>
          <w:b/>
          <w:szCs w:val="24"/>
        </w:rPr>
        <w:lastRenderedPageBreak/>
        <w:t xml:space="preserve">Supplement </w:t>
      </w:r>
      <w:r>
        <w:rPr>
          <w:rFonts w:ascii="Times New Roman" w:hAnsi="Times New Roman" w:cs="Times New Roman"/>
          <w:b/>
          <w:szCs w:val="24"/>
        </w:rPr>
        <w:t>2</w:t>
      </w:r>
      <w:r w:rsidRPr="0026684D">
        <w:rPr>
          <w:rFonts w:ascii="Times New Roman" w:hAnsi="Times New Roman" w:cs="Times New Roman"/>
          <w:szCs w:val="24"/>
        </w:rPr>
        <w:t>. Treatment outcome of patients with pulmonary tuberculosis according to disaggregated lineage by 24-</w:t>
      </w:r>
      <w:r w:rsidRPr="0026684D">
        <w:rPr>
          <w:rFonts w:ascii="Times New Roman" w:hAnsi="Times New Roman" w:cs="Times New Roman"/>
          <w:i/>
          <w:szCs w:val="24"/>
        </w:rPr>
        <w:t xml:space="preserve">loci </w:t>
      </w:r>
      <w:r w:rsidRPr="0026684D">
        <w:rPr>
          <w:rFonts w:ascii="Times New Roman" w:hAnsi="Times New Roman" w:cs="Times New Roman"/>
          <w:szCs w:val="24"/>
        </w:rPr>
        <w:t>MIRU-VNTR, Orizaba Veracruz 1997-2010 (n=755)</w:t>
      </w:r>
    </w:p>
    <w:tbl>
      <w:tblPr>
        <w:tblW w:w="10282" w:type="dxa"/>
        <w:tblInd w:w="-6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"/>
        <w:gridCol w:w="751"/>
        <w:gridCol w:w="752"/>
        <w:gridCol w:w="674"/>
        <w:gridCol w:w="748"/>
        <w:gridCol w:w="599"/>
        <w:gridCol w:w="674"/>
        <w:gridCol w:w="674"/>
        <w:gridCol w:w="673"/>
        <w:gridCol w:w="674"/>
        <w:gridCol w:w="674"/>
        <w:gridCol w:w="674"/>
        <w:gridCol w:w="813"/>
        <w:gridCol w:w="813"/>
      </w:tblGrid>
      <w:tr w:rsidR="00CC2E47" w:rsidRPr="00EF2997" w:rsidTr="00010CBC">
        <w:trPr>
          <w:trHeight w:val="294"/>
        </w:trPr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bookmarkStart w:id="2" w:name="_Hlk46914757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Variables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Total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Haarlem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LAM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Cameroon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proofErr w:type="spellStart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UgandaI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Ghana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S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X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TUR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EAI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Beijing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Unknown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szCs w:val="14"/>
              </w:rPr>
              <w:t>p-</w:t>
            </w: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value*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(%)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proofErr w:type="gramStart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  <w:proofErr w:type="gramEnd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 xml:space="preserve"> (%)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(%)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proofErr w:type="gramStart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  <w:proofErr w:type="gramEnd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 xml:space="preserve"> 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proofErr w:type="gramStart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  <w:proofErr w:type="gramEnd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 xml:space="preserve"> 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proofErr w:type="gramStart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  <w:proofErr w:type="gramEnd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 xml:space="preserve"> (%)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proofErr w:type="gramStart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  <w:proofErr w:type="gramEnd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 xml:space="preserve"> 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proofErr w:type="gramStart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  <w:proofErr w:type="gramEnd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 xml:space="preserve"> 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proofErr w:type="gramStart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  <w:proofErr w:type="gramEnd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 xml:space="preserve"> 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proofErr w:type="gramStart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  <w:proofErr w:type="gramEnd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 xml:space="preserve"> (%)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(%)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</w:tr>
      <w:tr w:rsidR="00CC2E47" w:rsidRPr="00EF2997" w:rsidTr="00010CBC">
        <w:trPr>
          <w:gridAfter w:val="1"/>
          <w:wAfter w:w="813" w:type="dxa"/>
          <w:trHeight w:val="55"/>
        </w:trPr>
        <w:tc>
          <w:tcPr>
            <w:tcW w:w="94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  <w:t>Treatment outcome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Abandon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49/755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(6.5)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27/419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(6.4)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13/163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(8.0)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(6.1)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(12.5)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0.059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Cure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532/755 (70.5)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306/419 (73.0)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109/163 (66.9)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28/49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(57.1)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23/28 (82.1)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15/23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(65.2)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14/18 (77.8)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8/15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(53.3)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9/15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13/15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5/8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(62.5)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Treatment completion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93/755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(12.3)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47/419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(11.2)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20/163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(12.3)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10/49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(20.4)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(7.1)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(26.1)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(16.7)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(12.5)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Failure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20/755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(2.7)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5/419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6/163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(3.7)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(6.1)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1/28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(5.6)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(13.3)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(12.5)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Death during treatment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26/755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(3.4)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19/419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(4.5)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4/163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(2.5)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(4.1)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1/28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No data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35/755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(4.6)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15/419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11/163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(6.8)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(6.1)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1/28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gridAfter w:val="1"/>
          <w:wAfter w:w="813" w:type="dxa"/>
          <w:trHeight w:val="55"/>
        </w:trPr>
        <w:tc>
          <w:tcPr>
            <w:tcW w:w="94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00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Treatment failure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Failure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20/645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(3.1)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5/358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(1.4)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6/135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(4.4)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3/41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(7.3)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1/26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(3.9)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(5.6)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  <w:t>2/11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  <w:t>(18.2)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  <w:t>1/7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  <w:t>(14.3)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0.029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Cure or treatment completion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625/645 (96.9)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353/358 (98.6)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129/135 (95.6)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38/41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(92.7)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25/26 (96.2)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21/21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17/18 (94.4)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9/11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(81.2)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11/11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14/15 (93.3)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6/7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(85.7)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gridAfter w:val="1"/>
          <w:wAfter w:w="813" w:type="dxa"/>
          <w:trHeight w:val="55"/>
        </w:trPr>
        <w:tc>
          <w:tcPr>
            <w:tcW w:w="94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No treatment success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Abandon, failure or death during treatment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95/720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(13.2)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51/404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23/152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(15.1)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8/46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(17.4)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2/27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(7.4)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(85.6)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(25.0)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0.060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Cure or treatment completion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625/720 (86.8)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353/404 (87.4)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129/152 (84.9)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38/46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(82.6)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25/27 (92.6)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21/21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17/18 (94.4)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9/15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11/12 (91.7)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14/15 (93.3)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(75.0)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gridAfter w:val="1"/>
          <w:wAfter w:w="813" w:type="dxa"/>
          <w:trHeight w:val="55"/>
        </w:trPr>
        <w:tc>
          <w:tcPr>
            <w:tcW w:w="94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Death during treatment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Death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26/720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(3.6)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19/404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4/152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(2.6)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2/46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(4.4)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1/27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0.871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Cure or treatment completion, abandon or failure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694/720 (96.4)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385/404 (95.3)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148/152 (97.4)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44/46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(95.7)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26/27 (96.3)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21/21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18/18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15/15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12/12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15/15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8/8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</w:tbl>
    <w:bookmarkEnd w:id="2"/>
    <w:p w:rsidR="00CC2E47" w:rsidRPr="0026684D" w:rsidRDefault="00CC2E47" w:rsidP="00CC2E4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6684D">
        <w:rPr>
          <w:rFonts w:ascii="Times New Roman" w:hAnsi="Times New Roman" w:cs="Times New Roman"/>
          <w:szCs w:val="24"/>
        </w:rPr>
        <w:t>* Pearson chi-square test</w:t>
      </w:r>
    </w:p>
    <w:p w:rsidR="00CC2E47" w:rsidRPr="005178D3" w:rsidRDefault="00CC2E47" w:rsidP="00CC2E47">
      <w:pPr>
        <w:spacing w:after="200" w:line="276" w:lineRule="auto"/>
        <w:rPr>
          <w:rFonts w:ascii="Times New Roman" w:hAnsi="Times New Roman" w:cs="Times New Roman"/>
          <w:szCs w:val="24"/>
        </w:rPr>
      </w:pPr>
    </w:p>
    <w:p w:rsidR="00CC2E47" w:rsidRPr="005178D3" w:rsidRDefault="00CC2E47" w:rsidP="00CC2E47">
      <w:pPr>
        <w:spacing w:after="200" w:line="276" w:lineRule="auto"/>
        <w:rPr>
          <w:rFonts w:ascii="Times New Roman" w:hAnsi="Times New Roman" w:cs="Times New Roman"/>
          <w:szCs w:val="24"/>
        </w:rPr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Pr="00602FCF" w:rsidRDefault="00CC2E47" w:rsidP="00CC2E4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Supplement</w:t>
      </w:r>
      <w:r w:rsidRPr="00602FCF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3</w:t>
      </w:r>
      <w:r w:rsidRPr="00602FCF">
        <w:rPr>
          <w:rFonts w:ascii="Times New Roman" w:hAnsi="Times New Roman" w:cs="Times New Roman"/>
          <w:b/>
          <w:szCs w:val="24"/>
        </w:rPr>
        <w:t>.</w:t>
      </w:r>
      <w:r w:rsidRPr="00602FCF">
        <w:rPr>
          <w:rFonts w:ascii="Times New Roman" w:hAnsi="Times New Roman" w:cs="Times New Roman"/>
          <w:szCs w:val="24"/>
        </w:rPr>
        <w:t xml:space="preserve"> Treatment outcome of patients with pulmonary tuberculosis according to aggregated lineage by 24-</w:t>
      </w:r>
      <w:r w:rsidRPr="00602FCF">
        <w:rPr>
          <w:rFonts w:ascii="Times New Roman" w:hAnsi="Times New Roman" w:cs="Times New Roman"/>
          <w:i/>
          <w:szCs w:val="24"/>
        </w:rPr>
        <w:t xml:space="preserve">loci </w:t>
      </w:r>
      <w:r w:rsidRPr="00602FCF">
        <w:rPr>
          <w:rFonts w:ascii="Times New Roman" w:hAnsi="Times New Roman" w:cs="Times New Roman"/>
          <w:szCs w:val="24"/>
        </w:rPr>
        <w:t>MIRU-VNTR, Orizaba Veracruz 1997-2010 (n=755)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8"/>
        <w:gridCol w:w="1501"/>
        <w:gridCol w:w="1383"/>
        <w:gridCol w:w="1382"/>
        <w:gridCol w:w="1463"/>
        <w:gridCol w:w="806"/>
      </w:tblGrid>
      <w:tr w:rsidR="00CC2E47" w:rsidRPr="00181EC5" w:rsidTr="00010CBC">
        <w:trPr>
          <w:trHeight w:val="285"/>
        </w:trPr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Variables</w:t>
            </w:r>
          </w:p>
        </w:tc>
        <w:tc>
          <w:tcPr>
            <w:tcW w:w="1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Total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Haarlem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LAM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Other than Haarlem and LAM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p-</w:t>
            </w: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value*</w:t>
            </w:r>
          </w:p>
        </w:tc>
      </w:tr>
      <w:tr w:rsidR="00CC2E47" w:rsidRPr="00181EC5" w:rsidTr="00010CBC">
        <w:trPr>
          <w:trHeight w:val="285"/>
        </w:trPr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gramStart"/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n/total</w:t>
            </w:r>
            <w:proofErr w:type="gramEnd"/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(%)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gramStart"/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n/total</w:t>
            </w:r>
            <w:proofErr w:type="gramEnd"/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(%)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gramStart"/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n/total</w:t>
            </w:r>
            <w:proofErr w:type="gramEnd"/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(%)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gramStart"/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n/total</w:t>
            </w:r>
            <w:proofErr w:type="gramEnd"/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(%)</w:t>
            </w: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Treatment outcome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Abandon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49/755 (6.5)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27/419 (6.4)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13/163 (8.0)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9/173 (5.2)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0.061</w:t>
            </w: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Cure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532/755 (70.5)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306/419 (73.0)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109/163 (66.9)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117/173 (67.6)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Treatment completion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93/755 (12.3)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47/419 (11.2)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20/163 (12.3)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26/173 (15.0)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Failure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20/755 (2.7)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5/419 (1.2)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6/163 (3.7)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9/173 (5.2)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Death during treatment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26/755 (3.4)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19/419 (4.5)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4/163 (2.5)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3/173 (1.7)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No data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35/755 (4.6)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15/419 (3.6)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11/163 (6.8)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9/173 (5.2)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iCs/>
                <w:szCs w:val="24"/>
              </w:rPr>
              <w:t>Treatment failure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Failure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20/645 (3.1)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5/358 (1.4)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6/135 (4.4)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9/152 (5.9)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0.016</w:t>
            </w:r>
          </w:p>
        </w:tc>
      </w:tr>
      <w:tr w:rsidR="00CC2E47" w:rsidRPr="00181EC5" w:rsidTr="00010CBC">
        <w:trPr>
          <w:trHeight w:val="112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Cure or treatment completion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625/645 (96.9)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353/358 (98.6)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129/135 (95.6)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143/152 (94.1)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No treatment success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CC2E47" w:rsidRPr="00181EC5" w:rsidTr="00010CBC">
        <w:trPr>
          <w:trHeight w:val="182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 xml:space="preserve">Abandon, failure or death during treatment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95/720 (13.2)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51/404 (12.6)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23/152 (15.1)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21/164 (12.8)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0.728</w:t>
            </w: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Cure or treatment completion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625/720 (86.8)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353/404 (87.4)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129/152 (84.9)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143/164 (87.2)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96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Death during treatment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Death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26/720 (3.6)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19/404 (4.7)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4/152 (2.6)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3/164 (1.8)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0.192</w:t>
            </w:r>
          </w:p>
        </w:tc>
      </w:tr>
      <w:tr w:rsidR="00CC2E47" w:rsidRPr="00181EC5" w:rsidTr="00010CBC">
        <w:trPr>
          <w:trHeight w:val="244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 xml:space="preserve">Cure or treatment completion, abandon or failure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694/720 (96.4)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385/404 (95.3)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148/152 (97.4)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161/164 (98.2)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CC2E47" w:rsidRPr="00602FCF" w:rsidRDefault="00CC2E47" w:rsidP="00CC2E47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2FCF">
        <w:rPr>
          <w:rFonts w:ascii="Times New Roman" w:hAnsi="Times New Roman" w:cs="Times New Roman"/>
          <w:szCs w:val="24"/>
        </w:rPr>
        <w:t>* Pearson chi-square test</w:t>
      </w:r>
    </w:p>
    <w:p w:rsidR="00CC2E47" w:rsidRPr="00EF2997" w:rsidRDefault="00CC2E47" w:rsidP="00CC2E47">
      <w:pPr>
        <w:spacing w:after="200" w:line="276" w:lineRule="auto"/>
        <w:rPr>
          <w:rFonts w:ascii="Times New Roman" w:hAnsi="Times New Roman" w:cs="Times New Roman"/>
          <w:sz w:val="18"/>
          <w:szCs w:val="24"/>
        </w:rPr>
      </w:pPr>
      <w:r w:rsidRPr="0026684D">
        <w:rPr>
          <w:rFonts w:ascii="Times New Roman" w:hAnsi="Times New Roman" w:cs="Times New Roman"/>
          <w:szCs w:val="24"/>
        </w:rPr>
        <w:t xml:space="preserve"> </w:t>
      </w:r>
    </w:p>
    <w:p w:rsidR="00BD5CC0" w:rsidRDefault="00CC2E47"/>
    <w:sectPr w:rsidR="00BD5CC0" w:rsidSect="00CC2E47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664572"/>
      <w:docPartObj>
        <w:docPartGallery w:val="Page Numbers (Bottom of Page)"/>
        <w:docPartUnique/>
      </w:docPartObj>
    </w:sdtPr>
    <w:sdtEndPr/>
    <w:sdtContent>
      <w:p w:rsidR="006947F0" w:rsidRDefault="00CC2E4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C2E47">
          <w:rPr>
            <w:noProof/>
            <w:lang w:val="es-ES"/>
          </w:rPr>
          <w:t>1</w:t>
        </w:r>
        <w:r>
          <w:fldChar w:fldCharType="end"/>
        </w:r>
      </w:p>
    </w:sdtContent>
  </w:sdt>
  <w:p w:rsidR="006947F0" w:rsidRDefault="00CC2E47">
    <w:pPr>
      <w:pStyle w:val="Piedep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D3D34"/>
    <w:multiLevelType w:val="multilevel"/>
    <w:tmpl w:val="7420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47"/>
    <w:rsid w:val="00711E8C"/>
    <w:rsid w:val="00B173F8"/>
    <w:rsid w:val="00CC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E47"/>
    <w:pPr>
      <w:spacing w:after="180" w:line="274" w:lineRule="auto"/>
    </w:pPr>
    <w:rPr>
      <w:sz w:val="24"/>
      <w:lang w:val="en-US" w:eastAsia="es-MX"/>
    </w:rPr>
  </w:style>
  <w:style w:type="paragraph" w:styleId="Ttulo3">
    <w:name w:val="heading 3"/>
    <w:basedOn w:val="Normal"/>
    <w:link w:val="Ttulo3Car"/>
    <w:uiPriority w:val="9"/>
    <w:qFormat/>
    <w:rsid w:val="00CC2E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C2E4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Refdecomentario">
    <w:name w:val="annotation reference"/>
    <w:basedOn w:val="Fuentedeprrafopredeter"/>
    <w:uiPriority w:val="99"/>
    <w:rsid w:val="00CC2E4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2E47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2E47"/>
    <w:rPr>
      <w:rFonts w:ascii="Tahoma" w:hAnsi="Tahoma" w:cs="Tahoma"/>
      <w:sz w:val="16"/>
      <w:szCs w:val="20"/>
      <w:lang w:val="en-US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2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2E47"/>
    <w:rPr>
      <w:rFonts w:ascii="Segoe UI" w:hAnsi="Segoe UI" w:cs="Segoe UI"/>
      <w:sz w:val="18"/>
      <w:szCs w:val="18"/>
      <w:lang w:val="en-US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2E4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2E47"/>
    <w:rPr>
      <w:rFonts w:ascii="Tahoma" w:hAnsi="Tahoma" w:cs="Tahoma"/>
      <w:b/>
      <w:bCs/>
      <w:sz w:val="16"/>
      <w:szCs w:val="20"/>
      <w:lang w:val="en-US" w:eastAsia="es-MX"/>
    </w:rPr>
  </w:style>
  <w:style w:type="paragraph" w:styleId="Revisin">
    <w:name w:val="Revision"/>
    <w:hidden/>
    <w:uiPriority w:val="99"/>
    <w:semiHidden/>
    <w:rsid w:val="00CC2E47"/>
    <w:pPr>
      <w:spacing w:after="0" w:line="240" w:lineRule="auto"/>
    </w:pPr>
    <w:rPr>
      <w:sz w:val="24"/>
      <w:lang w:val="en-US" w:eastAsia="es-MX"/>
    </w:rPr>
  </w:style>
  <w:style w:type="paragraph" w:customStyle="1" w:styleId="Default">
    <w:name w:val="Default"/>
    <w:rsid w:val="00CC2E47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C2E4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C2E4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C2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CC2E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2E47"/>
    <w:rPr>
      <w:sz w:val="24"/>
      <w:lang w:val="en-US" w:eastAsia="es-MX"/>
    </w:rPr>
  </w:style>
  <w:style w:type="paragraph" w:styleId="Piedepgina">
    <w:name w:val="footer"/>
    <w:basedOn w:val="Normal"/>
    <w:link w:val="PiedepginaCar"/>
    <w:uiPriority w:val="99"/>
    <w:unhideWhenUsed/>
    <w:rsid w:val="00CC2E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2E47"/>
    <w:rPr>
      <w:sz w:val="24"/>
      <w:lang w:val="en-US" w:eastAsia="es-MX"/>
    </w:rPr>
  </w:style>
  <w:style w:type="character" w:styleId="Nmerodelnea">
    <w:name w:val="line number"/>
    <w:basedOn w:val="Fuentedeprrafopredeter"/>
    <w:uiPriority w:val="99"/>
    <w:semiHidden/>
    <w:unhideWhenUsed/>
    <w:rsid w:val="00CC2E47"/>
  </w:style>
  <w:style w:type="character" w:styleId="Hipervnculovisitado">
    <w:name w:val="FollowedHyperlink"/>
    <w:basedOn w:val="Fuentedeprrafopredeter"/>
    <w:uiPriority w:val="99"/>
    <w:semiHidden/>
    <w:unhideWhenUsed/>
    <w:rsid w:val="00CC2E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E47"/>
    <w:pPr>
      <w:spacing w:after="180" w:line="274" w:lineRule="auto"/>
    </w:pPr>
    <w:rPr>
      <w:sz w:val="24"/>
      <w:lang w:val="en-US" w:eastAsia="es-MX"/>
    </w:rPr>
  </w:style>
  <w:style w:type="paragraph" w:styleId="Ttulo3">
    <w:name w:val="heading 3"/>
    <w:basedOn w:val="Normal"/>
    <w:link w:val="Ttulo3Car"/>
    <w:uiPriority w:val="9"/>
    <w:qFormat/>
    <w:rsid w:val="00CC2E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C2E4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Refdecomentario">
    <w:name w:val="annotation reference"/>
    <w:basedOn w:val="Fuentedeprrafopredeter"/>
    <w:uiPriority w:val="99"/>
    <w:rsid w:val="00CC2E4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2E47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2E47"/>
    <w:rPr>
      <w:rFonts w:ascii="Tahoma" w:hAnsi="Tahoma" w:cs="Tahoma"/>
      <w:sz w:val="16"/>
      <w:szCs w:val="20"/>
      <w:lang w:val="en-US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2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2E47"/>
    <w:rPr>
      <w:rFonts w:ascii="Segoe UI" w:hAnsi="Segoe UI" w:cs="Segoe UI"/>
      <w:sz w:val="18"/>
      <w:szCs w:val="18"/>
      <w:lang w:val="en-US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2E4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2E47"/>
    <w:rPr>
      <w:rFonts w:ascii="Tahoma" w:hAnsi="Tahoma" w:cs="Tahoma"/>
      <w:b/>
      <w:bCs/>
      <w:sz w:val="16"/>
      <w:szCs w:val="20"/>
      <w:lang w:val="en-US" w:eastAsia="es-MX"/>
    </w:rPr>
  </w:style>
  <w:style w:type="paragraph" w:styleId="Revisin">
    <w:name w:val="Revision"/>
    <w:hidden/>
    <w:uiPriority w:val="99"/>
    <w:semiHidden/>
    <w:rsid w:val="00CC2E47"/>
    <w:pPr>
      <w:spacing w:after="0" w:line="240" w:lineRule="auto"/>
    </w:pPr>
    <w:rPr>
      <w:sz w:val="24"/>
      <w:lang w:val="en-US" w:eastAsia="es-MX"/>
    </w:rPr>
  </w:style>
  <w:style w:type="paragraph" w:customStyle="1" w:styleId="Default">
    <w:name w:val="Default"/>
    <w:rsid w:val="00CC2E47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C2E4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C2E4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C2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CC2E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2E47"/>
    <w:rPr>
      <w:sz w:val="24"/>
      <w:lang w:val="en-US" w:eastAsia="es-MX"/>
    </w:rPr>
  </w:style>
  <w:style w:type="paragraph" w:styleId="Piedepgina">
    <w:name w:val="footer"/>
    <w:basedOn w:val="Normal"/>
    <w:link w:val="PiedepginaCar"/>
    <w:uiPriority w:val="99"/>
    <w:unhideWhenUsed/>
    <w:rsid w:val="00CC2E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2E47"/>
    <w:rPr>
      <w:sz w:val="24"/>
      <w:lang w:val="en-US" w:eastAsia="es-MX"/>
    </w:rPr>
  </w:style>
  <w:style w:type="character" w:styleId="Nmerodelnea">
    <w:name w:val="line number"/>
    <w:basedOn w:val="Fuentedeprrafopredeter"/>
    <w:uiPriority w:val="99"/>
    <w:semiHidden/>
    <w:unhideWhenUsed/>
    <w:rsid w:val="00CC2E47"/>
  </w:style>
  <w:style w:type="character" w:styleId="Hipervnculovisitado">
    <w:name w:val="FollowedHyperlink"/>
    <w:basedOn w:val="Fuentedeprrafopredeter"/>
    <w:uiPriority w:val="99"/>
    <w:semiHidden/>
    <w:unhideWhenUsed/>
    <w:rsid w:val="00CC2E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1348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Dra. Bobadilla</dc:creator>
  <cp:lastModifiedBy>Dra. Bobadilla</cp:lastModifiedBy>
  <cp:revision>1</cp:revision>
  <dcterms:created xsi:type="dcterms:W3CDTF">2022-11-16T16:20:00Z</dcterms:created>
  <dcterms:modified xsi:type="dcterms:W3CDTF">2022-11-16T16:22:00Z</dcterms:modified>
</cp:coreProperties>
</file>