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B48F75" w14:textId="794AAF1D" w:rsidR="00904BAE" w:rsidRDefault="00904BAE" w:rsidP="002E6C36">
      <w:pPr>
        <w:rPr>
          <w:b/>
          <w:bCs/>
          <w:lang w:val="en-US"/>
        </w:rPr>
      </w:pPr>
      <w:r>
        <w:rPr>
          <w:b/>
          <w:bCs/>
          <w:noProof/>
          <w:lang w:eastAsia="nl-NL"/>
        </w:rPr>
        <w:drawing>
          <wp:inline distT="0" distB="0" distL="0" distR="0" wp14:anchorId="412CE60B" wp14:editId="30FF0316">
            <wp:extent cx="5760720" cy="6515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4" cstate="print">
                      <a:extLst>
                        <a:ext uri="{28A0092B-C50C-407E-A947-70E740481C1C}">
                          <a14:useLocalDpi xmlns:a14="http://schemas.microsoft.com/office/drawing/2010/main" val="0"/>
                        </a:ext>
                      </a:extLst>
                    </a:blip>
                    <a:srcRect b="20031"/>
                    <a:stretch/>
                  </pic:blipFill>
                  <pic:spPr bwMode="auto">
                    <a:xfrm>
                      <a:off x="0" y="0"/>
                      <a:ext cx="5760720" cy="6515100"/>
                    </a:xfrm>
                    <a:prstGeom prst="rect">
                      <a:avLst/>
                    </a:prstGeom>
                    <a:ln>
                      <a:noFill/>
                    </a:ln>
                    <a:extLst>
                      <a:ext uri="{53640926-AAD7-44D8-BBD7-CCE9431645EC}">
                        <a14:shadowObscured xmlns:a14="http://schemas.microsoft.com/office/drawing/2010/main"/>
                      </a:ext>
                    </a:extLst>
                  </pic:spPr>
                </pic:pic>
              </a:graphicData>
            </a:graphic>
          </wp:inline>
        </w:drawing>
      </w:r>
    </w:p>
    <w:p w14:paraId="140E3FF4" w14:textId="5903B7F1" w:rsidR="001E62CA" w:rsidRDefault="00EC4C77" w:rsidP="002E6C36">
      <w:pPr>
        <w:rPr>
          <w:lang w:val="en-US"/>
        </w:rPr>
      </w:pPr>
      <w:r>
        <w:rPr>
          <w:b/>
          <w:bCs/>
          <w:lang w:val="en-US"/>
        </w:rPr>
        <w:t>Su</w:t>
      </w:r>
      <w:r w:rsidR="001E62CA" w:rsidRPr="001E62CA">
        <w:rPr>
          <w:b/>
          <w:bCs/>
          <w:lang w:val="en-US"/>
        </w:rPr>
        <w:t>pplementary Figure 1.</w:t>
      </w:r>
      <w:r w:rsidR="001E62CA" w:rsidRPr="001E62CA">
        <w:rPr>
          <w:lang w:val="en-US"/>
        </w:rPr>
        <w:t xml:space="preserve"> </w:t>
      </w:r>
      <w:r w:rsidR="001E62CA" w:rsidRPr="006621ED">
        <w:rPr>
          <w:b/>
          <w:bCs/>
          <w:lang w:val="en-US"/>
        </w:rPr>
        <w:t xml:space="preserve">Binding levels of AR3C-class </w:t>
      </w:r>
      <w:proofErr w:type="spellStart"/>
      <w:r w:rsidR="001E62CA" w:rsidRPr="006621ED">
        <w:rPr>
          <w:b/>
          <w:bCs/>
          <w:lang w:val="en-US"/>
        </w:rPr>
        <w:t>bNAbs</w:t>
      </w:r>
      <w:proofErr w:type="spellEnd"/>
      <w:r w:rsidR="001E62CA" w:rsidRPr="006621ED">
        <w:rPr>
          <w:b/>
          <w:bCs/>
          <w:lang w:val="en-US"/>
        </w:rPr>
        <w:t xml:space="preserve"> </w:t>
      </w:r>
      <w:r w:rsidR="001E62CA" w:rsidRPr="001E62CA">
        <w:rPr>
          <w:b/>
          <w:bCs/>
          <w:lang w:val="en-US"/>
        </w:rPr>
        <w:t>(a)</w:t>
      </w:r>
      <w:r w:rsidR="001E62CA" w:rsidRPr="001E62CA">
        <w:rPr>
          <w:lang w:val="en-US"/>
        </w:rPr>
        <w:t xml:space="preserve"> Sequences of the </w:t>
      </w:r>
      <w:r w:rsidR="009A7161">
        <w:rPr>
          <w:lang w:val="en-US"/>
        </w:rPr>
        <w:t>HC</w:t>
      </w:r>
      <w:r w:rsidR="001E62CA" w:rsidRPr="001E62CA">
        <w:rPr>
          <w:lang w:val="en-US"/>
        </w:rPr>
        <w:t xml:space="preserve"> of the different antibodies aligned. CDRs are color-labelled. Sequences are numbered using Kabat numbering. </w:t>
      </w:r>
      <w:r w:rsidR="001E62CA" w:rsidRPr="001E62CA">
        <w:rPr>
          <w:b/>
          <w:bCs/>
          <w:lang w:val="en-US"/>
        </w:rPr>
        <w:t>(b)</w:t>
      </w:r>
      <w:r w:rsidR="001E62CA" w:rsidRPr="001E62CA">
        <w:rPr>
          <w:lang w:val="en-US"/>
        </w:rPr>
        <w:t xml:space="preserve"> Binding of mature AR3C-class </w:t>
      </w:r>
      <w:proofErr w:type="spellStart"/>
      <w:r w:rsidR="001E62CA" w:rsidRPr="001E62CA">
        <w:rPr>
          <w:lang w:val="en-US"/>
        </w:rPr>
        <w:t>bNAbs</w:t>
      </w:r>
      <w:proofErr w:type="spellEnd"/>
      <w:r w:rsidR="001E62CA" w:rsidRPr="001E62CA">
        <w:rPr>
          <w:lang w:val="en-US"/>
        </w:rPr>
        <w:t xml:space="preserve"> and </w:t>
      </w:r>
      <w:r w:rsidR="001E62CA" w:rsidRPr="001E62CA">
        <w:rPr>
          <w:b/>
          <w:bCs/>
          <w:lang w:val="en-US"/>
        </w:rPr>
        <w:t>(c)</w:t>
      </w:r>
      <w:r w:rsidR="001E62CA" w:rsidRPr="001E62CA">
        <w:rPr>
          <w:lang w:val="en-US"/>
        </w:rPr>
        <w:t xml:space="preserve"> their inferred germline predecessors against seven different strains of HCV (genotypes 1-6). ELISA binding signals are represented as area under the curve (AUC) normalized to AP33 loading control (y-axis) for both germline and mature </w:t>
      </w:r>
      <w:proofErr w:type="spellStart"/>
      <w:r w:rsidR="001E62CA" w:rsidRPr="001E62CA">
        <w:rPr>
          <w:lang w:val="en-US"/>
        </w:rPr>
        <w:t>bNAbs</w:t>
      </w:r>
      <w:proofErr w:type="spellEnd"/>
      <w:r w:rsidR="001E62CA" w:rsidRPr="001E62CA">
        <w:rPr>
          <w:lang w:val="en-US"/>
        </w:rPr>
        <w:t xml:space="preserve"> (x-axis).  </w:t>
      </w:r>
    </w:p>
    <w:p w14:paraId="0868D193" w14:textId="4936A50A" w:rsidR="005038B0" w:rsidRDefault="005038B0" w:rsidP="002E6C36">
      <w:pPr>
        <w:rPr>
          <w:lang w:val="en-US"/>
        </w:rPr>
      </w:pPr>
      <w:r>
        <w:rPr>
          <w:lang w:val="en-US"/>
        </w:rPr>
        <w:br w:type="page"/>
      </w:r>
    </w:p>
    <w:p w14:paraId="36B8B7C4" w14:textId="2CEF86BD" w:rsidR="00F15D00" w:rsidRDefault="00904BAE" w:rsidP="002E6C36">
      <w:pPr>
        <w:rPr>
          <w:b/>
          <w:bCs/>
          <w:lang w:val="en-US"/>
        </w:rPr>
      </w:pPr>
      <w:r>
        <w:rPr>
          <w:b/>
          <w:bCs/>
          <w:noProof/>
          <w:lang w:eastAsia="nl-NL"/>
        </w:rPr>
        <w:lastRenderedPageBreak/>
        <w:drawing>
          <wp:inline distT="0" distB="0" distL="0" distR="0" wp14:anchorId="7C10D2DA" wp14:editId="71ED8ADE">
            <wp:extent cx="5266816" cy="74485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254" cy="7459069"/>
                    </a:xfrm>
                    <a:prstGeom prst="rect">
                      <a:avLst/>
                    </a:prstGeom>
                  </pic:spPr>
                </pic:pic>
              </a:graphicData>
            </a:graphic>
          </wp:inline>
        </w:drawing>
      </w:r>
    </w:p>
    <w:p w14:paraId="0AA50D0B" w14:textId="66F70C9B" w:rsidR="00F921D3" w:rsidRDefault="006621ED" w:rsidP="002E6C36">
      <w:pPr>
        <w:rPr>
          <w:lang w:val="en-US"/>
        </w:rPr>
      </w:pPr>
      <w:r w:rsidRPr="006621ED">
        <w:rPr>
          <w:b/>
          <w:bCs/>
          <w:lang w:val="en-US"/>
        </w:rPr>
        <w:t xml:space="preserve">Supplementary Figure 2. Neutralization capacity of AR3C-class </w:t>
      </w:r>
      <w:proofErr w:type="spellStart"/>
      <w:r w:rsidRPr="006621ED">
        <w:rPr>
          <w:b/>
          <w:bCs/>
          <w:lang w:val="en-US"/>
        </w:rPr>
        <w:t>bNAbs</w:t>
      </w:r>
      <w:proofErr w:type="spellEnd"/>
      <w:r w:rsidRPr="006621ED">
        <w:rPr>
          <w:b/>
          <w:bCs/>
          <w:lang w:val="en-US"/>
        </w:rPr>
        <w:t>.</w:t>
      </w:r>
      <w:r w:rsidRPr="006621ED">
        <w:rPr>
          <w:lang w:val="en-US"/>
        </w:rPr>
        <w:t xml:space="preserve"> Neutralization I</w:t>
      </w:r>
      <w:r>
        <w:rPr>
          <w:lang w:val="en-US"/>
        </w:rPr>
        <w:t>C</w:t>
      </w:r>
      <w:r w:rsidRPr="006621ED">
        <w:rPr>
          <w:vertAlign w:val="subscript"/>
          <w:lang w:val="en-US"/>
        </w:rPr>
        <w:t>50</w:t>
      </w:r>
      <w:r w:rsidRPr="006621ED">
        <w:rPr>
          <w:lang w:val="en-US"/>
        </w:rPr>
        <w:t xml:space="preserve"> titers of AR3A, AR3C and HEPC74 </w:t>
      </w:r>
      <w:r w:rsidRPr="006621ED">
        <w:rPr>
          <w:b/>
          <w:bCs/>
          <w:lang w:val="en-US"/>
        </w:rPr>
        <w:t>(a)</w:t>
      </w:r>
      <w:r w:rsidRPr="006621ED">
        <w:rPr>
          <w:lang w:val="en-US"/>
        </w:rPr>
        <w:t xml:space="preserve"> and </w:t>
      </w:r>
      <w:r>
        <w:rPr>
          <w:lang w:val="en-US"/>
        </w:rPr>
        <w:t>gl-</w:t>
      </w:r>
      <w:r w:rsidRPr="006621ED">
        <w:rPr>
          <w:lang w:val="en-US"/>
        </w:rPr>
        <w:t xml:space="preserve">AR3A, </w:t>
      </w:r>
      <w:r>
        <w:rPr>
          <w:lang w:val="en-US"/>
        </w:rPr>
        <w:t>gl-</w:t>
      </w:r>
      <w:r w:rsidRPr="006621ED">
        <w:rPr>
          <w:lang w:val="en-US"/>
        </w:rPr>
        <w:t xml:space="preserve">AR3C and </w:t>
      </w:r>
      <w:r>
        <w:rPr>
          <w:lang w:val="en-US"/>
        </w:rPr>
        <w:t>gl-</w:t>
      </w:r>
      <w:r w:rsidRPr="006621ED">
        <w:rPr>
          <w:lang w:val="en-US"/>
        </w:rPr>
        <w:t xml:space="preserve">HEPC74 </w:t>
      </w:r>
      <w:r w:rsidRPr="006621ED">
        <w:rPr>
          <w:b/>
          <w:bCs/>
          <w:lang w:val="en-US"/>
        </w:rPr>
        <w:t>(b)</w:t>
      </w:r>
      <w:r w:rsidRPr="006621ED">
        <w:rPr>
          <w:lang w:val="en-US"/>
        </w:rPr>
        <w:t xml:space="preserve"> against </w:t>
      </w:r>
      <w:proofErr w:type="spellStart"/>
      <w:r w:rsidRPr="006621ED">
        <w:rPr>
          <w:lang w:val="en-US"/>
        </w:rPr>
        <w:t>HCVpp</w:t>
      </w:r>
      <w:proofErr w:type="spellEnd"/>
      <w:r w:rsidRPr="006621ED">
        <w:rPr>
          <w:lang w:val="en-US"/>
        </w:rPr>
        <w:t xml:space="preserve"> clones derived from seven different strains (genotypes 1-6). </w:t>
      </w:r>
      <w:r w:rsidRPr="006621ED">
        <w:rPr>
          <w:b/>
          <w:bCs/>
          <w:lang w:val="en-US"/>
        </w:rPr>
        <w:t>(c)</w:t>
      </w:r>
      <w:r w:rsidRPr="006621ED">
        <w:rPr>
          <w:lang w:val="en-US"/>
        </w:rPr>
        <w:t xml:space="preserve"> A scatter plot of neutralization titer (IC</w:t>
      </w:r>
      <w:r w:rsidRPr="006621ED">
        <w:rPr>
          <w:vertAlign w:val="subscript"/>
          <w:lang w:val="en-US"/>
        </w:rPr>
        <w:t>50</w:t>
      </w:r>
      <w:r w:rsidRPr="006621ED">
        <w:rPr>
          <w:lang w:val="en-US"/>
        </w:rPr>
        <w:t xml:space="preserve">) of AR3A, AR3C and HEPC74 and their germline precursors against </w:t>
      </w:r>
      <w:proofErr w:type="spellStart"/>
      <w:r w:rsidRPr="006621ED">
        <w:rPr>
          <w:lang w:val="en-US"/>
        </w:rPr>
        <w:t>HCVpp</w:t>
      </w:r>
      <w:proofErr w:type="spellEnd"/>
      <w:r w:rsidRPr="006621ED">
        <w:rPr>
          <w:lang w:val="en-US"/>
        </w:rPr>
        <w:t xml:space="preserve"> clones (y-axis) vs. binding (AUC) against the sequence-matched E2E1 </w:t>
      </w:r>
      <w:r w:rsidR="00EF7B3D">
        <w:rPr>
          <w:lang w:val="en-US"/>
        </w:rPr>
        <w:t xml:space="preserve">trimers </w:t>
      </w:r>
      <w:r w:rsidRPr="006621ED">
        <w:rPr>
          <w:lang w:val="en-US"/>
        </w:rPr>
        <w:t xml:space="preserve">(x-axis). Spearman correlation (r) and P values were computed </w:t>
      </w:r>
      <w:r w:rsidR="00EF7B3D">
        <w:rPr>
          <w:lang w:val="en-US"/>
        </w:rPr>
        <w:t>i</w:t>
      </w:r>
      <w:r w:rsidRPr="006621ED">
        <w:rPr>
          <w:lang w:val="en-US"/>
        </w:rPr>
        <w:t xml:space="preserve">n </w:t>
      </w:r>
      <w:proofErr w:type="spellStart"/>
      <w:r w:rsidRPr="006621ED">
        <w:rPr>
          <w:lang w:val="en-US"/>
        </w:rPr>
        <w:t>Rstudio</w:t>
      </w:r>
      <w:proofErr w:type="spellEnd"/>
      <w:r w:rsidRPr="006621ED">
        <w:rPr>
          <w:lang w:val="en-US"/>
        </w:rPr>
        <w:t xml:space="preserve"> (R version 4.0.4).</w:t>
      </w:r>
      <w:r>
        <w:rPr>
          <w:lang w:val="en-US"/>
        </w:rPr>
        <w:t xml:space="preserve"> </w:t>
      </w:r>
      <w:r w:rsidRPr="006621ED">
        <w:rPr>
          <w:b/>
          <w:bCs/>
          <w:lang w:val="en-US"/>
        </w:rPr>
        <w:t>(d)</w:t>
      </w:r>
      <w:r w:rsidRPr="006621ED">
        <w:rPr>
          <w:lang w:val="en-US"/>
        </w:rPr>
        <w:t xml:space="preserve"> </w:t>
      </w:r>
      <w:r w:rsidR="00EF7B3D">
        <w:rPr>
          <w:lang w:val="en-US"/>
        </w:rPr>
        <w:t>Individual c</w:t>
      </w:r>
      <w:r w:rsidRPr="006621ED">
        <w:rPr>
          <w:lang w:val="en-US"/>
        </w:rPr>
        <w:t>ross-comparison</w:t>
      </w:r>
      <w:r w:rsidR="00EF7B3D">
        <w:rPr>
          <w:lang w:val="en-US"/>
        </w:rPr>
        <w:t xml:space="preserve">s grouped per antibody from </w:t>
      </w:r>
      <w:r w:rsidR="00EF7B3D" w:rsidRPr="007522D2">
        <w:rPr>
          <w:i/>
          <w:iCs/>
          <w:lang w:val="en-US"/>
        </w:rPr>
        <w:t>c</w:t>
      </w:r>
      <w:r w:rsidR="00EF7B3D">
        <w:rPr>
          <w:lang w:val="en-US"/>
        </w:rPr>
        <w:t>.</w:t>
      </w:r>
      <w:r w:rsidRPr="006621ED">
        <w:rPr>
          <w:lang w:val="en-US"/>
        </w:rPr>
        <w:t xml:space="preserve"> </w:t>
      </w:r>
    </w:p>
    <w:p w14:paraId="47F0A07D" w14:textId="224786A5" w:rsidR="005038B0" w:rsidRDefault="00F921D3" w:rsidP="002E6C36">
      <w:pPr>
        <w:rPr>
          <w:lang w:val="en-US"/>
        </w:rPr>
      </w:pPr>
      <w:r>
        <w:rPr>
          <w:lang w:val="en-US"/>
        </w:rPr>
        <w:br w:type="page"/>
      </w:r>
      <w:r w:rsidR="00E727B7">
        <w:rPr>
          <w:noProof/>
          <w:lang w:eastAsia="nl-NL"/>
        </w:rPr>
        <w:lastRenderedPageBreak/>
        <w:drawing>
          <wp:inline distT="0" distB="0" distL="0" distR="0" wp14:anchorId="54A0B16C" wp14:editId="7D6EF2A2">
            <wp:extent cx="5760720" cy="5008729"/>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 F3.png"/>
                    <pic:cNvPicPr/>
                  </pic:nvPicPr>
                  <pic:blipFill rotWithShape="1">
                    <a:blip r:embed="rId6" cstate="print">
                      <a:extLst>
                        <a:ext uri="{28A0092B-C50C-407E-A947-70E740481C1C}">
                          <a14:useLocalDpi xmlns:a14="http://schemas.microsoft.com/office/drawing/2010/main" val="0"/>
                        </a:ext>
                      </a:extLst>
                    </a:blip>
                    <a:srcRect b="38521"/>
                    <a:stretch/>
                  </pic:blipFill>
                  <pic:spPr bwMode="auto">
                    <a:xfrm>
                      <a:off x="0" y="0"/>
                      <a:ext cx="5760720" cy="5008729"/>
                    </a:xfrm>
                    <a:prstGeom prst="rect">
                      <a:avLst/>
                    </a:prstGeom>
                    <a:ln>
                      <a:noFill/>
                    </a:ln>
                    <a:extLst>
                      <a:ext uri="{53640926-AAD7-44D8-BBD7-CCE9431645EC}">
                        <a14:shadowObscured xmlns:a14="http://schemas.microsoft.com/office/drawing/2010/main"/>
                      </a:ext>
                    </a:extLst>
                  </pic:spPr>
                </pic:pic>
              </a:graphicData>
            </a:graphic>
          </wp:inline>
        </w:drawing>
      </w:r>
    </w:p>
    <w:p w14:paraId="5ABA0F9B" w14:textId="58D1C1B0" w:rsidR="005038B0" w:rsidRDefault="005038B0" w:rsidP="002E6C36">
      <w:pPr>
        <w:rPr>
          <w:lang w:val="en-US"/>
        </w:rPr>
      </w:pPr>
      <w:r w:rsidRPr="005038B0">
        <w:rPr>
          <w:b/>
          <w:bCs/>
          <w:lang w:val="en-US"/>
        </w:rPr>
        <w:t>Supplementary Figure 3. Selection and binding of generated (</w:t>
      </w:r>
      <w:proofErr w:type="spellStart"/>
      <w:r w:rsidRPr="005038B0">
        <w:rPr>
          <w:b/>
          <w:bCs/>
          <w:lang w:val="en-US"/>
        </w:rPr>
        <w:t>gl</w:t>
      </w:r>
      <w:proofErr w:type="spellEnd"/>
      <w:r w:rsidRPr="005038B0">
        <w:rPr>
          <w:b/>
          <w:bCs/>
          <w:lang w:val="en-US"/>
        </w:rPr>
        <w:t>-)AR3C and (</w:t>
      </w:r>
      <w:proofErr w:type="spellStart"/>
      <w:r w:rsidRPr="005038B0">
        <w:rPr>
          <w:b/>
          <w:bCs/>
          <w:lang w:val="en-US"/>
        </w:rPr>
        <w:t>gl</w:t>
      </w:r>
      <w:proofErr w:type="spellEnd"/>
      <w:r w:rsidRPr="005038B0">
        <w:rPr>
          <w:b/>
          <w:bCs/>
          <w:lang w:val="en-US"/>
        </w:rPr>
        <w:t>-)HEPC74 B cells to HCV E2E1 trimers. (a)</w:t>
      </w:r>
      <w:r w:rsidRPr="005038B0">
        <w:rPr>
          <w:lang w:val="en-US"/>
        </w:rPr>
        <w:t xml:space="preserve"> Gating strate</w:t>
      </w:r>
      <w:r w:rsidR="00122310">
        <w:rPr>
          <w:lang w:val="en-US"/>
        </w:rPr>
        <w:t>g</w:t>
      </w:r>
      <w:r w:rsidRPr="005038B0">
        <w:rPr>
          <w:lang w:val="en-US"/>
        </w:rPr>
        <w:t>y to identify live (via-) B cells expressing the transduced BCR (GFP+/IgG+).</w:t>
      </w:r>
      <w:r w:rsidR="00597BEE">
        <w:rPr>
          <w:lang w:val="en-US"/>
        </w:rPr>
        <w:t xml:space="preserve"> Same as in Sliepen et al, accepted.</w:t>
      </w:r>
      <w:bookmarkStart w:id="0" w:name="_GoBack"/>
      <w:bookmarkEnd w:id="0"/>
      <w:r w:rsidRPr="005038B0">
        <w:rPr>
          <w:lang w:val="en-US"/>
        </w:rPr>
        <w:t xml:space="preserve"> </w:t>
      </w:r>
      <w:r w:rsidRPr="005038B0">
        <w:rPr>
          <w:b/>
          <w:bCs/>
          <w:lang w:val="en-US"/>
        </w:rPr>
        <w:t>(b)</w:t>
      </w:r>
      <w:r w:rsidRPr="005038B0">
        <w:rPr>
          <w:lang w:val="en-US"/>
        </w:rPr>
        <w:t xml:space="preserve"> Antigen specificity of Ramos B cells designed to express AR3C, gl-AR3C, HEPC74, or gl-HEPC74 to H77 (left) and UKNP4.1.1 (right) E2E1. The numbers inside the boxes represent the frequency (%) of cells in a gate.</w:t>
      </w:r>
    </w:p>
    <w:p w14:paraId="1455BD59" w14:textId="77777777" w:rsidR="005038B0" w:rsidRDefault="005038B0" w:rsidP="002E6C36">
      <w:pPr>
        <w:rPr>
          <w:lang w:val="en-US"/>
        </w:rPr>
      </w:pPr>
      <w:r>
        <w:rPr>
          <w:lang w:val="en-US"/>
        </w:rPr>
        <w:br w:type="page"/>
      </w:r>
    </w:p>
    <w:p w14:paraId="073DEA5C" w14:textId="60FE9E93" w:rsidR="009A7161" w:rsidRDefault="00E727B7" w:rsidP="002E6C36">
      <w:pPr>
        <w:rPr>
          <w:b/>
          <w:bCs/>
          <w:lang w:val="en-US"/>
        </w:rPr>
      </w:pPr>
      <w:r>
        <w:rPr>
          <w:b/>
          <w:bCs/>
          <w:noProof/>
          <w:lang w:eastAsia="nl-NL"/>
        </w:rPr>
        <w:lastRenderedPageBreak/>
        <w:drawing>
          <wp:inline distT="0" distB="0" distL="0" distR="0" wp14:anchorId="23166969" wp14:editId="2268C63D">
            <wp:extent cx="5404131" cy="7642747"/>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 F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5414" cy="7644562"/>
                    </a:xfrm>
                    <a:prstGeom prst="rect">
                      <a:avLst/>
                    </a:prstGeom>
                  </pic:spPr>
                </pic:pic>
              </a:graphicData>
            </a:graphic>
          </wp:inline>
        </w:drawing>
      </w:r>
    </w:p>
    <w:p w14:paraId="775FF310" w14:textId="14D75EDD" w:rsidR="002E6C36" w:rsidRDefault="002E6C36" w:rsidP="002E6C36">
      <w:pPr>
        <w:rPr>
          <w:lang w:val="en-US"/>
        </w:rPr>
      </w:pPr>
      <w:r w:rsidRPr="002E6C36">
        <w:rPr>
          <w:b/>
          <w:bCs/>
          <w:lang w:val="en-US"/>
        </w:rPr>
        <w:t>Supplementary Figure 4.</w:t>
      </w:r>
      <w:r>
        <w:rPr>
          <w:b/>
          <w:bCs/>
          <w:lang w:val="en-US"/>
        </w:rPr>
        <w:t xml:space="preserve"> Chimeric antibody gels.</w:t>
      </w:r>
      <w:r w:rsidRPr="002E6C36">
        <w:rPr>
          <w:b/>
          <w:bCs/>
          <w:lang w:val="en-US"/>
        </w:rPr>
        <w:t xml:space="preserve"> </w:t>
      </w:r>
      <w:r w:rsidRPr="002E6C36">
        <w:rPr>
          <w:lang w:val="en-US"/>
        </w:rPr>
        <w:t xml:space="preserve">Non-reducing SDS-PAGE gel (left) and reducing SDS-PAGE gel (right) analysis of </w:t>
      </w:r>
      <w:r w:rsidRPr="002E6C36">
        <w:rPr>
          <w:b/>
          <w:bCs/>
          <w:lang w:val="en-US"/>
        </w:rPr>
        <w:t>(a)</w:t>
      </w:r>
      <w:r w:rsidRPr="002E6C36">
        <w:rPr>
          <w:lang w:val="en-US"/>
        </w:rPr>
        <w:t xml:space="preserve"> AR3C and </w:t>
      </w:r>
      <w:r w:rsidRPr="002E6C36">
        <w:rPr>
          <w:b/>
          <w:bCs/>
          <w:lang w:val="en-US"/>
        </w:rPr>
        <w:t>(b)</w:t>
      </w:r>
      <w:r w:rsidRPr="002E6C36">
        <w:rPr>
          <w:lang w:val="en-US"/>
        </w:rPr>
        <w:t xml:space="preserve"> HECP74 antibodies and their chimeric versions combinations with VRC01 HC or LC. </w:t>
      </w:r>
      <w:proofErr w:type="spellStart"/>
      <w:r w:rsidRPr="002E6C36">
        <w:rPr>
          <w:lang w:val="en-US"/>
        </w:rPr>
        <w:t>PageBlue</w:t>
      </w:r>
      <w:proofErr w:type="spellEnd"/>
      <w:r w:rsidRPr="002E6C36">
        <w:rPr>
          <w:lang w:val="en-US"/>
        </w:rPr>
        <w:t xml:space="preserve"> Protein Staining Solution was used to visualize the purified antibodies. The 50 </w:t>
      </w:r>
      <w:proofErr w:type="spellStart"/>
      <w:r w:rsidRPr="002E6C36">
        <w:rPr>
          <w:lang w:val="en-US"/>
        </w:rPr>
        <w:t>kDa</w:t>
      </w:r>
      <w:proofErr w:type="spellEnd"/>
      <w:r w:rsidRPr="002E6C36">
        <w:rPr>
          <w:lang w:val="en-US"/>
        </w:rPr>
        <w:t xml:space="preserve"> and 25 </w:t>
      </w:r>
      <w:proofErr w:type="spellStart"/>
      <w:r w:rsidRPr="002E6C36">
        <w:rPr>
          <w:lang w:val="en-US"/>
        </w:rPr>
        <w:t>kDa</w:t>
      </w:r>
      <w:proofErr w:type="spellEnd"/>
      <w:r w:rsidRPr="002E6C36">
        <w:rPr>
          <w:lang w:val="en-US"/>
        </w:rPr>
        <w:t xml:space="preserve"> marks indicate the approximate apparent molecular weight of HC and LC, respectively.</w:t>
      </w:r>
    </w:p>
    <w:p w14:paraId="773EDB21" w14:textId="2F6C2DEF" w:rsidR="009A7161" w:rsidRDefault="002E6C36" w:rsidP="002E6C36">
      <w:pPr>
        <w:rPr>
          <w:b/>
          <w:bCs/>
          <w:lang w:val="en-US"/>
        </w:rPr>
      </w:pPr>
      <w:r>
        <w:rPr>
          <w:lang w:val="en-US"/>
        </w:rPr>
        <w:br w:type="page"/>
      </w:r>
      <w:r w:rsidR="00E727B7">
        <w:rPr>
          <w:b/>
          <w:bCs/>
          <w:noProof/>
          <w:lang w:eastAsia="nl-NL"/>
        </w:rPr>
        <w:lastRenderedPageBreak/>
        <w:drawing>
          <wp:inline distT="0" distB="0" distL="0" distR="0" wp14:anchorId="642AEB16" wp14:editId="08AD2FF3">
            <wp:extent cx="5404514" cy="7643289"/>
            <wp:effectExtent l="0" t="0" r="571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 F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5476" cy="7644649"/>
                    </a:xfrm>
                    <a:prstGeom prst="rect">
                      <a:avLst/>
                    </a:prstGeom>
                  </pic:spPr>
                </pic:pic>
              </a:graphicData>
            </a:graphic>
          </wp:inline>
        </w:drawing>
      </w:r>
    </w:p>
    <w:p w14:paraId="6B9DB9AF" w14:textId="18C9C4F2" w:rsidR="002E6C36" w:rsidRDefault="002E6C36" w:rsidP="002E6C36">
      <w:pPr>
        <w:rPr>
          <w:lang w:val="en-US"/>
        </w:rPr>
      </w:pPr>
      <w:r w:rsidRPr="002E6C36">
        <w:rPr>
          <w:b/>
          <w:bCs/>
          <w:lang w:val="en-US"/>
        </w:rPr>
        <w:t xml:space="preserve">Supplementary Figure 5. </w:t>
      </w:r>
      <w:r w:rsidRPr="002E6C36">
        <w:rPr>
          <w:lang w:val="en-US"/>
        </w:rPr>
        <w:t xml:space="preserve">Reducing SDS-PAGE gel (left) and non-reducing SDS-PAGE gel analysis (right) of antibodies consisting of </w:t>
      </w:r>
      <w:r w:rsidRPr="002E6C36">
        <w:rPr>
          <w:b/>
          <w:bCs/>
          <w:lang w:val="en-US"/>
        </w:rPr>
        <w:t>(a)</w:t>
      </w:r>
      <w:r w:rsidRPr="002E6C36">
        <w:rPr>
          <w:lang w:val="en-US"/>
        </w:rPr>
        <w:t xml:space="preserve"> gl-AR3C and </w:t>
      </w:r>
      <w:r w:rsidRPr="002E6C36">
        <w:rPr>
          <w:b/>
          <w:bCs/>
          <w:lang w:val="en-US"/>
        </w:rPr>
        <w:t>(b)</w:t>
      </w:r>
      <w:r w:rsidRPr="002E6C36">
        <w:rPr>
          <w:lang w:val="en-US"/>
        </w:rPr>
        <w:t xml:space="preserve"> gl-HECP74 CDRH3 engrafted in different VH backgrounds.  </w:t>
      </w:r>
      <w:proofErr w:type="spellStart"/>
      <w:r w:rsidRPr="002E6C36">
        <w:rPr>
          <w:lang w:val="en-US"/>
        </w:rPr>
        <w:t>PageBlue</w:t>
      </w:r>
      <w:proofErr w:type="spellEnd"/>
      <w:r w:rsidRPr="002E6C36">
        <w:rPr>
          <w:lang w:val="en-US"/>
        </w:rPr>
        <w:t xml:space="preserve"> Protein Staining Solution was used to visualize the purified antib</w:t>
      </w:r>
      <w:r w:rsidR="00EF7B3D">
        <w:rPr>
          <w:lang w:val="en-US"/>
        </w:rPr>
        <w:t>o</w:t>
      </w:r>
      <w:r w:rsidRPr="002E6C36">
        <w:rPr>
          <w:lang w:val="en-US"/>
        </w:rPr>
        <w:t xml:space="preserve">dies. The 50 </w:t>
      </w:r>
      <w:proofErr w:type="spellStart"/>
      <w:r w:rsidRPr="002E6C36">
        <w:rPr>
          <w:lang w:val="en-US"/>
        </w:rPr>
        <w:t>kDa</w:t>
      </w:r>
      <w:proofErr w:type="spellEnd"/>
      <w:r w:rsidRPr="002E6C36">
        <w:rPr>
          <w:lang w:val="en-US"/>
        </w:rPr>
        <w:t xml:space="preserve"> and 25 </w:t>
      </w:r>
      <w:proofErr w:type="spellStart"/>
      <w:r w:rsidRPr="002E6C36">
        <w:rPr>
          <w:lang w:val="en-US"/>
        </w:rPr>
        <w:t>kDa</w:t>
      </w:r>
      <w:proofErr w:type="spellEnd"/>
      <w:r w:rsidRPr="002E6C36">
        <w:rPr>
          <w:lang w:val="en-US"/>
        </w:rPr>
        <w:t xml:space="preserve"> marks indicate the approximate apparent molecular weight of HC and LC, respectively.</w:t>
      </w:r>
    </w:p>
    <w:p w14:paraId="2B3EB7F3" w14:textId="26F30E89" w:rsidR="002E6C36" w:rsidRDefault="002E6C36" w:rsidP="002E6C36">
      <w:pPr>
        <w:rPr>
          <w:lang w:val="en-US"/>
        </w:rPr>
      </w:pPr>
    </w:p>
    <w:p w14:paraId="5344A7E7" w14:textId="1F03D074" w:rsidR="009A7161" w:rsidRDefault="00E727B7" w:rsidP="002E6C36">
      <w:pPr>
        <w:rPr>
          <w:b/>
          <w:bCs/>
          <w:lang w:val="en-US"/>
        </w:rPr>
      </w:pPr>
      <w:r>
        <w:rPr>
          <w:b/>
          <w:bCs/>
          <w:noProof/>
          <w:lang w:eastAsia="nl-NL"/>
        </w:rPr>
        <w:drawing>
          <wp:inline distT="0" distB="0" distL="0" distR="0" wp14:anchorId="7060A35E" wp14:editId="362341AD">
            <wp:extent cx="5760720" cy="5882185"/>
            <wp:effectExtent l="0" t="0" r="0" b="44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p F6.png"/>
                    <pic:cNvPicPr/>
                  </pic:nvPicPr>
                  <pic:blipFill rotWithShape="1">
                    <a:blip r:embed="rId9" cstate="print">
                      <a:extLst>
                        <a:ext uri="{28A0092B-C50C-407E-A947-70E740481C1C}">
                          <a14:useLocalDpi xmlns:a14="http://schemas.microsoft.com/office/drawing/2010/main" val="0"/>
                        </a:ext>
                      </a:extLst>
                    </a:blip>
                    <a:srcRect b="27800"/>
                    <a:stretch/>
                  </pic:blipFill>
                  <pic:spPr bwMode="auto">
                    <a:xfrm>
                      <a:off x="0" y="0"/>
                      <a:ext cx="5760720" cy="5882185"/>
                    </a:xfrm>
                    <a:prstGeom prst="rect">
                      <a:avLst/>
                    </a:prstGeom>
                    <a:ln>
                      <a:noFill/>
                    </a:ln>
                    <a:extLst>
                      <a:ext uri="{53640926-AAD7-44D8-BBD7-CCE9431645EC}">
                        <a14:shadowObscured xmlns:a14="http://schemas.microsoft.com/office/drawing/2010/main"/>
                      </a:ext>
                    </a:extLst>
                  </pic:spPr>
                </pic:pic>
              </a:graphicData>
            </a:graphic>
          </wp:inline>
        </w:drawing>
      </w:r>
    </w:p>
    <w:p w14:paraId="36EF26A9" w14:textId="01DC9C5C" w:rsidR="002E6C36" w:rsidRDefault="002E6C36" w:rsidP="002E6C36">
      <w:pPr>
        <w:rPr>
          <w:lang w:val="en-US"/>
        </w:rPr>
      </w:pPr>
      <w:r w:rsidRPr="002E6C36">
        <w:rPr>
          <w:b/>
          <w:bCs/>
          <w:lang w:val="en-US"/>
        </w:rPr>
        <w:t>Supplementary Figure 6. Modelled effect of G50R mutation on AR3C and HEPC74.</w:t>
      </w:r>
      <w:r w:rsidRPr="002E6C36">
        <w:rPr>
          <w:lang w:val="en-US"/>
        </w:rPr>
        <w:t xml:space="preserve"> Representation of interactions and clashes of G50R in</w:t>
      </w:r>
      <w:r w:rsidR="00EF7B3D">
        <w:rPr>
          <w:lang w:val="en-US"/>
        </w:rPr>
        <w:t xml:space="preserve"> </w:t>
      </w:r>
      <w:r w:rsidRPr="002E6C36">
        <w:rPr>
          <w:lang w:val="en-US"/>
        </w:rPr>
        <w:t>AR3C (top</w:t>
      </w:r>
      <w:r w:rsidR="00E12ED5">
        <w:rPr>
          <w:lang w:val="en-US"/>
        </w:rPr>
        <w:t>, PDB: 4MWF</w:t>
      </w:r>
      <w:r w:rsidRPr="002E6C36">
        <w:rPr>
          <w:lang w:val="en-US"/>
        </w:rPr>
        <w:t>) and HEPC74 (bottom</w:t>
      </w:r>
      <w:r w:rsidR="00E12ED5">
        <w:rPr>
          <w:lang w:val="en-US"/>
        </w:rPr>
        <w:t>, PDB:6MEH)</w:t>
      </w:r>
      <w:r w:rsidRPr="002E6C36">
        <w:rPr>
          <w:lang w:val="en-US"/>
        </w:rPr>
        <w:t xml:space="preserve"> </w:t>
      </w:r>
      <w:r w:rsidR="00EF7B3D">
        <w:rPr>
          <w:lang w:val="en-US"/>
        </w:rPr>
        <w:t xml:space="preserve">Potential </w:t>
      </w:r>
      <w:r w:rsidRPr="002E6C36">
        <w:rPr>
          <w:lang w:val="en-US"/>
        </w:rPr>
        <w:t>interactions between residues are shown</w:t>
      </w:r>
      <w:r w:rsidR="00EF7B3D">
        <w:rPr>
          <w:lang w:val="en-US"/>
        </w:rPr>
        <w:t xml:space="preserve"> in dotted green lines</w:t>
      </w:r>
      <w:r w:rsidRPr="002E6C36">
        <w:rPr>
          <w:lang w:val="en-US"/>
        </w:rPr>
        <w:t xml:space="preserve"> and in grey the mutation G50R is modelled with possible clashes in purple. Residues are labelled according to Kabat numbering</w:t>
      </w:r>
      <w:r w:rsidR="00E12ED5">
        <w:rPr>
          <w:lang w:val="en-US"/>
        </w:rPr>
        <w:t xml:space="preserve">. </w:t>
      </w:r>
    </w:p>
    <w:p w14:paraId="34182AA9" w14:textId="4132C04C" w:rsidR="002E6C36" w:rsidRDefault="002E6C36" w:rsidP="002E6C36">
      <w:pPr>
        <w:rPr>
          <w:lang w:val="en-US"/>
        </w:rPr>
      </w:pPr>
      <w:r>
        <w:rPr>
          <w:lang w:val="en-US"/>
        </w:rPr>
        <w:br w:type="page"/>
      </w:r>
    </w:p>
    <w:p w14:paraId="76EE9B4A" w14:textId="78F22309" w:rsidR="009A7161" w:rsidRDefault="00904BAE" w:rsidP="002E6C36">
      <w:pPr>
        <w:rPr>
          <w:b/>
          <w:bCs/>
          <w:lang w:val="en-US"/>
        </w:rPr>
      </w:pPr>
      <w:r>
        <w:rPr>
          <w:b/>
          <w:bCs/>
          <w:noProof/>
          <w:lang w:eastAsia="nl-NL"/>
        </w:rPr>
        <w:lastRenderedPageBreak/>
        <w:drawing>
          <wp:inline distT="0" distB="0" distL="0" distR="0" wp14:anchorId="7C3711D1" wp14:editId="5888DBD9">
            <wp:extent cx="5760720" cy="48958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0" cstate="print">
                      <a:extLst>
                        <a:ext uri="{28A0092B-C50C-407E-A947-70E740481C1C}">
                          <a14:useLocalDpi xmlns:a14="http://schemas.microsoft.com/office/drawing/2010/main" val="0"/>
                        </a:ext>
                      </a:extLst>
                    </a:blip>
                    <a:srcRect b="39907"/>
                    <a:stretch/>
                  </pic:blipFill>
                  <pic:spPr bwMode="auto">
                    <a:xfrm>
                      <a:off x="0" y="0"/>
                      <a:ext cx="5760720" cy="4895850"/>
                    </a:xfrm>
                    <a:prstGeom prst="rect">
                      <a:avLst/>
                    </a:prstGeom>
                    <a:ln>
                      <a:noFill/>
                    </a:ln>
                    <a:extLst>
                      <a:ext uri="{53640926-AAD7-44D8-BBD7-CCE9431645EC}">
                        <a14:shadowObscured xmlns:a14="http://schemas.microsoft.com/office/drawing/2010/main"/>
                      </a:ext>
                    </a:extLst>
                  </pic:spPr>
                </pic:pic>
              </a:graphicData>
            </a:graphic>
          </wp:inline>
        </w:drawing>
      </w:r>
    </w:p>
    <w:p w14:paraId="4945EA8B" w14:textId="18B59470" w:rsidR="00E727B7" w:rsidRDefault="002E6C36" w:rsidP="002E6C36">
      <w:pPr>
        <w:rPr>
          <w:lang w:val="en-US"/>
        </w:rPr>
      </w:pPr>
      <w:r w:rsidRPr="002E6C36">
        <w:rPr>
          <w:b/>
          <w:bCs/>
          <w:lang w:val="en-US"/>
        </w:rPr>
        <w:t xml:space="preserve">Supplementary Figure </w:t>
      </w:r>
      <w:r w:rsidR="00927723">
        <w:rPr>
          <w:b/>
          <w:bCs/>
          <w:lang w:val="en-US"/>
        </w:rPr>
        <w:t>7</w:t>
      </w:r>
      <w:r w:rsidRPr="002E6C36">
        <w:rPr>
          <w:b/>
          <w:bCs/>
          <w:lang w:val="en-US"/>
        </w:rPr>
        <w:t>. CDRH3 soluble peptides.</w:t>
      </w:r>
      <w:r w:rsidRPr="002E6C36">
        <w:rPr>
          <w:lang w:val="en-US"/>
        </w:rPr>
        <w:t xml:space="preserve"> </w:t>
      </w:r>
      <w:r w:rsidRPr="002E6C36">
        <w:rPr>
          <w:b/>
          <w:bCs/>
          <w:lang w:val="en-US"/>
        </w:rPr>
        <w:t>(a)</w:t>
      </w:r>
      <w:r w:rsidRPr="002E6C36">
        <w:rPr>
          <w:lang w:val="en-US"/>
        </w:rPr>
        <w:t xml:space="preserve"> </w:t>
      </w:r>
      <w:r w:rsidR="00EF7B3D">
        <w:rPr>
          <w:lang w:val="en-US"/>
        </w:rPr>
        <w:t xml:space="preserve">Amino acid sequence, length and predicted molecular weight of </w:t>
      </w:r>
      <w:proofErr w:type="spellStart"/>
      <w:r w:rsidRPr="002E6C36">
        <w:rPr>
          <w:lang w:val="en-US"/>
        </w:rPr>
        <w:t>of</w:t>
      </w:r>
      <w:proofErr w:type="spellEnd"/>
      <w:r w:rsidRPr="002E6C36">
        <w:rPr>
          <w:lang w:val="en-US"/>
        </w:rPr>
        <w:t xml:space="preserve"> the </w:t>
      </w:r>
      <w:r w:rsidR="00EF7B3D">
        <w:rPr>
          <w:lang w:val="en-US"/>
        </w:rPr>
        <w:t xml:space="preserve">AR3C, HEPC3 and HEPC74 CDRH3 </w:t>
      </w:r>
      <w:r w:rsidRPr="002E6C36">
        <w:rPr>
          <w:lang w:val="en-US"/>
        </w:rPr>
        <w:t xml:space="preserve">peptides. In bold and underlined, the residues (cysteines) involved in disulfide bridge. </w:t>
      </w:r>
      <w:r w:rsidRPr="002E6C36">
        <w:rPr>
          <w:b/>
          <w:bCs/>
          <w:lang w:val="en-US"/>
        </w:rPr>
        <w:t>(b)</w:t>
      </w:r>
      <w:r w:rsidRPr="002E6C36">
        <w:rPr>
          <w:lang w:val="en-US"/>
        </w:rPr>
        <w:t xml:space="preserve"> </w:t>
      </w:r>
      <w:proofErr w:type="spellStart"/>
      <w:r w:rsidRPr="002E6C36">
        <w:rPr>
          <w:lang w:val="en-US"/>
        </w:rPr>
        <w:t>HCVpp</w:t>
      </w:r>
      <w:proofErr w:type="spellEnd"/>
      <w:r w:rsidRPr="002E6C36">
        <w:rPr>
          <w:lang w:val="en-US"/>
        </w:rPr>
        <w:t xml:space="preserve"> neutralization by AR3C-class CRH3-based peptides. The prototypical lab strain H77 (top) and the clinical isolate UKNP5.2.1 (bottom) were incubated with a serial dilution of IgG or CDRH3 prior to infection. Data are expressed as percent infectivity relative to the wells not preincubated with antibody or peptide and each point is the mean of three replicate values. Error bars indicate the standard deviations between replicate wells. Data were fitted using the log(inhibitor) vs. response (four parameters) function on GraphPad Prism. The dotted line shows the 50% of infectivity (IC</w:t>
      </w:r>
      <w:r w:rsidRPr="002E6C36">
        <w:rPr>
          <w:vertAlign w:val="subscript"/>
          <w:lang w:val="en-US"/>
        </w:rPr>
        <w:t>50</w:t>
      </w:r>
      <w:r w:rsidRPr="002E6C36">
        <w:rPr>
          <w:lang w:val="en-US"/>
        </w:rPr>
        <w:t>) value which are compiled under each graph. NA, not applicable (no curve could be fitted).</w:t>
      </w:r>
    </w:p>
    <w:p w14:paraId="766ED351" w14:textId="77777777" w:rsidR="00E727B7" w:rsidRDefault="00E727B7">
      <w:pPr>
        <w:rPr>
          <w:lang w:val="en-US"/>
        </w:rPr>
      </w:pPr>
      <w:r>
        <w:rPr>
          <w:lang w:val="en-US"/>
        </w:rPr>
        <w:br w:type="page"/>
      </w:r>
    </w:p>
    <w:p w14:paraId="61E1F749" w14:textId="24C5A5A7" w:rsidR="006621ED" w:rsidRDefault="00E727B7" w:rsidP="002E6C36">
      <w:pPr>
        <w:rPr>
          <w:lang w:val="en-US"/>
        </w:rPr>
      </w:pPr>
      <w:r>
        <w:rPr>
          <w:noProof/>
          <w:lang w:eastAsia="nl-NL"/>
        </w:rPr>
        <w:lastRenderedPageBreak/>
        <w:drawing>
          <wp:inline distT="0" distB="0" distL="0" distR="0" wp14:anchorId="08CFC031" wp14:editId="6EA1EDD3">
            <wp:extent cx="5760720" cy="204716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up T1.png"/>
                    <pic:cNvPicPr/>
                  </pic:nvPicPr>
                  <pic:blipFill rotWithShape="1">
                    <a:blip r:embed="rId11" cstate="print">
                      <a:extLst>
                        <a:ext uri="{28A0092B-C50C-407E-A947-70E740481C1C}">
                          <a14:useLocalDpi xmlns:a14="http://schemas.microsoft.com/office/drawing/2010/main" val="0"/>
                        </a:ext>
                      </a:extLst>
                    </a:blip>
                    <a:srcRect b="74872"/>
                    <a:stretch/>
                  </pic:blipFill>
                  <pic:spPr bwMode="auto">
                    <a:xfrm>
                      <a:off x="0" y="0"/>
                      <a:ext cx="5760720" cy="2047164"/>
                    </a:xfrm>
                    <a:prstGeom prst="rect">
                      <a:avLst/>
                    </a:prstGeom>
                    <a:ln>
                      <a:noFill/>
                    </a:ln>
                    <a:extLst>
                      <a:ext uri="{53640926-AAD7-44D8-BBD7-CCE9431645EC}">
                        <a14:shadowObscured xmlns:a14="http://schemas.microsoft.com/office/drawing/2010/main"/>
                      </a:ext>
                    </a:extLst>
                  </pic:spPr>
                </pic:pic>
              </a:graphicData>
            </a:graphic>
          </wp:inline>
        </w:drawing>
      </w:r>
    </w:p>
    <w:p w14:paraId="4D70B290" w14:textId="777F0F4F" w:rsidR="00E727B7" w:rsidRDefault="00E727B7" w:rsidP="002E6C36">
      <w:pPr>
        <w:rPr>
          <w:lang w:val="en-US"/>
        </w:rPr>
      </w:pPr>
    </w:p>
    <w:p w14:paraId="607B3119" w14:textId="6B97EDFB" w:rsidR="00E727B7" w:rsidRPr="009D6E1C" w:rsidRDefault="00E727B7" w:rsidP="002E6C36">
      <w:pPr>
        <w:rPr>
          <w:lang w:val="en-US"/>
        </w:rPr>
      </w:pPr>
      <w:r>
        <w:rPr>
          <w:b/>
          <w:lang w:val="en-US"/>
        </w:rPr>
        <w:t xml:space="preserve">Supplementary Table 1. </w:t>
      </w:r>
      <w:r w:rsidR="009D6E1C">
        <w:rPr>
          <w:b/>
          <w:lang w:val="en-US"/>
        </w:rPr>
        <w:t xml:space="preserve">Genetic characteristics of AR3C-class </w:t>
      </w:r>
      <w:proofErr w:type="spellStart"/>
      <w:r w:rsidR="009D6E1C">
        <w:rPr>
          <w:b/>
          <w:lang w:val="en-US"/>
        </w:rPr>
        <w:t>bNAbs</w:t>
      </w:r>
      <w:proofErr w:type="spellEnd"/>
      <w:r w:rsidR="009D6E1C">
        <w:rPr>
          <w:b/>
          <w:lang w:val="en-US"/>
        </w:rPr>
        <w:t xml:space="preserve">. </w:t>
      </w:r>
      <w:r w:rsidR="009D6E1C">
        <w:rPr>
          <w:lang w:val="en-US"/>
        </w:rPr>
        <w:t xml:space="preserve">VH, D and JH gene usage and CDRH3 length for AR3A, AR3B, AR3C, AR3D, HEPC3, HEPC74, AT1209. </w:t>
      </w:r>
    </w:p>
    <w:sectPr w:rsidR="00E727B7" w:rsidRPr="009D6E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E3E"/>
    <w:rsid w:val="00122310"/>
    <w:rsid w:val="001E62CA"/>
    <w:rsid w:val="002D05A9"/>
    <w:rsid w:val="002D5DBE"/>
    <w:rsid w:val="002E6C36"/>
    <w:rsid w:val="005038B0"/>
    <w:rsid w:val="00597BEE"/>
    <w:rsid w:val="005D53E5"/>
    <w:rsid w:val="006621ED"/>
    <w:rsid w:val="00693753"/>
    <w:rsid w:val="007522D2"/>
    <w:rsid w:val="00760E8B"/>
    <w:rsid w:val="00861E30"/>
    <w:rsid w:val="00900382"/>
    <w:rsid w:val="00904BAE"/>
    <w:rsid w:val="00913E3E"/>
    <w:rsid w:val="00927723"/>
    <w:rsid w:val="009A7161"/>
    <w:rsid w:val="009C3BB0"/>
    <w:rsid w:val="009D6E1C"/>
    <w:rsid w:val="00A009EB"/>
    <w:rsid w:val="00A066F1"/>
    <w:rsid w:val="00CD76E2"/>
    <w:rsid w:val="00DA057C"/>
    <w:rsid w:val="00DC53C5"/>
    <w:rsid w:val="00E12ED5"/>
    <w:rsid w:val="00E727B7"/>
    <w:rsid w:val="00EC4C77"/>
    <w:rsid w:val="00EF7B3D"/>
    <w:rsid w:val="00F15D00"/>
    <w:rsid w:val="00F921D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CBFE3"/>
  <w15:chartTrackingRefBased/>
  <w15:docId w15:val="{73C9A7DE-00A6-42BB-9C26-ACABB21CB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13E3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3E3E"/>
    <w:rPr>
      <w:rFonts w:asciiTheme="majorHAnsi" w:eastAsiaTheme="majorEastAsia" w:hAnsiTheme="majorHAnsi" w:cstheme="majorBidi"/>
      <w:color w:val="2E74B5" w:themeColor="accent1" w:themeShade="BF"/>
      <w:sz w:val="32"/>
      <w:szCs w:val="32"/>
    </w:rPr>
  </w:style>
  <w:style w:type="character" w:styleId="CommentReference">
    <w:name w:val="annotation reference"/>
    <w:basedOn w:val="DefaultParagraphFont"/>
    <w:uiPriority w:val="99"/>
    <w:semiHidden/>
    <w:unhideWhenUsed/>
    <w:rsid w:val="00760E8B"/>
    <w:rPr>
      <w:sz w:val="16"/>
      <w:szCs w:val="16"/>
    </w:rPr>
  </w:style>
  <w:style w:type="paragraph" w:styleId="CommentText">
    <w:name w:val="annotation text"/>
    <w:basedOn w:val="Normal"/>
    <w:link w:val="CommentTextChar"/>
    <w:uiPriority w:val="99"/>
    <w:semiHidden/>
    <w:unhideWhenUsed/>
    <w:rsid w:val="00760E8B"/>
    <w:pPr>
      <w:spacing w:line="240" w:lineRule="auto"/>
    </w:pPr>
    <w:rPr>
      <w:sz w:val="20"/>
      <w:szCs w:val="20"/>
    </w:rPr>
  </w:style>
  <w:style w:type="character" w:customStyle="1" w:styleId="CommentTextChar">
    <w:name w:val="Comment Text Char"/>
    <w:basedOn w:val="DefaultParagraphFont"/>
    <w:link w:val="CommentText"/>
    <w:uiPriority w:val="99"/>
    <w:semiHidden/>
    <w:rsid w:val="00760E8B"/>
    <w:rPr>
      <w:sz w:val="20"/>
      <w:szCs w:val="20"/>
    </w:rPr>
  </w:style>
  <w:style w:type="paragraph" w:styleId="CommentSubject">
    <w:name w:val="annotation subject"/>
    <w:basedOn w:val="CommentText"/>
    <w:next w:val="CommentText"/>
    <w:link w:val="CommentSubjectChar"/>
    <w:uiPriority w:val="99"/>
    <w:semiHidden/>
    <w:unhideWhenUsed/>
    <w:rsid w:val="00760E8B"/>
    <w:rPr>
      <w:b/>
      <w:bCs/>
    </w:rPr>
  </w:style>
  <w:style w:type="character" w:customStyle="1" w:styleId="CommentSubjectChar">
    <w:name w:val="Comment Subject Char"/>
    <w:basedOn w:val="CommentTextChar"/>
    <w:link w:val="CommentSubject"/>
    <w:uiPriority w:val="99"/>
    <w:semiHidden/>
    <w:rsid w:val="00760E8B"/>
    <w:rPr>
      <w:b/>
      <w:bCs/>
      <w:sz w:val="20"/>
      <w:szCs w:val="20"/>
    </w:rPr>
  </w:style>
  <w:style w:type="paragraph" w:styleId="Revision">
    <w:name w:val="Revision"/>
    <w:hidden/>
    <w:uiPriority w:val="99"/>
    <w:semiHidden/>
    <w:rsid w:val="00122310"/>
    <w:pPr>
      <w:spacing w:after="0" w:line="240" w:lineRule="auto"/>
    </w:pPr>
  </w:style>
  <w:style w:type="paragraph" w:styleId="BalloonText">
    <w:name w:val="Balloon Text"/>
    <w:basedOn w:val="Normal"/>
    <w:link w:val="BalloonTextChar"/>
    <w:uiPriority w:val="99"/>
    <w:semiHidden/>
    <w:unhideWhenUsed/>
    <w:rsid w:val="002D05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05A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TotalTime>
  <Pages>8</Pages>
  <Words>591</Words>
  <Characters>3254</Characters>
  <Application>Microsoft Office Word</Application>
  <DocSecurity>0</DocSecurity>
  <Lines>27</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AMC</Company>
  <LinksUpToDate>false</LinksUpToDate>
  <CharactersWithSpaces>3838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Capella Pujol, J. (Joan)</dc:creator>
  <cp:keywords/>
  <dc:description/>
  <cp:lastModifiedBy>Capella Pujol, J. (Joan)</cp:lastModifiedBy>
  <cp:revision>18</cp:revision>
  <dcterms:created xsi:type="dcterms:W3CDTF">2022-08-12T10:13:00Z</dcterms:created>
  <dcterms:modified xsi:type="dcterms:W3CDTF">2022-11-09T13:41:00Z</dcterms:modified>
</cp:coreProperties>
</file>