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36F5" w:rsidRPr="00292EAB" w:rsidRDefault="001936F5" w:rsidP="001936F5">
      <w:pPr>
        <w:rPr>
          <w:rFonts w:ascii="Times" w:hAnsi="Times"/>
          <w:b/>
        </w:rPr>
      </w:pPr>
      <w:bookmarkStart w:id="0" w:name="_GoBack"/>
      <w:bookmarkEnd w:id="0"/>
      <w:r w:rsidRPr="00292EAB">
        <w:rPr>
          <w:rFonts w:ascii="Times" w:hAnsi="Times"/>
          <w:b/>
        </w:rPr>
        <w:t xml:space="preserve">Table S1. Characteristics of isolated strains. </w:t>
      </w:r>
    </w:p>
    <w:p w:rsidR="001936F5" w:rsidRPr="00292EAB" w:rsidRDefault="001936F5" w:rsidP="001936F5">
      <w:pPr>
        <w:rPr>
          <w:rFonts w:ascii="Times" w:hAnsi="Times"/>
          <w:b/>
        </w:rPr>
      </w:pP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1579"/>
        <w:gridCol w:w="730"/>
        <w:gridCol w:w="1229"/>
        <w:gridCol w:w="1243"/>
        <w:gridCol w:w="1116"/>
      </w:tblGrid>
      <w:tr w:rsidR="001936F5" w:rsidRPr="00292EAB" w:rsidTr="00AC14D8"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Isolates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Mouse No.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Day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Species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Plasmid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 type</w:t>
            </w:r>
          </w:p>
        </w:tc>
      </w:tr>
      <w:tr w:rsidR="001936F5" w:rsidRPr="00292EAB" w:rsidTr="00AC14D8"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Strain_1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bookmarkStart w:id="1" w:name="OLE_LINK30"/>
            <w:r w:rsidRPr="00292EAB">
              <w:rPr>
                <w:rFonts w:ascii="Times" w:hAnsi="Times"/>
                <w:i/>
              </w:rPr>
              <w:t>E. coli</w:t>
            </w:r>
            <w:bookmarkEnd w:id="1"/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Strain_4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Strain_5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7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Strain_7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Strain_8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  <w:tr w:rsidR="001936F5" w:rsidRPr="00292EAB" w:rsidTr="00AC14D8"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Strain_9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  <w:i/>
              </w:rPr>
            </w:pPr>
            <w:r w:rsidRPr="00292EAB">
              <w:rPr>
                <w:rFonts w:ascii="Times" w:hAnsi="Times"/>
                <w:i/>
              </w:rPr>
              <w:t>E. coli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IncI2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936F5" w:rsidRPr="00292EAB" w:rsidRDefault="001936F5" w:rsidP="00AC14D8">
            <w:pPr>
              <w:rPr>
                <w:rFonts w:ascii="Times" w:hAnsi="Times"/>
              </w:rPr>
            </w:pPr>
            <w:r w:rsidRPr="00292EAB">
              <w:rPr>
                <w:rFonts w:ascii="Times" w:hAnsi="Times"/>
              </w:rPr>
              <w:t>131</w:t>
            </w:r>
          </w:p>
        </w:tc>
      </w:tr>
    </w:tbl>
    <w:p w:rsidR="001936F5" w:rsidRPr="00292EAB" w:rsidRDefault="001936F5" w:rsidP="001936F5">
      <w:pPr>
        <w:rPr>
          <w:rFonts w:ascii="Times" w:hAnsi="Times"/>
        </w:rPr>
      </w:pPr>
    </w:p>
    <w:p w:rsidR="001936F5" w:rsidRPr="00292EAB" w:rsidRDefault="001936F5" w:rsidP="001936F5">
      <w:pPr>
        <w:rPr>
          <w:rFonts w:ascii="Times" w:hAnsi="Times"/>
        </w:rPr>
        <w:sectPr w:rsidR="001936F5" w:rsidRPr="00292EAB" w:rsidSect="007D512F">
          <w:pgSz w:w="11900" w:h="16840"/>
          <w:pgMar w:top="1440" w:right="1440" w:bottom="1440" w:left="1440" w:header="851" w:footer="992" w:gutter="0"/>
          <w:lnNumType w:countBy="1" w:restart="continuous"/>
          <w:cols w:space="425"/>
          <w:docGrid w:type="lines" w:linePitch="326"/>
        </w:sectPr>
      </w:pPr>
    </w:p>
    <w:p w:rsidR="001936F5" w:rsidRPr="00292EAB" w:rsidRDefault="001936F5" w:rsidP="001936F5">
      <w:pPr>
        <w:rPr>
          <w:rFonts w:ascii="Times" w:hAnsi="Times"/>
        </w:rPr>
      </w:pPr>
      <w:r w:rsidRPr="00292EAB">
        <w:rPr>
          <w:rFonts w:ascii="Times" w:hAnsi="Times"/>
          <w:noProof/>
        </w:rPr>
        <w:lastRenderedPageBreak/>
        <w:drawing>
          <wp:inline distT="0" distB="0" distL="0" distR="0" wp14:anchorId="32609E08" wp14:editId="3F9B7631">
            <wp:extent cx="5727700" cy="42957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1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6F5" w:rsidRPr="00292EAB" w:rsidRDefault="001936F5" w:rsidP="001936F5">
      <w:pPr>
        <w:rPr>
          <w:rFonts w:ascii="Times" w:hAnsi="Times"/>
        </w:rPr>
        <w:sectPr w:rsidR="001936F5" w:rsidRPr="00292EAB" w:rsidSect="007D512F">
          <w:pgSz w:w="11900" w:h="16840"/>
          <w:pgMar w:top="1440" w:right="1440" w:bottom="1440" w:left="1440" w:header="851" w:footer="992" w:gutter="0"/>
          <w:lnNumType w:countBy="1" w:restart="continuous"/>
          <w:cols w:space="425"/>
          <w:docGrid w:type="lines" w:linePitch="326"/>
        </w:sectPr>
      </w:pPr>
      <w:bookmarkStart w:id="2" w:name="OLE_LINK144"/>
      <w:bookmarkStart w:id="3" w:name="OLE_LINK145"/>
      <w:r w:rsidRPr="00292EAB">
        <w:rPr>
          <w:rFonts w:ascii="Times" w:hAnsi="Times"/>
          <w:b/>
        </w:rPr>
        <w:t xml:space="preserve">Figure S1. </w:t>
      </w:r>
      <w:r w:rsidRPr="00292EAB">
        <w:rPr>
          <w:rFonts w:ascii="Times" w:hAnsi="Times"/>
        </w:rPr>
        <w:t xml:space="preserve">Positive number of successful colonization of MCRPEC or </w:t>
      </w:r>
      <w:r w:rsidRPr="00292EAB">
        <w:rPr>
          <w:rFonts w:ascii="Times" w:hAnsi="Times"/>
          <w:i/>
        </w:rPr>
        <w:t xml:space="preserve">mcr-1 </w:t>
      </w:r>
      <w:r w:rsidRPr="00292EAB">
        <w:rPr>
          <w:rFonts w:ascii="Times" w:hAnsi="Times"/>
        </w:rPr>
        <w:t xml:space="preserve">in mice under intestinal microbiota homeostasis. (A) in different segment of mouse intestine. (B) distribution of different mice by gavage times; </w:t>
      </w:r>
      <w:bookmarkStart w:id="4" w:name="OLE_LINK20"/>
      <w:bookmarkStart w:id="5" w:name="OLE_LINK21"/>
      <w:r w:rsidRPr="00292EAB">
        <w:rPr>
          <w:rFonts w:ascii="Times" w:hAnsi="Times"/>
        </w:rPr>
        <w:t>group A, B, C, and D represent 1, 2, 3, and 4 gavage times, respectively.</w:t>
      </w:r>
      <w:bookmarkEnd w:id="4"/>
      <w:bookmarkEnd w:id="5"/>
      <w:r w:rsidRPr="00292EAB">
        <w:rPr>
          <w:rFonts w:ascii="Times" w:hAnsi="Times"/>
        </w:rPr>
        <w:t xml:space="preserve"> </w:t>
      </w:r>
    </w:p>
    <w:bookmarkEnd w:id="2"/>
    <w:bookmarkEnd w:id="3"/>
    <w:p w:rsidR="001936F5" w:rsidRPr="00292EAB" w:rsidRDefault="001936F5" w:rsidP="001936F5">
      <w:pPr>
        <w:rPr>
          <w:rFonts w:ascii="Times" w:hAnsi="Times"/>
        </w:rPr>
      </w:pPr>
      <w:r w:rsidRPr="00292EAB">
        <w:rPr>
          <w:rFonts w:ascii="Times" w:hAnsi="Times"/>
          <w:noProof/>
        </w:rPr>
        <w:lastRenderedPageBreak/>
        <w:drawing>
          <wp:inline distT="0" distB="0" distL="0" distR="0" wp14:anchorId="4A12151C" wp14:editId="32C0AECF">
            <wp:extent cx="5270500" cy="39528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2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6F5" w:rsidRPr="00292EAB" w:rsidRDefault="001936F5" w:rsidP="001936F5">
      <w:pPr>
        <w:rPr>
          <w:rFonts w:ascii="Times" w:hAnsi="Times"/>
        </w:rPr>
        <w:sectPr w:rsidR="001936F5" w:rsidRPr="00292EAB" w:rsidSect="007D512F">
          <w:pgSz w:w="11900" w:h="16840"/>
          <w:pgMar w:top="1440" w:right="1440" w:bottom="1440" w:left="1440" w:header="851" w:footer="992" w:gutter="0"/>
          <w:lnNumType w:countBy="1" w:restart="continuous"/>
          <w:cols w:space="425"/>
          <w:docGrid w:type="lines" w:linePitch="326"/>
        </w:sectPr>
      </w:pPr>
      <w:r w:rsidRPr="00292EAB">
        <w:rPr>
          <w:rFonts w:ascii="Times" w:hAnsi="Times"/>
          <w:b/>
        </w:rPr>
        <w:t xml:space="preserve">Figure S2. </w:t>
      </w:r>
      <w:r w:rsidRPr="00292EAB">
        <w:rPr>
          <w:rFonts w:ascii="Times" w:hAnsi="Times"/>
        </w:rPr>
        <w:t xml:space="preserve">Positive number of successful </w:t>
      </w:r>
      <w:proofErr w:type="spellStart"/>
      <w:r w:rsidRPr="00292EAB">
        <w:rPr>
          <w:rFonts w:ascii="Times" w:hAnsi="Times"/>
        </w:rPr>
        <w:t>colonization</w:t>
      </w:r>
      <w:r w:rsidRPr="00292EAB">
        <w:rPr>
          <w:rFonts w:ascii="Times" w:hAnsi="Times" w:hint="eastAsia"/>
        </w:rPr>
        <w:t>s</w:t>
      </w:r>
      <w:proofErr w:type="spellEnd"/>
      <w:r w:rsidRPr="00292EAB">
        <w:rPr>
          <w:rFonts w:ascii="Times" w:hAnsi="Times"/>
        </w:rPr>
        <w:t xml:space="preserve"> of MCRPEC or </w:t>
      </w:r>
      <w:r w:rsidRPr="00292EAB">
        <w:rPr>
          <w:rFonts w:ascii="Times" w:hAnsi="Times"/>
          <w:i/>
        </w:rPr>
        <w:t xml:space="preserve">mcr-1 </w:t>
      </w:r>
      <w:r w:rsidRPr="00292EAB">
        <w:rPr>
          <w:rFonts w:ascii="Times" w:hAnsi="Times" w:hint="eastAsia"/>
        </w:rPr>
        <w:t>on</w:t>
      </w:r>
      <w:r w:rsidRPr="00292EAB">
        <w:rPr>
          <w:rFonts w:ascii="Times" w:hAnsi="Times"/>
        </w:rPr>
        <w:t xml:space="preserve"> different days in mice under intestinal microbiota homeostasis. (A) distribution of different mice by days. (B) distribution of different gavage times and days. </w:t>
      </w:r>
      <w:bookmarkStart w:id="6" w:name="OLE_LINK22"/>
      <w:bookmarkStart w:id="7" w:name="OLE_LINK23"/>
      <w:r w:rsidRPr="00292EAB">
        <w:rPr>
          <w:rFonts w:ascii="Times" w:hAnsi="Times" w:hint="eastAsia"/>
        </w:rPr>
        <w:t>G</w:t>
      </w:r>
      <w:r w:rsidRPr="00292EAB">
        <w:rPr>
          <w:rFonts w:ascii="Times" w:hAnsi="Times"/>
        </w:rPr>
        <w:t>roup A, B, C, and D represent 1, 2, 3, and 4 gavage times, respectively</w:t>
      </w:r>
      <w:bookmarkEnd w:id="6"/>
      <w:bookmarkEnd w:id="7"/>
      <w:r w:rsidRPr="00292EAB">
        <w:rPr>
          <w:rFonts w:ascii="Times" w:hAnsi="Times"/>
        </w:rPr>
        <w:t>.</w:t>
      </w:r>
    </w:p>
    <w:p w:rsidR="001936F5" w:rsidRPr="00292EAB" w:rsidRDefault="001936F5" w:rsidP="001936F5">
      <w:pPr>
        <w:rPr>
          <w:rFonts w:ascii="Times" w:hAnsi="Times"/>
        </w:rPr>
      </w:pPr>
      <w:r w:rsidRPr="00292EAB">
        <w:rPr>
          <w:rFonts w:ascii="Times" w:hAnsi="Times"/>
          <w:noProof/>
        </w:rPr>
        <w:lastRenderedPageBreak/>
        <w:drawing>
          <wp:inline distT="0" distB="0" distL="0" distR="0" wp14:anchorId="24FF1AA9" wp14:editId="69AE889A">
            <wp:extent cx="5270500" cy="395287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3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6F5" w:rsidRPr="00292EAB" w:rsidRDefault="001936F5" w:rsidP="001936F5">
      <w:pPr>
        <w:rPr>
          <w:rFonts w:ascii="Times" w:hAnsi="Times"/>
        </w:rPr>
        <w:sectPr w:rsidR="001936F5" w:rsidRPr="00292EAB" w:rsidSect="007D512F">
          <w:pgSz w:w="11900" w:h="16840"/>
          <w:pgMar w:top="1440" w:right="1440" w:bottom="1440" w:left="1440" w:header="851" w:footer="992" w:gutter="0"/>
          <w:lnNumType w:countBy="1" w:restart="continuous"/>
          <w:cols w:space="425"/>
          <w:docGrid w:type="lines" w:linePitch="326"/>
        </w:sectPr>
      </w:pPr>
      <w:r w:rsidRPr="00292EAB">
        <w:rPr>
          <w:rFonts w:ascii="Times" w:hAnsi="Times"/>
          <w:b/>
        </w:rPr>
        <w:t>Figure S3.</w:t>
      </w:r>
      <w:r w:rsidRPr="00292EAB">
        <w:rPr>
          <w:rFonts w:ascii="Times" w:hAnsi="Times"/>
        </w:rPr>
        <w:t xml:space="preserve"> Dynamic abundances of </w:t>
      </w:r>
      <w:r w:rsidRPr="00292EAB">
        <w:rPr>
          <w:rFonts w:ascii="Times" w:hAnsi="Times"/>
          <w:i/>
        </w:rPr>
        <w:t>mcr-1</w:t>
      </w:r>
      <w:r w:rsidRPr="00292EAB">
        <w:rPr>
          <w:rFonts w:ascii="Times" w:hAnsi="Times"/>
        </w:rPr>
        <w:t xml:space="preserve"> on different days in mice under intestinal microbiota homeostasis. (A) all mice compared by different days (n=24). (B) compared by days. (C) compared by gavage times. </w:t>
      </w:r>
      <w:bookmarkStart w:id="8" w:name="OLE_LINK161"/>
      <w:bookmarkStart w:id="9" w:name="OLE_LINK162"/>
      <w:r w:rsidRPr="00292EAB">
        <w:rPr>
          <w:rFonts w:ascii="Times" w:hAnsi="Times" w:hint="eastAsia"/>
        </w:rPr>
        <w:t>G</w:t>
      </w:r>
      <w:r w:rsidRPr="00292EAB">
        <w:rPr>
          <w:rFonts w:ascii="Times" w:hAnsi="Times"/>
        </w:rPr>
        <w:t xml:space="preserve">roup A, B, C, and D represent 1, 2, 3, and 4 gavage times, respectively. Data are shown as box plots; </w:t>
      </w:r>
      <w:r w:rsidRPr="00292EAB">
        <w:rPr>
          <w:rFonts w:ascii="Times" w:hAnsi="Times"/>
          <w:color w:val="000000"/>
        </w:rPr>
        <w:t>the horizontal box lines represent the first quartile, the median, and the third quartile. Whiskers denote the range of points within the first quartile – 1.5× the interquartile range and the third quartile + 1.5× the interquartile range</w:t>
      </w:r>
      <w:r w:rsidRPr="00292EAB">
        <w:rPr>
          <w:rFonts w:ascii="Times" w:hAnsi="Times"/>
        </w:rPr>
        <w:t>. Significant level was labelled with * (</w:t>
      </w:r>
      <w:r w:rsidRPr="00292EAB">
        <w:rPr>
          <w:rFonts w:ascii="Times" w:hAnsi="Times"/>
          <w:i/>
        </w:rPr>
        <w:t>P</w:t>
      </w:r>
      <w:r w:rsidRPr="00292EAB">
        <w:rPr>
          <w:rFonts w:ascii="Times" w:hAnsi="Times"/>
        </w:rPr>
        <w:t xml:space="preserve"> &lt; 0.05), ** (</w:t>
      </w:r>
      <w:r w:rsidRPr="00292EAB">
        <w:rPr>
          <w:rFonts w:ascii="Times" w:hAnsi="Times"/>
          <w:i/>
        </w:rPr>
        <w:t>P</w:t>
      </w:r>
      <w:r w:rsidRPr="00292EAB">
        <w:rPr>
          <w:rFonts w:ascii="Times" w:hAnsi="Times"/>
        </w:rPr>
        <w:t xml:space="preserve"> &lt; 0.01), and *** (</w:t>
      </w:r>
      <w:r w:rsidRPr="00292EAB">
        <w:rPr>
          <w:rFonts w:ascii="Times" w:hAnsi="Times"/>
          <w:i/>
        </w:rPr>
        <w:t>P</w:t>
      </w:r>
      <w:r w:rsidRPr="00292EAB">
        <w:rPr>
          <w:rFonts w:ascii="Times" w:hAnsi="Times"/>
        </w:rPr>
        <w:t xml:space="preserve"> &lt; 0.001), Kruskal-Wallis </w:t>
      </w:r>
      <w:r w:rsidRPr="00292EAB">
        <w:rPr>
          <w:rFonts w:ascii="Times" w:hAnsi="Times"/>
          <w:i/>
        </w:rPr>
        <w:t>H</w:t>
      </w:r>
      <w:r w:rsidRPr="00292EAB">
        <w:rPr>
          <w:rFonts w:ascii="Times" w:hAnsi="Times"/>
        </w:rPr>
        <w:t xml:space="preserve"> test.</w:t>
      </w:r>
      <w:bookmarkEnd w:id="8"/>
      <w:bookmarkEnd w:id="9"/>
      <w:r w:rsidRPr="00292EAB">
        <w:rPr>
          <w:rFonts w:ascii="Times" w:hAnsi="Times"/>
        </w:rPr>
        <w:t xml:space="preserve"> </w:t>
      </w:r>
    </w:p>
    <w:p w:rsidR="001936F5" w:rsidRPr="00292EAB" w:rsidRDefault="001936F5" w:rsidP="001936F5">
      <w:pPr>
        <w:rPr>
          <w:rFonts w:ascii="Times" w:hAnsi="Times"/>
        </w:rPr>
      </w:pPr>
      <w:r w:rsidRPr="00292EAB">
        <w:rPr>
          <w:rFonts w:ascii="Times" w:hAnsi="Times"/>
          <w:noProof/>
        </w:rPr>
        <w:lastRenderedPageBreak/>
        <w:drawing>
          <wp:inline distT="0" distB="0" distL="0" distR="0" wp14:anchorId="67BB7986" wp14:editId="1E31F401">
            <wp:extent cx="4241800" cy="2514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4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6F5" w:rsidRPr="00292EAB" w:rsidRDefault="001936F5" w:rsidP="001936F5">
      <w:pPr>
        <w:rPr>
          <w:rFonts w:ascii="Times" w:hAnsi="Times"/>
          <w:kern w:val="0"/>
        </w:rPr>
        <w:sectPr w:rsidR="001936F5" w:rsidRPr="00292EAB" w:rsidSect="007D512F">
          <w:pgSz w:w="11900" w:h="16840"/>
          <w:pgMar w:top="1440" w:right="1440" w:bottom="1440" w:left="1440" w:header="851" w:footer="992" w:gutter="0"/>
          <w:lnNumType w:countBy="1" w:restart="continuous"/>
          <w:cols w:space="425"/>
          <w:docGrid w:type="lines" w:linePitch="326"/>
        </w:sectPr>
      </w:pPr>
      <w:r w:rsidRPr="00292EAB">
        <w:rPr>
          <w:rFonts w:ascii="Times" w:hAnsi="Times"/>
          <w:b/>
        </w:rPr>
        <w:t xml:space="preserve">Figure S4. </w:t>
      </w:r>
      <w:r w:rsidRPr="00292EAB">
        <w:rPr>
          <w:rFonts w:ascii="Times" w:hAnsi="Times"/>
        </w:rPr>
        <w:t xml:space="preserve">Detection of CT value of </w:t>
      </w:r>
      <w:r w:rsidRPr="00292EAB">
        <w:rPr>
          <w:rFonts w:ascii="Times" w:hAnsi="Times"/>
          <w:i/>
        </w:rPr>
        <w:t>mcr-1</w:t>
      </w:r>
      <w:r w:rsidRPr="00292EAB">
        <w:rPr>
          <w:rFonts w:ascii="Times" w:hAnsi="Times"/>
        </w:rPr>
        <w:t xml:space="preserve"> gene in extra- and intra-cellular DNA. Dotted line indicates detection of limitation of </w:t>
      </w:r>
      <w:r w:rsidRPr="00292EAB">
        <w:rPr>
          <w:rFonts w:ascii="Times" w:hAnsi="Times"/>
          <w:i/>
        </w:rPr>
        <w:t>mcr-1</w:t>
      </w:r>
      <w:r w:rsidRPr="00292EAB">
        <w:rPr>
          <w:rFonts w:ascii="Times" w:hAnsi="Times"/>
        </w:rPr>
        <w:t xml:space="preserve"> gene. </w:t>
      </w:r>
      <w:proofErr w:type="spellStart"/>
      <w:r w:rsidRPr="00292EAB">
        <w:rPr>
          <w:rFonts w:ascii="Times" w:hAnsi="Times"/>
        </w:rPr>
        <w:t>fDNA</w:t>
      </w:r>
      <w:proofErr w:type="spellEnd"/>
      <w:r w:rsidRPr="00292EAB">
        <w:rPr>
          <w:rFonts w:ascii="Times" w:hAnsi="Times"/>
        </w:rPr>
        <w:t xml:space="preserve">: free extracellular DNA; </w:t>
      </w:r>
      <w:proofErr w:type="spellStart"/>
      <w:r w:rsidRPr="00292EAB">
        <w:rPr>
          <w:rFonts w:ascii="Times" w:hAnsi="Times"/>
        </w:rPr>
        <w:t>wbDNA</w:t>
      </w:r>
      <w:proofErr w:type="spellEnd"/>
      <w:r w:rsidRPr="00292EAB">
        <w:rPr>
          <w:rFonts w:ascii="Times" w:hAnsi="Times"/>
        </w:rPr>
        <w:t xml:space="preserve">: </w:t>
      </w:r>
      <w:bookmarkStart w:id="10" w:name="OLE_LINK150"/>
      <w:bookmarkStart w:id="11" w:name="OLE_LINK151"/>
      <w:r w:rsidRPr="00292EAB">
        <w:rPr>
          <w:rFonts w:ascii="Times" w:hAnsi="Times"/>
        </w:rPr>
        <w:t xml:space="preserve">weakly bound </w:t>
      </w:r>
      <w:bookmarkStart w:id="12" w:name="OLE_LINK156"/>
      <w:bookmarkStart w:id="13" w:name="OLE_LINK157"/>
      <w:r w:rsidRPr="00292EAB">
        <w:rPr>
          <w:rFonts w:ascii="Times" w:hAnsi="Times"/>
        </w:rPr>
        <w:t>extracellular DNA</w:t>
      </w:r>
      <w:bookmarkEnd w:id="10"/>
      <w:bookmarkEnd w:id="11"/>
      <w:bookmarkEnd w:id="12"/>
      <w:bookmarkEnd w:id="13"/>
      <w:r w:rsidRPr="00292EAB">
        <w:rPr>
          <w:rFonts w:ascii="Times" w:hAnsi="Times"/>
        </w:rPr>
        <w:t xml:space="preserve">; </w:t>
      </w:r>
      <w:proofErr w:type="spellStart"/>
      <w:r w:rsidRPr="00292EAB">
        <w:rPr>
          <w:rFonts w:ascii="Times" w:hAnsi="Times"/>
        </w:rPr>
        <w:t>tbDNA</w:t>
      </w:r>
      <w:proofErr w:type="spellEnd"/>
      <w:r w:rsidRPr="00292EAB">
        <w:rPr>
          <w:rFonts w:ascii="Times" w:hAnsi="Times"/>
        </w:rPr>
        <w:t xml:space="preserve">: tightly bound </w:t>
      </w:r>
      <w:r w:rsidRPr="00292EAB">
        <w:rPr>
          <w:rFonts w:ascii="Times" w:hAnsi="Times"/>
          <w:kern w:val="0"/>
        </w:rPr>
        <w:t xml:space="preserve">extracellular DNA; </w:t>
      </w:r>
      <w:proofErr w:type="spellStart"/>
      <w:r w:rsidRPr="00292EAB">
        <w:rPr>
          <w:rFonts w:ascii="Times" w:hAnsi="Times"/>
          <w:kern w:val="0"/>
        </w:rPr>
        <w:t>iDNA</w:t>
      </w:r>
      <w:proofErr w:type="spellEnd"/>
      <w:r w:rsidRPr="00292EAB">
        <w:rPr>
          <w:rFonts w:ascii="Times" w:hAnsi="Times"/>
          <w:kern w:val="0"/>
        </w:rPr>
        <w:t>: intracellular DNA.</w:t>
      </w:r>
    </w:p>
    <w:p w:rsidR="001936F5" w:rsidRPr="00292EAB" w:rsidRDefault="001936F5" w:rsidP="001936F5">
      <w:pPr>
        <w:rPr>
          <w:rFonts w:ascii="Times" w:hAnsi="Times"/>
        </w:rPr>
      </w:pPr>
      <w:r w:rsidRPr="00292EAB">
        <w:rPr>
          <w:rFonts w:ascii="Times" w:hAnsi="Times"/>
          <w:noProof/>
        </w:rPr>
        <w:lastRenderedPageBreak/>
        <w:drawing>
          <wp:inline distT="0" distB="0" distL="0" distR="0" wp14:anchorId="7D6A9A88" wp14:editId="7DB7613E">
            <wp:extent cx="5270500" cy="2426677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5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610"/>
                    <a:stretch/>
                  </pic:blipFill>
                  <pic:spPr bwMode="auto">
                    <a:xfrm>
                      <a:off x="0" y="0"/>
                      <a:ext cx="5270500" cy="2426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36F5" w:rsidRPr="007D512F" w:rsidRDefault="001936F5" w:rsidP="001936F5">
      <w:pPr>
        <w:rPr>
          <w:rFonts w:ascii="Times" w:hAnsi="Times"/>
        </w:rPr>
      </w:pPr>
      <w:r w:rsidRPr="00292EAB">
        <w:rPr>
          <w:rFonts w:ascii="Times" w:hAnsi="Times"/>
          <w:b/>
        </w:rPr>
        <w:t xml:space="preserve">Figure S5. </w:t>
      </w:r>
      <w:r w:rsidRPr="00292EAB">
        <w:rPr>
          <w:rFonts w:ascii="Times" w:hAnsi="Times"/>
        </w:rPr>
        <w:t xml:space="preserve">Dynamic abundances of </w:t>
      </w:r>
      <w:r w:rsidRPr="00292EAB">
        <w:rPr>
          <w:rFonts w:ascii="Times" w:hAnsi="Times"/>
          <w:i/>
        </w:rPr>
        <w:t>mcr-1</w:t>
      </w:r>
      <w:r w:rsidRPr="00292EAB">
        <w:rPr>
          <w:rFonts w:ascii="Times" w:hAnsi="Times"/>
        </w:rPr>
        <w:t xml:space="preserve"> in second stage of co-housing model. (A) compared by group. (B) compared by days. n=5, 4, and 4 of group A, B, and C respectively. Data are shown as box plots; </w:t>
      </w:r>
      <w:r w:rsidRPr="00292EAB">
        <w:rPr>
          <w:rFonts w:ascii="Times" w:hAnsi="Times"/>
          <w:color w:val="000000"/>
        </w:rPr>
        <w:t>the horizontal box lines represent the first quartile, the median, and the third quartile. Whiskers denote the range of points within the first quartile – 1.5× the interquartile range and the third quartile + 1.5× the interquartile range</w:t>
      </w:r>
      <w:r w:rsidRPr="00292EAB">
        <w:rPr>
          <w:rFonts w:ascii="Times" w:hAnsi="Times"/>
        </w:rPr>
        <w:t>. Significant level was labelled with * (</w:t>
      </w:r>
      <w:r w:rsidRPr="00292EAB">
        <w:rPr>
          <w:rFonts w:ascii="Times" w:hAnsi="Times"/>
          <w:i/>
        </w:rPr>
        <w:t>P</w:t>
      </w:r>
      <w:r w:rsidRPr="00292EAB">
        <w:rPr>
          <w:rFonts w:ascii="Times" w:hAnsi="Times"/>
        </w:rPr>
        <w:t xml:space="preserve"> &lt; 0.05), ** (</w:t>
      </w:r>
      <w:r w:rsidRPr="00292EAB">
        <w:rPr>
          <w:rFonts w:ascii="Times" w:hAnsi="Times"/>
          <w:i/>
        </w:rPr>
        <w:t>P</w:t>
      </w:r>
      <w:r w:rsidRPr="00292EAB">
        <w:rPr>
          <w:rFonts w:ascii="Times" w:hAnsi="Times"/>
        </w:rPr>
        <w:t xml:space="preserve"> &lt; 0.01), and *** (</w:t>
      </w:r>
      <w:r w:rsidRPr="00292EAB">
        <w:rPr>
          <w:rFonts w:ascii="Times" w:hAnsi="Times"/>
          <w:i/>
        </w:rPr>
        <w:t>P</w:t>
      </w:r>
      <w:r w:rsidRPr="00292EAB">
        <w:rPr>
          <w:rFonts w:ascii="Times" w:hAnsi="Times"/>
        </w:rPr>
        <w:t xml:space="preserve"> &lt; 0.001), Kruskal-Wallis </w:t>
      </w:r>
      <w:r w:rsidRPr="00292EAB">
        <w:rPr>
          <w:rFonts w:ascii="Times" w:hAnsi="Times"/>
          <w:i/>
        </w:rPr>
        <w:t>H</w:t>
      </w:r>
      <w:r w:rsidRPr="00292EAB">
        <w:rPr>
          <w:rFonts w:ascii="Times" w:hAnsi="Times"/>
        </w:rPr>
        <w:t xml:space="preserve"> test.</w:t>
      </w:r>
    </w:p>
    <w:p w:rsidR="00E654AB" w:rsidRPr="001936F5" w:rsidRDefault="00E654AB"/>
    <w:sectPr w:rsidR="00E654AB" w:rsidRPr="001936F5" w:rsidSect="001936F5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6F5"/>
    <w:rsid w:val="0000589E"/>
    <w:rsid w:val="00010679"/>
    <w:rsid w:val="000341CE"/>
    <w:rsid w:val="00050E05"/>
    <w:rsid w:val="000571CA"/>
    <w:rsid w:val="00102959"/>
    <w:rsid w:val="00131C8D"/>
    <w:rsid w:val="00144BA0"/>
    <w:rsid w:val="0019225E"/>
    <w:rsid w:val="001936F5"/>
    <w:rsid w:val="001C1457"/>
    <w:rsid w:val="001C750D"/>
    <w:rsid w:val="001D5E02"/>
    <w:rsid w:val="001F59A9"/>
    <w:rsid w:val="002026E3"/>
    <w:rsid w:val="002160B0"/>
    <w:rsid w:val="00230E95"/>
    <w:rsid w:val="00231BAF"/>
    <w:rsid w:val="002F2720"/>
    <w:rsid w:val="00333B0D"/>
    <w:rsid w:val="003423D2"/>
    <w:rsid w:val="00345A49"/>
    <w:rsid w:val="00357021"/>
    <w:rsid w:val="00385BE4"/>
    <w:rsid w:val="00396B60"/>
    <w:rsid w:val="003C19F7"/>
    <w:rsid w:val="003C7404"/>
    <w:rsid w:val="00424BF5"/>
    <w:rsid w:val="00444CCB"/>
    <w:rsid w:val="004D25FD"/>
    <w:rsid w:val="004E62B1"/>
    <w:rsid w:val="004F21C4"/>
    <w:rsid w:val="00522848"/>
    <w:rsid w:val="00573DDA"/>
    <w:rsid w:val="005A1168"/>
    <w:rsid w:val="005C35A2"/>
    <w:rsid w:val="005C405C"/>
    <w:rsid w:val="005F7CEC"/>
    <w:rsid w:val="00611473"/>
    <w:rsid w:val="006477BA"/>
    <w:rsid w:val="006C76D3"/>
    <w:rsid w:val="007206B0"/>
    <w:rsid w:val="0073012C"/>
    <w:rsid w:val="007535A8"/>
    <w:rsid w:val="00753DD1"/>
    <w:rsid w:val="007846DC"/>
    <w:rsid w:val="007E2CA7"/>
    <w:rsid w:val="007E4CE5"/>
    <w:rsid w:val="00842E5C"/>
    <w:rsid w:val="0085327C"/>
    <w:rsid w:val="0087456B"/>
    <w:rsid w:val="008D515F"/>
    <w:rsid w:val="00972645"/>
    <w:rsid w:val="009937B0"/>
    <w:rsid w:val="009A42A5"/>
    <w:rsid w:val="009C28CD"/>
    <w:rsid w:val="009D7CDF"/>
    <w:rsid w:val="009F1AF4"/>
    <w:rsid w:val="00A26BFB"/>
    <w:rsid w:val="00A509B8"/>
    <w:rsid w:val="00A755CA"/>
    <w:rsid w:val="00A81E8E"/>
    <w:rsid w:val="00A87BA8"/>
    <w:rsid w:val="00AB1AE7"/>
    <w:rsid w:val="00AE1864"/>
    <w:rsid w:val="00AF538E"/>
    <w:rsid w:val="00AF767F"/>
    <w:rsid w:val="00B03A36"/>
    <w:rsid w:val="00B073BC"/>
    <w:rsid w:val="00B42585"/>
    <w:rsid w:val="00B42B51"/>
    <w:rsid w:val="00B44A83"/>
    <w:rsid w:val="00B713B7"/>
    <w:rsid w:val="00B82562"/>
    <w:rsid w:val="00BB274B"/>
    <w:rsid w:val="00BB54F5"/>
    <w:rsid w:val="00BF7571"/>
    <w:rsid w:val="00C00F6A"/>
    <w:rsid w:val="00C02CBC"/>
    <w:rsid w:val="00C144B5"/>
    <w:rsid w:val="00C21B1C"/>
    <w:rsid w:val="00C4790A"/>
    <w:rsid w:val="00CB10C5"/>
    <w:rsid w:val="00CC3BD1"/>
    <w:rsid w:val="00D226B9"/>
    <w:rsid w:val="00D328E8"/>
    <w:rsid w:val="00D449F7"/>
    <w:rsid w:val="00D51272"/>
    <w:rsid w:val="00D52D40"/>
    <w:rsid w:val="00D6649C"/>
    <w:rsid w:val="00DA0960"/>
    <w:rsid w:val="00DC7545"/>
    <w:rsid w:val="00DD02EC"/>
    <w:rsid w:val="00DD7B67"/>
    <w:rsid w:val="00E10E30"/>
    <w:rsid w:val="00E21418"/>
    <w:rsid w:val="00E52056"/>
    <w:rsid w:val="00E521A2"/>
    <w:rsid w:val="00E56303"/>
    <w:rsid w:val="00E654AB"/>
    <w:rsid w:val="00E913E0"/>
    <w:rsid w:val="00EA0698"/>
    <w:rsid w:val="00EA61DA"/>
    <w:rsid w:val="00EF3FB0"/>
    <w:rsid w:val="00F23E0B"/>
    <w:rsid w:val="00F40413"/>
    <w:rsid w:val="00FB6E88"/>
    <w:rsid w:val="00FD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B6EBA9-7572-5247-8B67-EA6032569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36F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193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429597-B829-6E4E-AD44-13E2306A7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372</Words>
  <Characters>2122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Shen, Yingbo</dc:creator>
  <cp:keywords/>
  <dc:description/>
  <cp:lastModifiedBy>Shen, Yingbo</cp:lastModifiedBy>
  <cp:revision>1</cp:revision>
  <dcterms:created xsi:type="dcterms:W3CDTF">2022-09-21T06:29:00Z</dcterms:created>
  <dcterms:modified xsi:type="dcterms:W3CDTF">2022-09-21T06:30:00Z</dcterms:modified>
</cp:coreProperties>
</file>