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>Single-cell RNA sequencing and molecular docking reveal sinomenine can treat postherpetic neuralgia by regulating the expression of MMP2</w:t>
      </w:r>
    </w:p>
    <w:p>
      <w:p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Author: Hong li- Zhang1, Yong Zhao2*</w:t>
      </w:r>
    </w:p>
    <w:p>
      <w:p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 Department of Gastroenterology, the First Affiliated Hospital of Nanchang University, Jiangxi Institute of Gastroenterology and Hepatology, Jiangxi Clinical Research Center for Gastroenterology, Nanchang, 330006, China</w:t>
      </w:r>
    </w:p>
    <w:p>
      <w:p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 Department of Pain Management, the First Affiliated Hospital of Nanchang University</w:t>
      </w:r>
    </w:p>
    <w:p>
      <w:pPr>
        <w:spacing w:line="360" w:lineRule="auto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962910"/>
            <wp:effectExtent l="0" t="0" r="10160" b="8890"/>
            <wp:docPr id="3" name="图片 3" descr="图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default"/>
        </w:rPr>
      </w:pPr>
      <w:r>
        <w:rPr>
          <w:rFonts w:hint="default"/>
        </w:rPr>
        <w:t xml:space="preserve">Figure </w:t>
      </w:r>
      <w:r>
        <w:rPr>
          <w:rFonts w:hint="eastAsia"/>
          <w:lang w:val="en-US" w:eastAsia="zh-CN"/>
        </w:rPr>
        <w:t>S1</w:t>
      </w:r>
      <w:r>
        <w:rPr>
          <w:rFonts w:hint="default"/>
        </w:rPr>
        <w:t>. Venn diagram of sinomenine- and PHN-related genes and network relationship map of the intersection genes.</w:t>
      </w:r>
    </w:p>
    <w:p>
      <w:pPr>
        <w:spacing w:line="360" w:lineRule="auto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240405" cy="2601595"/>
            <wp:effectExtent l="0" t="0" r="17145" b="8255"/>
            <wp:docPr id="4" name="图片 4" descr="图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4"/>
                    <pic:cNvPicPr>
                      <a:picLocks noChangeAspect="1"/>
                    </pic:cNvPicPr>
                  </pic:nvPicPr>
                  <pic:blipFill>
                    <a:blip r:embed="rId6"/>
                    <a:srcRect r="29925"/>
                    <a:stretch>
                      <a:fillRect/>
                    </a:stretch>
                  </pic:blipFill>
                  <pic:spPr>
                    <a:xfrm>
                      <a:off x="0" y="0"/>
                      <a:ext cx="3240405" cy="260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ascii="Times New Roman" w:hAnsi="Times New Roman" w:eastAsia="楷体" w:cs="Times New Roman"/>
          <w:sz w:val="24"/>
        </w:rPr>
      </w:pPr>
      <w:r>
        <w:rPr>
          <w:rFonts w:ascii="Times New Roman" w:hAnsi="Times New Roman" w:eastAsia="楷体" w:cs="Times New Roman"/>
          <w:sz w:val="24"/>
        </w:rPr>
        <w:t xml:space="preserve">Figure </w:t>
      </w:r>
      <w:r>
        <w:rPr>
          <w:rFonts w:hint="eastAsia" w:ascii="Times New Roman" w:hAnsi="Times New Roman" w:eastAsia="楷体" w:cs="Times New Roman"/>
          <w:sz w:val="24"/>
          <w:lang w:val="en-US" w:eastAsia="zh-CN"/>
        </w:rPr>
        <w:t>S2</w:t>
      </w:r>
      <w:r>
        <w:rPr>
          <w:rFonts w:ascii="Times New Roman" w:hAnsi="Times New Roman" w:eastAsia="楷体" w:cs="Times New Roman"/>
          <w:sz w:val="24"/>
        </w:rPr>
        <w:t>. GO functional analysis and KEGG pathway enrichment analysis of the "sinomenine-PHN" intersection genes</w:t>
      </w:r>
    </w:p>
    <w:p>
      <w:pPr>
        <w:spacing w:line="360" w:lineRule="auto"/>
        <w:jc w:val="center"/>
        <w:rPr>
          <w:rFonts w:hint="eastAsia" w:eastAsiaTheme="minorEastAsia"/>
          <w:lang w:eastAsia="zh-CN"/>
        </w:rPr>
      </w:pPr>
    </w:p>
    <w:p>
      <w:pPr>
        <w:spacing w:line="360" w:lineRule="auto"/>
        <w:jc w:val="center"/>
        <w:rPr>
          <w:rFonts w:hint="eastAsia" w:eastAsiaTheme="minorEastAsia"/>
          <w:lang w:eastAsia="zh-CN"/>
        </w:rPr>
      </w:pPr>
    </w:p>
    <w:p>
      <w:pPr>
        <w:spacing w:line="480" w:lineRule="auto"/>
        <w:jc w:val="center"/>
        <w:rPr>
          <w:rFonts w:ascii="Times New Roman" w:hAnsi="Times New Roman" w:eastAsia="楷体" w:cs="Times New Roman"/>
          <w:color w:val="000000"/>
          <w:kern w:val="0"/>
          <w:sz w:val="24"/>
        </w:rPr>
      </w:pPr>
      <w:r>
        <w:rPr>
          <w:rFonts w:ascii="Times New Roman" w:hAnsi="Times New Roman" w:eastAsia="楷体" w:cs="Times New Roman"/>
          <w:color w:val="000000"/>
          <w:kern w:val="0"/>
          <w:sz w:val="24"/>
        </w:rPr>
        <w:t xml:space="preserve">Table 1. Hub genes </w:t>
      </w:r>
      <w:r>
        <w:rPr>
          <w:rFonts w:hint="eastAsia" w:ascii="Times New Roman" w:hAnsi="Times New Roman" w:eastAsia="楷体" w:cs="Times New Roman"/>
          <w:color w:val="000000"/>
          <w:kern w:val="0"/>
          <w:sz w:val="24"/>
        </w:rPr>
        <w:t>of the "sinomenine-PHN" intersection genes</w:t>
      </w:r>
      <w:r>
        <w:rPr>
          <w:rFonts w:hint="eastAsia" w:ascii="Times New Roman" w:hAnsi="Times New Roman" w:eastAsia="楷体" w:cs="Times New Roman"/>
          <w:color w:val="000000"/>
          <w:kern w:val="0"/>
          <w:sz w:val="24"/>
          <w:lang w:val="en-US" w:eastAsia="zh-CN"/>
        </w:rPr>
        <w:t xml:space="preserve"> relate protein </w:t>
      </w:r>
      <w:r>
        <w:rPr>
          <w:rFonts w:ascii="Times New Roman" w:hAnsi="Times New Roman" w:eastAsia="楷体" w:cs="Times New Roman"/>
          <w:color w:val="000000"/>
          <w:kern w:val="0"/>
          <w:sz w:val="24"/>
        </w:rPr>
        <w:t>screened on the PDB website</w:t>
      </w:r>
      <w:r>
        <w:rPr>
          <w:rFonts w:hint="eastAsia" w:ascii="Times New Roman" w:hAnsi="Times New Roman" w:eastAsia="楷体" w:cs="Times New Roman"/>
          <w:color w:val="000000"/>
          <w:kern w:val="0"/>
          <w:sz w:val="24"/>
          <w:lang w:val="en-US" w:eastAsia="zh-CN"/>
        </w:rPr>
        <w:t xml:space="preserve"> </w:t>
      </w:r>
      <w:r>
        <w:rPr>
          <w:rFonts w:ascii="Times New Roman" w:hAnsi="Times New Roman" w:eastAsia="楷体" w:cs="Times New Roman"/>
          <w:color w:val="000000"/>
          <w:kern w:val="0"/>
          <w:sz w:val="24"/>
        </w:rPr>
        <w:t>and their ID names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5244"/>
        <w:gridCol w:w="1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tcBorders>
              <w:top w:val="single" w:color="000000" w:sz="18" w:space="0"/>
              <w:left w:val="nil"/>
              <w:bottom w:val="single" w:color="000000" w:sz="18" w:space="0"/>
              <w:right w:val="nil"/>
            </w:tcBorders>
            <w:vAlign w:val="center"/>
          </w:tcPr>
          <w:p>
            <w:pPr>
              <w:pStyle w:val="4"/>
              <w:spacing w:line="480" w:lineRule="auto"/>
              <w:jc w:val="center"/>
              <w:rPr>
                <w:rFonts w:ascii="Times New Roman" w:hAnsi="Times New Roman" w:eastAsia="楷体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Gene symbol</w:t>
            </w:r>
          </w:p>
        </w:tc>
        <w:tc>
          <w:tcPr>
            <w:tcW w:w="5244" w:type="dxa"/>
            <w:tcBorders>
              <w:top w:val="single" w:color="000000" w:sz="18" w:space="0"/>
              <w:left w:val="nil"/>
              <w:bottom w:val="single" w:color="000000" w:sz="18" w:space="0"/>
              <w:right w:val="nil"/>
            </w:tcBorders>
            <w:vAlign w:val="center"/>
          </w:tcPr>
          <w:p>
            <w:pPr>
              <w:pStyle w:val="4"/>
              <w:spacing w:line="480" w:lineRule="auto"/>
              <w:jc w:val="center"/>
              <w:rPr>
                <w:rFonts w:ascii="Times New Roman" w:hAnsi="Times New Roman" w:eastAsia="楷体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Description</w:t>
            </w:r>
          </w:p>
        </w:tc>
        <w:tc>
          <w:tcPr>
            <w:tcW w:w="1502" w:type="dxa"/>
            <w:tcBorders>
              <w:top w:val="single" w:color="000000" w:sz="18" w:space="0"/>
              <w:left w:val="nil"/>
              <w:bottom w:val="single" w:color="000000" w:sz="18" w:space="0"/>
              <w:right w:val="nil"/>
            </w:tcBorders>
            <w:vAlign w:val="center"/>
          </w:tcPr>
          <w:p>
            <w:pPr>
              <w:pStyle w:val="4"/>
              <w:spacing w:line="480" w:lineRule="auto"/>
              <w:jc w:val="center"/>
              <w:rPr>
                <w:rFonts w:ascii="Times New Roman" w:hAnsi="Times New Roman" w:eastAsia="楷体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PBD 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tcBorders>
              <w:top w:val="single" w:color="000000" w:sz="18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spacing w:line="480" w:lineRule="auto"/>
              <w:jc w:val="center"/>
              <w:rPr>
                <w:rFonts w:ascii="Times New Roman" w:hAnsi="Times New Roman" w:eastAsia="楷体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CACNA1E</w:t>
            </w:r>
          </w:p>
        </w:tc>
        <w:tc>
          <w:tcPr>
            <w:tcW w:w="5244" w:type="dxa"/>
            <w:tcBorders>
              <w:top w:val="single" w:color="000000" w:sz="18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spacing w:line="480" w:lineRule="auto"/>
              <w:jc w:val="center"/>
              <w:rPr>
                <w:rFonts w:ascii="Times New Roman" w:hAnsi="Times New Roman" w:eastAsia="楷体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Calcium voltage-gated channel subunit alpha1 A</w:t>
            </w:r>
          </w:p>
        </w:tc>
        <w:tc>
          <w:tcPr>
            <w:tcW w:w="1502" w:type="dxa"/>
            <w:tcBorders>
              <w:top w:val="single" w:color="000000" w:sz="18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spacing w:line="480" w:lineRule="auto"/>
              <w:jc w:val="center"/>
              <w:rPr>
                <w:rFonts w:ascii="Times New Roman" w:hAnsi="Times New Roman" w:eastAsia="楷体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3DVK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spacing w:line="480" w:lineRule="auto"/>
              <w:jc w:val="center"/>
              <w:rPr>
                <w:rFonts w:ascii="Times New Roman" w:hAnsi="Times New Roman" w:eastAsia="楷体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CACNA1C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spacing w:line="480" w:lineRule="auto"/>
              <w:jc w:val="center"/>
              <w:rPr>
                <w:rFonts w:ascii="Times New Roman" w:hAnsi="Times New Roman" w:eastAsia="楷体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Calcium voltage-gated channel subunit alpha1 B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spacing w:line="480" w:lineRule="auto"/>
              <w:jc w:val="center"/>
              <w:rPr>
                <w:rFonts w:ascii="Times New Roman" w:hAnsi="Times New Roman" w:eastAsia="楷体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2LQC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spacing w:line="480" w:lineRule="auto"/>
              <w:jc w:val="center"/>
              <w:rPr>
                <w:rFonts w:ascii="Times New Roman" w:hAnsi="Times New Roman" w:eastAsia="楷体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CACNA1B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spacing w:line="480" w:lineRule="auto"/>
              <w:jc w:val="center"/>
              <w:rPr>
                <w:rFonts w:ascii="Times New Roman" w:hAnsi="Times New Roman" w:eastAsia="楷体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Calcium voltage-gated channel subunit alpha1 C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spacing w:line="480" w:lineRule="auto"/>
              <w:jc w:val="center"/>
              <w:rPr>
                <w:rFonts w:ascii="Times New Roman" w:hAnsi="Times New Roman" w:eastAsia="楷体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2LCM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spacing w:line="480" w:lineRule="auto"/>
              <w:jc w:val="center"/>
              <w:rPr>
                <w:rFonts w:ascii="Times New Roman" w:hAnsi="Times New Roman" w:eastAsia="楷体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CACNA1A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spacing w:line="480" w:lineRule="auto"/>
              <w:jc w:val="center"/>
              <w:rPr>
                <w:rFonts w:ascii="Times New Roman" w:hAnsi="Times New Roman" w:eastAsia="楷体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Calcium voltage-gated channel subunit alpha1 D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spacing w:line="480" w:lineRule="auto"/>
              <w:jc w:val="center"/>
              <w:rPr>
                <w:rFonts w:ascii="Times New Roman" w:hAnsi="Times New Roman" w:eastAsia="楷体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3DVM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spacing w:line="480" w:lineRule="auto"/>
              <w:jc w:val="center"/>
              <w:rPr>
                <w:rFonts w:ascii="Times New Roman" w:hAnsi="Times New Roman" w:eastAsia="楷体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CACNA1D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spacing w:line="480" w:lineRule="auto"/>
              <w:jc w:val="center"/>
              <w:rPr>
                <w:rFonts w:ascii="Times New Roman" w:hAnsi="Times New Roman" w:eastAsia="楷体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Calcium voltage-gated channel subunit alpha1 E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spacing w:line="480" w:lineRule="auto"/>
              <w:jc w:val="center"/>
              <w:rPr>
                <w:rFonts w:ascii="Times New Roman" w:hAnsi="Times New Roman" w:eastAsia="楷体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7UHG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spacing w:line="480" w:lineRule="auto"/>
              <w:jc w:val="center"/>
              <w:rPr>
                <w:rFonts w:ascii="Times New Roman" w:hAnsi="Times New Roman" w:eastAsia="楷体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TNF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spacing w:line="480" w:lineRule="auto"/>
              <w:jc w:val="center"/>
              <w:rPr>
                <w:rFonts w:ascii="Times New Roman" w:hAnsi="Times New Roman" w:eastAsia="楷体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Tumor necrosis factor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spacing w:line="480" w:lineRule="auto"/>
              <w:jc w:val="center"/>
              <w:rPr>
                <w:rFonts w:ascii="Times New Roman" w:hAnsi="Times New Roman" w:eastAsia="楷体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2E7A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spacing w:line="480" w:lineRule="auto"/>
              <w:jc w:val="center"/>
              <w:rPr>
                <w:rFonts w:ascii="Times New Roman" w:hAnsi="Times New Roman" w:eastAsia="楷体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IFNG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spacing w:line="480" w:lineRule="auto"/>
              <w:jc w:val="center"/>
              <w:rPr>
                <w:rFonts w:ascii="Times New Roman" w:hAnsi="Times New Roman" w:eastAsia="楷体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Interferon-gamma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spacing w:line="480" w:lineRule="auto"/>
              <w:jc w:val="center"/>
              <w:rPr>
                <w:rFonts w:ascii="Times New Roman" w:hAnsi="Times New Roman" w:eastAsia="楷体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6F1E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spacing w:line="480" w:lineRule="auto"/>
              <w:jc w:val="center"/>
              <w:rPr>
                <w:rFonts w:ascii="Times New Roman" w:hAnsi="Times New Roman" w:eastAsia="楷体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PTGS1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spacing w:line="480" w:lineRule="auto"/>
              <w:jc w:val="center"/>
              <w:rPr>
                <w:rFonts w:ascii="Times New Roman" w:hAnsi="Times New Roman" w:eastAsia="楷体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Prostaglandin-endoperoxide synthase 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spacing w:line="480" w:lineRule="auto"/>
              <w:jc w:val="center"/>
              <w:rPr>
                <w:rFonts w:ascii="Times New Roman" w:hAnsi="Times New Roman" w:eastAsia="楷体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1EBV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spacing w:line="480" w:lineRule="auto"/>
              <w:jc w:val="center"/>
              <w:rPr>
                <w:rFonts w:ascii="Times New Roman" w:hAnsi="Times New Roman" w:eastAsia="楷体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IL1B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spacing w:line="480" w:lineRule="auto"/>
              <w:jc w:val="center"/>
              <w:rPr>
                <w:rFonts w:ascii="Times New Roman" w:hAnsi="Times New Roman" w:eastAsia="楷体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Interleukin 1 beta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spacing w:line="480" w:lineRule="auto"/>
              <w:jc w:val="center"/>
              <w:rPr>
                <w:rFonts w:ascii="Times New Roman" w:hAnsi="Times New Roman" w:eastAsia="楷体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1T4Q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spacing w:line="480" w:lineRule="auto"/>
              <w:jc w:val="center"/>
              <w:rPr>
                <w:rFonts w:ascii="Times New Roman" w:hAnsi="Times New Roman" w:eastAsia="楷体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IL4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spacing w:line="480" w:lineRule="auto"/>
              <w:jc w:val="center"/>
              <w:rPr>
                <w:rFonts w:ascii="Times New Roman" w:hAnsi="Times New Roman" w:eastAsia="楷体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Interleukin 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spacing w:line="480" w:lineRule="auto"/>
              <w:jc w:val="center"/>
              <w:rPr>
                <w:rFonts w:ascii="Times New Roman" w:hAnsi="Times New Roman" w:eastAsia="楷体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1IAR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spacing w:line="480" w:lineRule="auto"/>
              <w:jc w:val="center"/>
              <w:rPr>
                <w:rFonts w:ascii="Times New Roman" w:hAnsi="Times New Roman" w:eastAsia="楷体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IL10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spacing w:line="480" w:lineRule="auto"/>
              <w:jc w:val="center"/>
              <w:rPr>
                <w:rFonts w:ascii="Times New Roman" w:hAnsi="Times New Roman" w:eastAsia="楷体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Interleukin 10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spacing w:line="480" w:lineRule="auto"/>
              <w:jc w:val="center"/>
              <w:rPr>
                <w:rFonts w:ascii="Times New Roman" w:hAnsi="Times New Roman" w:eastAsia="楷体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1INR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spacing w:line="480" w:lineRule="auto"/>
              <w:jc w:val="center"/>
              <w:rPr>
                <w:rFonts w:ascii="Times New Roman" w:hAnsi="Times New Roman" w:eastAsia="楷体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CXCL8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spacing w:line="480" w:lineRule="auto"/>
              <w:jc w:val="center"/>
              <w:rPr>
                <w:rFonts w:ascii="Times New Roman" w:hAnsi="Times New Roman" w:eastAsia="楷体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C-X-C motif chemokine ligand 8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spacing w:line="480" w:lineRule="auto"/>
              <w:jc w:val="center"/>
              <w:rPr>
                <w:rFonts w:ascii="Times New Roman" w:hAnsi="Times New Roman" w:eastAsia="楷体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6XMN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spacing w:line="480" w:lineRule="auto"/>
              <w:jc w:val="center"/>
              <w:rPr>
                <w:rFonts w:ascii="Times New Roman" w:hAnsi="Times New Roman" w:eastAsia="楷体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KNG1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spacing w:line="480" w:lineRule="auto"/>
              <w:jc w:val="center"/>
              <w:rPr>
                <w:rFonts w:ascii="Times New Roman" w:hAnsi="Times New Roman" w:eastAsia="楷体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Kininogen 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spacing w:line="480" w:lineRule="auto"/>
              <w:jc w:val="center"/>
              <w:rPr>
                <w:rFonts w:ascii="Times New Roman" w:hAnsi="Times New Roman" w:eastAsia="楷体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6F27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spacing w:line="480" w:lineRule="auto"/>
              <w:jc w:val="center"/>
              <w:rPr>
                <w:rFonts w:ascii="Times New Roman" w:hAnsi="Times New Roman" w:eastAsia="楷体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CCR5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spacing w:line="480" w:lineRule="auto"/>
              <w:jc w:val="center"/>
              <w:rPr>
                <w:rFonts w:ascii="Times New Roman" w:hAnsi="Times New Roman" w:eastAsia="楷体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C-C motif chemokine receptor 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4"/>
              <w:spacing w:line="480" w:lineRule="auto"/>
              <w:jc w:val="center"/>
              <w:rPr>
                <w:rFonts w:ascii="Times New Roman" w:hAnsi="Times New Roman" w:eastAsia="楷体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2RRS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60" w:type="dxa"/>
            <w:tcBorders>
              <w:top w:val="nil"/>
              <w:left w:val="nil"/>
              <w:bottom w:val="single" w:color="000000" w:sz="18" w:space="0"/>
              <w:right w:val="nil"/>
            </w:tcBorders>
            <w:vAlign w:val="center"/>
          </w:tcPr>
          <w:p>
            <w:pPr>
              <w:pStyle w:val="4"/>
              <w:spacing w:line="480" w:lineRule="auto"/>
              <w:jc w:val="center"/>
              <w:rPr>
                <w:rFonts w:ascii="Times New Roman" w:hAnsi="Times New Roman" w:eastAsia="楷体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CCR7</w:t>
            </w:r>
          </w:p>
        </w:tc>
        <w:tc>
          <w:tcPr>
            <w:tcW w:w="5244" w:type="dxa"/>
            <w:tcBorders>
              <w:top w:val="nil"/>
              <w:left w:val="nil"/>
              <w:bottom w:val="single" w:color="000000" w:sz="18" w:space="0"/>
              <w:right w:val="nil"/>
            </w:tcBorders>
            <w:vAlign w:val="center"/>
          </w:tcPr>
          <w:p>
            <w:pPr>
              <w:pStyle w:val="4"/>
              <w:spacing w:line="480" w:lineRule="auto"/>
              <w:jc w:val="center"/>
              <w:rPr>
                <w:rFonts w:ascii="Times New Roman" w:hAnsi="Times New Roman" w:eastAsia="楷体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C-C motif chemokine receptor 7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000000" w:sz="18" w:space="0"/>
              <w:right w:val="nil"/>
            </w:tcBorders>
            <w:vAlign w:val="center"/>
          </w:tcPr>
          <w:p>
            <w:pPr>
              <w:pStyle w:val="4"/>
              <w:spacing w:line="480" w:lineRule="auto"/>
              <w:jc w:val="center"/>
              <w:rPr>
                <w:rFonts w:ascii="Times New Roman" w:hAnsi="Times New Roman" w:eastAsia="楷体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6QZH</w:t>
            </w:r>
          </w:p>
        </w:tc>
      </w:tr>
    </w:tbl>
    <w:p>
      <w:pPr>
        <w:spacing w:line="360" w:lineRule="auto"/>
        <w:jc w:val="center"/>
        <w:rPr>
          <w:rFonts w:hint="eastAsia" w:eastAsiaTheme="minorEastAsia"/>
          <w:lang w:eastAsia="zh-CN"/>
        </w:rPr>
      </w:pPr>
    </w:p>
    <w:p>
      <w:pPr>
        <w:spacing w:line="360" w:lineRule="auto"/>
        <w:jc w:val="center"/>
        <w:rPr>
          <w:rFonts w:hint="eastAsia" w:eastAsiaTheme="minorEastAsia"/>
          <w:lang w:eastAsia="zh-CN"/>
        </w:rPr>
      </w:pPr>
    </w:p>
    <w:p>
      <w:pPr>
        <w:spacing w:line="480" w:lineRule="auto"/>
        <w:jc w:val="center"/>
        <w:rPr>
          <w:rFonts w:ascii="Times New Roman" w:hAnsi="Times New Roman" w:eastAsia="宋体" w:cs="Times New Roman"/>
          <w:color w:val="000000"/>
          <w:kern w:val="0"/>
          <w:sz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</w:rPr>
        <w:t>Table 2. Molecular docking results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</w:rPr>
        <w:t xml:space="preserve"> of Hub genes and </w:t>
      </w:r>
      <w:r>
        <w:rPr>
          <w:rFonts w:ascii="Times New Roman" w:hAnsi="Times New Roman" w:eastAsia="宋体" w:cs="Times New Roman"/>
          <w:sz w:val="24"/>
        </w:rPr>
        <w:t>sinomenine</w:t>
      </w:r>
    </w:p>
    <w:tbl>
      <w:tblPr>
        <w:tblStyle w:val="8"/>
        <w:tblW w:w="7958" w:type="dxa"/>
        <w:jc w:val="center"/>
        <w:tblBorders>
          <w:top w:val="single" w:color="000000" w:themeColor="text1" w:sz="4" w:space="0"/>
          <w:left w:val="none" w:color="auto" w:sz="0" w:space="0"/>
          <w:bottom w:val="single" w:color="000000" w:themeColor="text1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3"/>
        <w:gridCol w:w="2600"/>
        <w:gridCol w:w="1319"/>
        <w:gridCol w:w="2256"/>
      </w:tblGrid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83" w:type="dxa"/>
            <w:tcBorders>
              <w:top w:val="single" w:color="000000" w:sz="18" w:space="0"/>
              <w:bottom w:val="single" w:color="000000" w:sz="18" w:space="0"/>
            </w:tcBorders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 w:val="0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00" w:type="dxa"/>
            <w:tcBorders>
              <w:top w:val="single" w:color="000000" w:sz="18" w:space="0"/>
              <w:bottom w:val="single" w:color="000000" w:sz="18" w:space="0"/>
            </w:tcBorders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</w:rPr>
              <w:t>Binding energy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</w:rPr>
              <w:t>(mol/kal)</w:t>
            </w:r>
            <w:r>
              <w:rPr>
                <w:rFonts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1319" w:type="dxa"/>
            <w:tcBorders>
              <w:top w:val="single" w:color="000000" w:sz="18" w:space="0"/>
              <w:bottom w:val="single" w:color="000000" w:sz="18" w:space="0"/>
            </w:tcBorders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</w:rPr>
              <w:t>RMSD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✱</w:t>
            </w:r>
          </w:p>
        </w:tc>
        <w:tc>
          <w:tcPr>
            <w:tcW w:w="2256" w:type="dxa"/>
            <w:tcBorders>
              <w:top w:val="single" w:color="000000" w:sz="18" w:space="0"/>
              <w:bottom w:val="single" w:color="000000" w:sz="18" w:space="0"/>
            </w:tcBorders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</w:rPr>
              <w:t>H-Bond distance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</w:rPr>
              <w:t>Å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</w:rPr>
              <w:t>)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3" w:type="dxa"/>
            <w:tcBorders>
              <w:top w:val="single" w:color="000000" w:sz="18" w:space="0"/>
            </w:tcBorders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KNG1</w:t>
            </w:r>
          </w:p>
        </w:tc>
        <w:tc>
          <w:tcPr>
            <w:tcW w:w="2600" w:type="dxa"/>
            <w:tcBorders>
              <w:top w:val="single" w:color="000000" w:sz="18" w:space="0"/>
            </w:tcBorders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-9.23</w:t>
            </w:r>
          </w:p>
        </w:tc>
        <w:tc>
          <w:tcPr>
            <w:tcW w:w="1319" w:type="dxa"/>
            <w:tcBorders>
              <w:top w:val="single" w:color="000000" w:sz="18" w:space="0"/>
            </w:tcBorders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4.66</w:t>
            </w:r>
          </w:p>
        </w:tc>
        <w:tc>
          <w:tcPr>
            <w:tcW w:w="2256" w:type="dxa"/>
            <w:tcBorders>
              <w:top w:val="single" w:color="000000" w:sz="18" w:space="0"/>
            </w:tcBorders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1.557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3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 w:val="0"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CACNA1C</w:t>
            </w:r>
          </w:p>
        </w:tc>
        <w:tc>
          <w:tcPr>
            <w:tcW w:w="2600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-7.21</w:t>
            </w:r>
          </w:p>
        </w:tc>
        <w:tc>
          <w:tcPr>
            <w:tcW w:w="1319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9.6</w:t>
            </w:r>
          </w:p>
        </w:tc>
        <w:tc>
          <w:tcPr>
            <w:tcW w:w="2256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1.87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3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CACNA1E</w:t>
            </w:r>
          </w:p>
        </w:tc>
        <w:tc>
          <w:tcPr>
            <w:tcW w:w="2600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-7.36</w:t>
            </w:r>
          </w:p>
        </w:tc>
        <w:tc>
          <w:tcPr>
            <w:tcW w:w="1319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23.66</w:t>
            </w:r>
          </w:p>
        </w:tc>
        <w:tc>
          <w:tcPr>
            <w:tcW w:w="2256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2.013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3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IL4</w:t>
            </w:r>
          </w:p>
        </w:tc>
        <w:tc>
          <w:tcPr>
            <w:tcW w:w="2600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-6.25</w:t>
            </w:r>
          </w:p>
        </w:tc>
        <w:tc>
          <w:tcPr>
            <w:tcW w:w="1319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12.42</w:t>
            </w:r>
          </w:p>
        </w:tc>
        <w:tc>
          <w:tcPr>
            <w:tcW w:w="2256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1.776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3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TNF</w:t>
            </w:r>
          </w:p>
        </w:tc>
        <w:tc>
          <w:tcPr>
            <w:tcW w:w="2600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-6.27</w:t>
            </w:r>
          </w:p>
        </w:tc>
        <w:tc>
          <w:tcPr>
            <w:tcW w:w="1319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28.32</w:t>
            </w:r>
          </w:p>
        </w:tc>
        <w:tc>
          <w:tcPr>
            <w:tcW w:w="2256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1.856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3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CCR5</w:t>
            </w:r>
          </w:p>
        </w:tc>
        <w:tc>
          <w:tcPr>
            <w:tcW w:w="2600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-5.5</w:t>
            </w:r>
          </w:p>
        </w:tc>
        <w:tc>
          <w:tcPr>
            <w:tcW w:w="1319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4.22</w:t>
            </w:r>
          </w:p>
        </w:tc>
        <w:tc>
          <w:tcPr>
            <w:tcW w:w="2256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1.716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3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CCR7</w:t>
            </w:r>
          </w:p>
        </w:tc>
        <w:tc>
          <w:tcPr>
            <w:tcW w:w="2600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-6.54</w:t>
            </w:r>
          </w:p>
        </w:tc>
        <w:tc>
          <w:tcPr>
            <w:tcW w:w="1319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42.9</w:t>
            </w:r>
          </w:p>
        </w:tc>
        <w:tc>
          <w:tcPr>
            <w:tcW w:w="2256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1.721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3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IL10</w:t>
            </w:r>
          </w:p>
        </w:tc>
        <w:tc>
          <w:tcPr>
            <w:tcW w:w="2600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-6.18</w:t>
            </w:r>
          </w:p>
        </w:tc>
        <w:tc>
          <w:tcPr>
            <w:tcW w:w="1319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29.17</w:t>
            </w:r>
          </w:p>
        </w:tc>
        <w:tc>
          <w:tcPr>
            <w:tcW w:w="2256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3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IFNG</w:t>
            </w:r>
          </w:p>
        </w:tc>
        <w:tc>
          <w:tcPr>
            <w:tcW w:w="2600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-5.69</w:t>
            </w:r>
          </w:p>
        </w:tc>
        <w:tc>
          <w:tcPr>
            <w:tcW w:w="1319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42.63</w:t>
            </w:r>
          </w:p>
        </w:tc>
        <w:tc>
          <w:tcPr>
            <w:tcW w:w="2256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1.856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3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CACNA1B</w:t>
            </w:r>
          </w:p>
        </w:tc>
        <w:tc>
          <w:tcPr>
            <w:tcW w:w="2600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-5.39</w:t>
            </w:r>
          </w:p>
        </w:tc>
        <w:tc>
          <w:tcPr>
            <w:tcW w:w="1319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29.16</w:t>
            </w:r>
          </w:p>
        </w:tc>
        <w:tc>
          <w:tcPr>
            <w:tcW w:w="2256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1.842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3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CACNA1A</w:t>
            </w:r>
          </w:p>
        </w:tc>
        <w:tc>
          <w:tcPr>
            <w:tcW w:w="2600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-5.97</w:t>
            </w:r>
          </w:p>
        </w:tc>
        <w:tc>
          <w:tcPr>
            <w:tcW w:w="1319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153.49</w:t>
            </w:r>
          </w:p>
        </w:tc>
        <w:tc>
          <w:tcPr>
            <w:tcW w:w="2256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2.018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3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CXCL8</w:t>
            </w:r>
          </w:p>
        </w:tc>
        <w:tc>
          <w:tcPr>
            <w:tcW w:w="2600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-5.26</w:t>
            </w:r>
          </w:p>
        </w:tc>
        <w:tc>
          <w:tcPr>
            <w:tcW w:w="1319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21.6</w:t>
            </w:r>
          </w:p>
        </w:tc>
        <w:tc>
          <w:tcPr>
            <w:tcW w:w="2256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1.977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3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 w:val="0"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IL1B</w:t>
            </w:r>
          </w:p>
        </w:tc>
        <w:tc>
          <w:tcPr>
            <w:tcW w:w="2600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-5.12</w:t>
            </w:r>
          </w:p>
        </w:tc>
        <w:tc>
          <w:tcPr>
            <w:tcW w:w="1319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12.63</w:t>
            </w:r>
          </w:p>
        </w:tc>
        <w:tc>
          <w:tcPr>
            <w:tcW w:w="2256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1.917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3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 w:val="0"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CACNA1D</w:t>
            </w:r>
          </w:p>
        </w:tc>
        <w:tc>
          <w:tcPr>
            <w:tcW w:w="2600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-6.28</w:t>
            </w:r>
          </w:p>
        </w:tc>
        <w:tc>
          <w:tcPr>
            <w:tcW w:w="1319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256.01</w:t>
            </w:r>
          </w:p>
        </w:tc>
        <w:tc>
          <w:tcPr>
            <w:tcW w:w="2256" w:type="dxa"/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1.999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3" w:type="dxa"/>
            <w:tcBorders>
              <w:bottom w:val="single" w:color="000000" w:sz="18" w:space="0"/>
            </w:tcBorders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PTGS1</w:t>
            </w:r>
          </w:p>
        </w:tc>
        <w:tc>
          <w:tcPr>
            <w:tcW w:w="2600" w:type="dxa"/>
            <w:tcBorders>
              <w:bottom w:val="single" w:color="000000" w:sz="18" w:space="0"/>
            </w:tcBorders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-5.67</w:t>
            </w:r>
          </w:p>
        </w:tc>
        <w:tc>
          <w:tcPr>
            <w:tcW w:w="1319" w:type="dxa"/>
            <w:tcBorders>
              <w:bottom w:val="single" w:color="000000" w:sz="18" w:space="0"/>
            </w:tcBorders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189.82</w:t>
            </w:r>
          </w:p>
        </w:tc>
        <w:tc>
          <w:tcPr>
            <w:tcW w:w="2256" w:type="dxa"/>
            <w:tcBorders>
              <w:bottom w:val="single" w:color="000000" w:sz="18" w:space="0"/>
            </w:tcBorders>
            <w:shd w:val="clear" w:color="auto" w:fill="auto"/>
            <w:noWrap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1.901</w:t>
            </w:r>
          </w:p>
        </w:tc>
      </w:tr>
    </w:tbl>
    <w:p>
      <w:pPr>
        <w:spacing w:line="480" w:lineRule="auto"/>
        <w:rPr>
          <w:rFonts w:ascii="Times New Roman" w:hAnsi="Times New Roman" w:eastAsia="微软雅黑" w:cs="Times New Roman"/>
          <w:color w:val="000000"/>
          <w:kern w:val="0"/>
          <w:sz w:val="24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</w:rPr>
        <w:t xml:space="preserve">  </w:t>
      </w:r>
      <w:r>
        <w:rPr>
          <w:rFonts w:ascii="Times New Roman" w:hAnsi="Times New Roman" w:eastAsia="微软雅黑" w:cs="Times New Roman"/>
          <w:color w:val="000000"/>
          <w:kern w:val="0"/>
          <w:sz w:val="24"/>
        </w:rPr>
        <w:t>✱RMSD:</w:t>
      </w:r>
      <w:r>
        <w:rPr>
          <w:rFonts w:hint="eastAsia" w:ascii="Times New Roman" w:hAnsi="Times New Roman" w:eastAsia="微软雅黑" w:cs="Times New Roman"/>
          <w:color w:val="000000"/>
          <w:kern w:val="0"/>
          <w:sz w:val="24"/>
        </w:rPr>
        <w:t xml:space="preserve"> </w:t>
      </w:r>
      <w:r>
        <w:rPr>
          <w:rFonts w:ascii="Times New Roman" w:hAnsi="Times New Roman" w:eastAsia="微软雅黑" w:cs="Times New Roman"/>
          <w:color w:val="000000"/>
          <w:kern w:val="0"/>
          <w:sz w:val="24"/>
        </w:rPr>
        <w:t>Root Mean Square Deviation</w:t>
      </w:r>
    </w:p>
    <w:p>
      <w:pPr>
        <w:spacing w:line="360" w:lineRule="auto"/>
        <w:jc w:val="center"/>
        <w:rPr>
          <w:rFonts w:hint="default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jZGMwMTA0OGU4ZTJhYWQwOGNmZThmYzQwOTQwYjMifQ=="/>
  </w:docVars>
  <w:rsids>
    <w:rsidRoot w:val="3ED01CE8"/>
    <w:rsid w:val="04DD5D12"/>
    <w:rsid w:val="39813F92"/>
    <w:rsid w:val="3ED01CE8"/>
    <w:rsid w:val="5BDD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清单表 6 彩色1"/>
    <w:basedOn w:val="5"/>
    <w:qFormat/>
    <w:uiPriority w:val="51"/>
    <w:rPr>
      <w:rFonts w:ascii="Times New Roman" w:hAnsi="Times New Roman" w:eastAsia="宋体" w:cs="Times New Roman"/>
      <w:color w:val="000000" w:themeColor="text1"/>
      <w:kern w:val="0"/>
      <w:sz w:val="20"/>
      <w:szCs w:val="20"/>
      <w14:textFill>
        <w14:solidFill>
          <w14:schemeClr w14:val="tx1"/>
        </w14:solidFill>
      </w14:textFill>
    </w:rPr>
    <w:tblPr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291</Words>
  <Characters>1704</Characters>
  <Lines>0</Lines>
  <Paragraphs>0</Paragraphs>
  <TotalTime>1</TotalTime>
  <ScaleCrop>false</ScaleCrop>
  <LinksUpToDate>false</LinksUpToDate>
  <CharactersWithSpaces>1877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2022-11-06T02:48:00Z</dcterms:created>
  <dc:creator>张洪丽</dc:creator>
  <cp:lastModifiedBy>张洪丽</cp:lastModifiedBy>
  <dcterms:modified xsi:type="dcterms:W3CDTF">2022-11-11T16:20:08Z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E038E8A7328F4C60B8C706DAF6A5FDCB</vt:lpwstr>
  </property>
</Properties>
</file>