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00CA" w:rsidRDefault="00FB41AF" w:rsidP="007525F1">
      <w:pPr>
        <w:pStyle w:val="Paragraph"/>
        <w:spacing w:line="480" w:lineRule="auto"/>
        <w:ind w:firstLine="0"/>
        <w:rPr>
          <w:b/>
          <w:color w:val="000000" w:themeColor="text1"/>
        </w:rPr>
      </w:pPr>
      <w:r>
        <w:rPr>
          <w:b/>
          <w:color w:val="000000" w:themeColor="text1"/>
        </w:rPr>
        <w:t>S</w:t>
      </w:r>
      <w:r w:rsidR="00855A52">
        <w:rPr>
          <w:b/>
          <w:color w:val="000000" w:themeColor="text1"/>
        </w:rPr>
        <w:t>upplementary Materials</w:t>
      </w:r>
    </w:p>
    <w:p w:rsidR="002900CA" w:rsidRPr="007525F1" w:rsidRDefault="00D62124" w:rsidP="007525F1">
      <w:pPr>
        <w:spacing w:line="48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8"/>
        </w:rPr>
      </w:pPr>
      <w:r w:rsidRPr="007525F1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8"/>
        </w:rPr>
        <w:t>Methods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  <w:t xml:space="preserve">Overexpression of HNF4α in UMSCs 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HNF4α cDNA was cloned from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human umbilical cord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MSCs into </w:t>
      </w:r>
      <w:proofErr w:type="spellStart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pHelper</w:t>
      </w:r>
      <w:proofErr w:type="spellEnd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 1.0 plasmid. </w:t>
      </w:r>
      <w:bookmarkStart w:id="0" w:name="OLE_LINK8"/>
      <w:bookmarkStart w:id="1" w:name="OLE_LINK9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The UMSCs were then infected with lentiviral particles</w:t>
      </w:r>
      <w:bookmarkEnd w:id="0"/>
      <w:bookmarkEnd w:id="1"/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 of HNF4</w:t>
      </w:r>
      <w:r w:rsidR="00FB41AF"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S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α-GFP or GFP (used as a control). Overexpression of HNF4α was confirmed by confocal laser-scanning microscope and Western blotting. 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  <w:t xml:space="preserve">Western blot 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</w:pPr>
      <w:r>
        <w:rPr>
          <w:rStyle w:val="fontstyle01"/>
        </w:rPr>
        <w:t xml:space="preserve">Western blotting was performed to analyze the protein expression levels. The cell extracts were isolated from cultured hepatocytes using NE-PER Nuclear and Cytoplasmic Extraction Reagents (Thermo Fisher scientific, Waltham, MA, USA). The primary antibodies against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HNF4α (Abcam), and β-actin as control (Sigma-Aldrich) were utilized.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  <w:t>Harvest of conditioned medium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Microcapsules of human hepatocytes, with or without HNF4α-UMSCs or UMSCs were cultured for four days, and the conditioned medium (CM) was harvested and stored at -80 °C.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</w:pP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8"/>
        </w:rPr>
        <w:t>RNA extraction and real-time PCR</w:t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RNA extraction and real-time PCR were performed as described previously.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instrText xml:space="preserve"> ADDIN EN.CITE &lt;EndNote&gt;&lt;Cite&gt;&lt;Author&gt;Kong&lt;/Author&gt;&lt;Year&gt;2018&lt;/Year&gt;&lt;RecNum&gt;79&lt;/RecNum&gt;&lt;DisplayText&gt;&lt;style face="superscript"&gt;18&lt;/style&gt;&lt;/DisplayText&gt;&lt;record&gt;&lt;rec-number&gt;79&lt;/rec-number&gt;&lt;foreign-keys&gt;&lt;key app="EN" db-id="f9rat9st3990f6esawypfzznaa9pdswt2vvv" timestamp="1545811733"&gt;79&lt;/key&gt;&lt;/foreign-keys&gt;&lt;ref-type name="Journal Article"&gt;17&lt;/ref-type&gt;&lt;contributors&gt;&lt;authors&gt;&lt;author&gt;Kong, D.&lt;/author&gt;&lt;author&gt;Hua, X.&lt;/author&gt;&lt;author&gt;Qin, T.&lt;/author&gt;&lt;author&gt;Zhang, J.&lt;/author&gt;&lt;author&gt;He, K.&lt;/author&gt;&lt;author&gt;Xia, Q.&lt;/author&gt;&lt;/authors&gt;&lt;/contributors&gt;&lt;auth-address&gt;Department of Liver Surgery, Renji Hospital, School of Medicine, Shanghai Jiao Tong University, Shanghai, China.&amp;#xD;Center of Organ Transplantation, The Affiliated Hospital of Qingdao University and Institute of Transplant Medicine, Qingdao University, Qingdao, China.&lt;/auth-address&gt;&lt;titles&gt;&lt;title&gt;Inhibition of glycogen synthase kinase 3beta protects liver against ischemia/reperfusion injury by activating 5&amp;apos; adenosine monophosphate-activated protein kinase-mediated autophagy&lt;/title&gt;&lt;secondary-title&gt;Hepatol Res&lt;/secondary-title&gt;&lt;alt-title&gt;Hepatology research : the official journal of the Japan Society of Hepatology&lt;/alt-title&gt;&lt;/titles&gt;&lt;periodical&gt;&lt;full-title&gt;Hepatol Res&lt;/full-title&gt;&lt;abbr-1&gt;Hepatology research : the official journal of the Japan Society of Hepatology&lt;/abbr-1&gt;&lt;/periodical&gt;&lt;alt-periodical&gt;&lt;full-title&gt;Hepatol Res&lt;/full-title&gt;&lt;abbr-1&gt;Hepatology research : the official journal of the Japan Society of Hepatology&lt;/abbr-1&gt;&lt;/alt-periodical&gt;&lt;edition&gt;2018/12/20&lt;/edition&gt;&lt;keywords&gt;&lt;keyword&gt;Ampk&lt;/keyword&gt;&lt;keyword&gt;GSK3beta&lt;/keyword&gt;&lt;keyword&gt;autophagy&lt;/keyword&gt;&lt;keyword&gt;hepatic ischemia/reperfusion injury&lt;/keyword&gt;&lt;/keywords&gt;&lt;dates&gt;&lt;year&gt;2018&lt;/year&gt;&lt;pub-dates&gt;&lt;date&gt;Nov 22&lt;/date&gt;&lt;/pub-dates&gt;&lt;/dates&gt;&lt;isbn&gt;1386-6346 (Print)&amp;#xD;1386-6346&lt;/isbn&gt;&lt;accession-num&gt;30565807&lt;/accession-num&gt;&lt;urls&gt;&lt;/urls&gt;&lt;electronic-resource-num&gt;10.1111/hepr.13287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separate"/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>18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end"/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The PCR primers are listed in Table S1.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Total liver RNA was extracted using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TRIzol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(Takara, Tokyo, Japan) reagent according to the manufacturer’s instructions. The cDNA was synthesized with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PrimeScript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RT reagent Kit (Takara).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q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-PCR was performed using CFX 96 q-PCR system (BIO-RAD, Hercules, CA, USA). A SYBR RT-PCR kit (Takara) was used for quantitative real-time PCR analysis. The relative expression levels for target gene were normalized by β-actin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or GAPDH. </w:t>
      </w:r>
    </w:p>
    <w:p w:rsidR="00D62124" w:rsidRDefault="00D62124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:rsidR="00D62124" w:rsidRDefault="00D62124">
      <w:pPr>
        <w:spacing w:line="48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</w:pPr>
      <w:r w:rsidRPr="007525F1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lastRenderedPageBreak/>
        <w:t>S</w:t>
      </w:r>
      <w:r w:rsidRPr="007525F1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upplementary figure and table legends</w:t>
      </w:r>
    </w:p>
    <w:p w:rsidR="00804044" w:rsidRPr="00804044" w:rsidRDefault="00804044" w:rsidP="00804044">
      <w:pPr>
        <w:spacing w:line="480" w:lineRule="auto"/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5269230" cy="2000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0CA" w:rsidRDefault="00855A52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 xml:space="preserve">Figure S1: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Primary hepatocytes were co-encapsulated with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HNF4α-UMSCs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at a ratio of 10:1, 5:1, and 2.5:1. Measurement of albumin secretion and urea synthesis in the supernatant of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microcapsules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different groups at varied time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points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:rsidR="002900CA" w:rsidRDefault="00EF0549" w:rsidP="00804044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6381750" cy="27660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27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0CA" w:rsidRDefault="00855A52" w:rsidP="00142BCB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: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bookmarkStart w:id="2" w:name="_GoBack"/>
      <w:r w:rsidR="00B67195" w:rsidRPr="005E5539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HB-EGF </w:t>
      </w:r>
      <w:r w:rsidR="00B67195" w:rsidRPr="005E5539">
        <w:rPr>
          <w:rFonts w:ascii="Times New Roman" w:eastAsia="宋体" w:hAnsi="Times New Roman" w:cs="Times New Roman" w:hint="eastAsia"/>
          <w:color w:val="FF0000"/>
          <w:kern w:val="0"/>
          <w:sz w:val="24"/>
          <w:szCs w:val="24"/>
        </w:rPr>
        <w:t>in</w:t>
      </w:r>
      <w:r w:rsidR="00B67195" w:rsidRPr="005E5539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fluenced inflammatory cells infiltration and cytokines secretions. </w:t>
      </w:r>
      <w:r w:rsidR="00B67195" w:rsidRPr="005E5539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>(A)</w:t>
      </w:r>
      <w:r w:rsidR="00B67195" w:rsidRPr="005E5539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 Immunochemistry images of liver sections with MPO and F4/80 antibodies (original magnification, × 200). </w:t>
      </w:r>
      <w:r w:rsidR="00B67195" w:rsidRPr="005E5539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>(B)</w:t>
      </w:r>
      <w:r w:rsidR="00B67195" w:rsidRPr="005E5539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 Quantification of MPO and F4/80 positive cells in sights.</w:t>
      </w:r>
      <w:r w:rsidR="00B67195" w:rsidRPr="005E5539"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</w:rPr>
        <w:t xml:space="preserve"> (C)</w:t>
      </w:r>
      <w:r w:rsidR="00B67195" w:rsidRPr="005E5539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 </w:t>
      </w:r>
      <w:r w:rsidR="00B67195" w:rsidRPr="005E5539">
        <w:rPr>
          <w:rFonts w:ascii="Times New Roman" w:eastAsia="宋体" w:hAnsi="Times New Roman" w:cs="Times New Roman" w:hint="eastAsia"/>
          <w:color w:val="FF0000"/>
          <w:kern w:val="0"/>
          <w:sz w:val="24"/>
          <w:szCs w:val="24"/>
        </w:rPr>
        <w:t>The mRNA levels of TNF</w:t>
      </w:r>
      <w:r w:rsidR="00B67195" w:rsidRPr="005E5539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>-α</w:t>
      </w:r>
      <w:r w:rsidR="00B67195" w:rsidRPr="005E5539">
        <w:rPr>
          <w:rFonts w:ascii="Times New Roman" w:eastAsia="宋体" w:hAnsi="Times New Roman" w:cs="Times New Roman" w:hint="eastAsia"/>
          <w:color w:val="FF0000"/>
          <w:kern w:val="0"/>
          <w:sz w:val="24"/>
          <w:szCs w:val="24"/>
        </w:rPr>
        <w:t xml:space="preserve"> and IL-8 levels in the</w:t>
      </w:r>
      <w:r w:rsidR="00C56452" w:rsidRPr="005E5539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 </w:t>
      </w:r>
      <w:r w:rsidR="00C56452" w:rsidRPr="005E5539">
        <w:rPr>
          <w:rFonts w:ascii="Times New Roman" w:eastAsia="宋体" w:hAnsi="Times New Roman" w:cs="Times New Roman" w:hint="eastAsia"/>
          <w:color w:val="FF0000"/>
          <w:kern w:val="0"/>
          <w:sz w:val="24"/>
          <w:szCs w:val="24"/>
        </w:rPr>
        <w:t>hepatocytes</w:t>
      </w:r>
      <w:r w:rsidR="00C56452" w:rsidRPr="005E5539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 xml:space="preserve"> co-cultured with HNF4-α</w:t>
      </w:r>
      <w:r w:rsidR="00C56452" w:rsidRPr="005E5539">
        <w:rPr>
          <w:rFonts w:ascii="Times New Roman" w:eastAsia="宋体" w:hAnsi="Times New Roman" w:cs="Times New Roman" w:hint="eastAsia"/>
          <w:color w:val="FF0000"/>
          <w:kern w:val="0"/>
          <w:sz w:val="24"/>
          <w:szCs w:val="24"/>
        </w:rPr>
        <w:t>-</w:t>
      </w:r>
      <w:r w:rsidR="00C56452" w:rsidRPr="005E5539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>UMSC</w:t>
      </w:r>
      <w:r w:rsidR="00C56452" w:rsidRPr="005E5539">
        <w:rPr>
          <w:rFonts w:ascii="Times New Roman" w:eastAsia="宋体" w:hAnsi="Times New Roman" w:cs="Times New Roman" w:hint="eastAsia"/>
          <w:color w:val="FF0000"/>
          <w:kern w:val="0"/>
          <w:sz w:val="24"/>
          <w:szCs w:val="24"/>
        </w:rPr>
        <w:t>-</w:t>
      </w:r>
      <w:r w:rsidR="00C56452" w:rsidRPr="005E5539"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t>HEP, with or without Anti-HB-EGF.</w:t>
      </w:r>
      <w:bookmarkEnd w:id="2"/>
    </w:p>
    <w:tbl>
      <w:tblPr>
        <w:tblW w:w="910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66"/>
        <w:gridCol w:w="3677"/>
        <w:gridCol w:w="3657"/>
      </w:tblGrid>
      <w:tr w:rsidR="009471B3" w:rsidRPr="009471B3" w:rsidTr="009471B3">
        <w:trPr>
          <w:trHeight w:val="670"/>
          <w:jc w:val="center"/>
        </w:trPr>
        <w:tc>
          <w:tcPr>
            <w:tcW w:w="910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Default="009471B3" w:rsidP="009471B3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宋体" w:hAnsi="Arial" w:cs="Arial"/>
                <w:color w:val="auto"/>
                <w:kern w:val="0"/>
                <w:sz w:val="30"/>
                <w:szCs w:val="30"/>
              </w:rPr>
            </w:pPr>
          </w:p>
          <w:p w:rsidR="00C56452" w:rsidRDefault="00C56452" w:rsidP="009471B3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宋体" w:hAnsi="Arial" w:cs="Arial"/>
                <w:color w:val="auto"/>
                <w:kern w:val="0"/>
                <w:sz w:val="30"/>
                <w:szCs w:val="30"/>
              </w:rPr>
            </w:pPr>
          </w:p>
          <w:p w:rsidR="00C56452" w:rsidRDefault="00C56452" w:rsidP="009471B3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宋体" w:hAnsi="Arial" w:cs="Arial"/>
                <w:color w:val="auto"/>
                <w:kern w:val="0"/>
                <w:sz w:val="30"/>
                <w:szCs w:val="30"/>
              </w:rPr>
            </w:pPr>
          </w:p>
          <w:p w:rsidR="00C56452" w:rsidRPr="009471B3" w:rsidRDefault="00C56452" w:rsidP="00C56452">
            <w:pPr>
              <w:widowControl/>
              <w:spacing w:after="0" w:line="240" w:lineRule="auto"/>
              <w:jc w:val="center"/>
              <w:textAlignment w:val="center"/>
              <w:rPr>
                <w:rFonts w:ascii="Arial" w:eastAsia="宋体" w:hAnsi="Arial" w:cs="Arial"/>
                <w:color w:val="auto"/>
                <w:kern w:val="0"/>
                <w:sz w:val="30"/>
                <w:szCs w:val="30"/>
              </w:rPr>
            </w:pPr>
            <w:r>
              <w:rPr>
                <w:rFonts w:ascii="Arial" w:eastAsia="宋体" w:hAnsi="Arial" w:cs="Arial" w:hint="eastAsia"/>
                <w:color w:val="auto"/>
                <w:kern w:val="0"/>
                <w:sz w:val="30"/>
                <w:szCs w:val="30"/>
              </w:rPr>
              <w:lastRenderedPageBreak/>
              <w:t>S</w:t>
            </w:r>
            <w:r>
              <w:rPr>
                <w:rFonts w:ascii="Arial" w:eastAsia="宋体" w:hAnsi="Arial" w:cs="Arial"/>
                <w:color w:val="auto"/>
                <w:kern w:val="0"/>
                <w:sz w:val="30"/>
                <w:szCs w:val="30"/>
              </w:rPr>
              <w:t>upplementary Table 1</w:t>
            </w:r>
          </w:p>
        </w:tc>
      </w:tr>
      <w:tr w:rsidR="009471B3" w:rsidRPr="009471B3" w:rsidTr="009471B3">
        <w:trPr>
          <w:trHeight w:val="472"/>
          <w:jc w:val="center"/>
        </w:trPr>
        <w:tc>
          <w:tcPr>
            <w:tcW w:w="1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lastRenderedPageBreak/>
              <w:t>Gene</w:t>
            </w:r>
          </w:p>
        </w:tc>
        <w:tc>
          <w:tcPr>
            <w:tcW w:w="3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Forward Primer</w:t>
            </w:r>
          </w:p>
        </w:tc>
        <w:tc>
          <w:tcPr>
            <w:tcW w:w="36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Reverse Primer</w:t>
            </w:r>
          </w:p>
        </w:tc>
      </w:tr>
      <w:tr w:rsidR="009471B3" w:rsidRPr="009471B3" w:rsidTr="009471B3">
        <w:trPr>
          <w:trHeight w:val="293"/>
          <w:jc w:val="center"/>
        </w:trPr>
        <w:tc>
          <w:tcPr>
            <w:tcW w:w="17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Human ALB</w:t>
            </w:r>
          </w:p>
        </w:tc>
        <w:tc>
          <w:tcPr>
            <w:tcW w:w="3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TGCAACTCTTCGTGAAACCTATG</w:t>
            </w:r>
          </w:p>
        </w:tc>
        <w:tc>
          <w:tcPr>
            <w:tcW w:w="36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ACATCAACCTCTGGTCTCACC</w:t>
            </w:r>
          </w:p>
        </w:tc>
      </w:tr>
      <w:tr w:rsidR="009471B3" w:rsidRPr="009471B3" w:rsidTr="009471B3">
        <w:trPr>
          <w:trHeight w:val="293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Human CK18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GGCATCCAGAACGAGAAGGAG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ATTGTCCACAGTATTTGCGAAGA</w:t>
            </w:r>
          </w:p>
        </w:tc>
      </w:tr>
      <w:tr w:rsidR="009471B3" w:rsidRPr="009471B3" w:rsidTr="009471B3">
        <w:trPr>
          <w:trHeight w:val="293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Human CYP3A4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AAGTCGCCTCGAAGATACACA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AAGGAGAGAACACTGCTCGTG</w:t>
            </w:r>
          </w:p>
        </w:tc>
      </w:tr>
      <w:tr w:rsidR="009471B3" w:rsidRPr="009471B3" w:rsidTr="009471B3">
        <w:trPr>
          <w:trHeight w:val="293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Human GAPDH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GGCTGTTGTCATACTTCTCATGG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GGAGCGAGATCCCTCCAAAAT</w:t>
            </w:r>
          </w:p>
        </w:tc>
      </w:tr>
      <w:tr w:rsidR="009471B3" w:rsidRPr="009471B3" w:rsidTr="009471B3">
        <w:trPr>
          <w:trHeight w:val="293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Mouse INOS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GTTCTCAGCCCAACAATACAAGA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GTGGACGGGTCGATGTCAC</w:t>
            </w:r>
          </w:p>
        </w:tc>
      </w:tr>
      <w:tr w:rsidR="009471B3" w:rsidRPr="009471B3" w:rsidTr="009471B3">
        <w:trPr>
          <w:trHeight w:val="293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Mouse CD86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TCAATGGGACTGCATATCTGCC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GCCAAAATACTACCAGCTCACT</w:t>
            </w:r>
          </w:p>
        </w:tc>
      </w:tr>
      <w:tr w:rsidR="009471B3" w:rsidRPr="009471B3" w:rsidTr="009471B3">
        <w:trPr>
          <w:trHeight w:val="147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Mouse TNF</w:t>
            </w: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  <w:lang w:val="el-GR"/>
              </w:rPr>
              <w:t>α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CAGGCGGTGCCTATGTCTC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CGATCACCCCGAAGTTCAGTAG</w:t>
            </w:r>
          </w:p>
        </w:tc>
      </w:tr>
      <w:tr w:rsidR="009471B3" w:rsidRPr="009471B3" w:rsidTr="009471B3">
        <w:trPr>
          <w:trHeight w:val="136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kern w:val="24"/>
                <w:sz w:val="22"/>
                <w:szCs w:val="22"/>
              </w:rPr>
              <w:t>Mouse CXCL 15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kern w:val="24"/>
                <w:sz w:val="22"/>
                <w:szCs w:val="22"/>
              </w:rPr>
              <w:t>TCGAGACCATTTACTGCAACAG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kern w:val="24"/>
                <w:sz w:val="22"/>
                <w:szCs w:val="22"/>
              </w:rPr>
              <w:t>CATTGCCGGTGGAAATTCCTT</w:t>
            </w:r>
          </w:p>
        </w:tc>
      </w:tr>
      <w:tr w:rsidR="009471B3" w:rsidRPr="009471B3" w:rsidTr="009471B3">
        <w:trPr>
          <w:trHeight w:val="293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Mouse Arg-1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CTCCAAGCCAAAGTCCTTAGAG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GGAGCTGTCATTAGGGACATCA</w:t>
            </w:r>
          </w:p>
        </w:tc>
      </w:tr>
      <w:tr w:rsidR="009471B3" w:rsidRPr="009471B3" w:rsidTr="009471B3">
        <w:trPr>
          <w:trHeight w:val="293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 xml:space="preserve">Mouse </w:t>
            </w:r>
            <w:proofErr w:type="spellStart"/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Ppar</w:t>
            </w:r>
            <w:proofErr w:type="spellEnd"/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-γ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GGAAGACCACTCGCATTCCTT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GTAATCAGCAACCATTGGGTCA</w:t>
            </w:r>
          </w:p>
        </w:tc>
      </w:tr>
      <w:tr w:rsidR="009471B3" w:rsidRPr="009471B3" w:rsidTr="009471B3">
        <w:trPr>
          <w:trHeight w:val="293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Mouse CD206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CTCTGTTCAGCTATTGGACGC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TGGCACTCCCAAACATAATTTGA</w:t>
            </w:r>
          </w:p>
        </w:tc>
      </w:tr>
      <w:tr w:rsidR="009471B3" w:rsidRPr="009471B3" w:rsidTr="009471B3">
        <w:trPr>
          <w:trHeight w:val="293"/>
          <w:jc w:val="center"/>
        </w:trPr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Mouse β-actin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GTGACGTTGACATCCGTAAAGA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9471B3" w:rsidRPr="009471B3" w:rsidRDefault="009471B3" w:rsidP="009471B3">
            <w:pPr>
              <w:widowControl/>
              <w:spacing w:after="0" w:line="240" w:lineRule="auto"/>
              <w:jc w:val="left"/>
              <w:textAlignment w:val="center"/>
              <w:rPr>
                <w:rFonts w:ascii="Arial" w:eastAsia="宋体" w:hAnsi="Arial" w:cs="Arial"/>
                <w:color w:val="auto"/>
                <w:kern w:val="0"/>
                <w:sz w:val="36"/>
                <w:szCs w:val="36"/>
              </w:rPr>
            </w:pPr>
            <w:r w:rsidRPr="009471B3">
              <w:rPr>
                <w:rFonts w:ascii="Times New Roman" w:eastAsia="宋体" w:hAnsi="Times New Roman" w:cs="Times New Roman"/>
                <w:color w:val="000000" w:themeColor="dark1"/>
                <w:kern w:val="24"/>
                <w:sz w:val="22"/>
                <w:szCs w:val="22"/>
              </w:rPr>
              <w:t>GCCGGACTCATCGTACTCC</w:t>
            </w:r>
          </w:p>
        </w:tc>
      </w:tr>
    </w:tbl>
    <w:p w:rsidR="002900CA" w:rsidRPr="00D62124" w:rsidRDefault="002900CA" w:rsidP="00804044">
      <w:pPr>
        <w:jc w:val="center"/>
        <w:rPr>
          <w:color w:val="000000" w:themeColor="text1"/>
        </w:rPr>
      </w:pPr>
    </w:p>
    <w:p w:rsidR="002900CA" w:rsidRDefault="00855A52">
      <w:pPr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Table S1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: The PCR primers used in the study.</w:t>
      </w:r>
    </w:p>
    <w:p w:rsidR="00C56452" w:rsidRPr="00C56452" w:rsidRDefault="00C56452" w:rsidP="00C56452">
      <w:pPr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Arial" w:eastAsia="宋体" w:hAnsi="Arial" w:cs="Arial" w:hint="eastAsia"/>
          <w:color w:val="auto"/>
          <w:kern w:val="0"/>
          <w:sz w:val="30"/>
          <w:szCs w:val="30"/>
        </w:rPr>
        <w:t>S</w:t>
      </w:r>
      <w:r>
        <w:rPr>
          <w:rFonts w:ascii="Arial" w:eastAsia="宋体" w:hAnsi="Arial" w:cs="Arial"/>
          <w:color w:val="auto"/>
          <w:kern w:val="0"/>
          <w:sz w:val="30"/>
          <w:szCs w:val="30"/>
        </w:rPr>
        <w:t>upplementary Table 2</w:t>
      </w:r>
    </w:p>
    <w:p w:rsidR="002900CA" w:rsidRDefault="009471B3" w:rsidP="00804044">
      <w:pPr>
        <w:jc w:val="center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5738813" cy="5191832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306" cy="5195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0CA" w:rsidRPr="00D62124" w:rsidRDefault="00855A52" w:rsidP="00142BCB">
      <w:pPr>
        <w:widowControl/>
        <w:spacing w:after="0"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Table S2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: The relative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intensities of signals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were listed in the below table and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the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list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of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relative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intensities of signals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growth factors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 xml:space="preserve">in the CMs of HNF4α-UMSCs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and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8"/>
        </w:rPr>
        <w:t>UMSCs which are significantly high in HNF4α-UMSCs groups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Heat map is shown in the right panel.</w:t>
      </w:r>
    </w:p>
    <w:p w:rsidR="002900CA" w:rsidRDefault="002900CA">
      <w:pPr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sectPr w:rsidR="002900CA">
      <w:pgSz w:w="11906" w:h="16838"/>
      <w:pgMar w:top="567" w:right="991" w:bottom="56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2F8A" w:rsidRDefault="00E52F8A" w:rsidP="00D62124">
      <w:pPr>
        <w:spacing w:after="0" w:line="240" w:lineRule="auto"/>
      </w:pPr>
      <w:r>
        <w:separator/>
      </w:r>
    </w:p>
  </w:endnote>
  <w:endnote w:type="continuationSeparator" w:id="0">
    <w:p w:rsidR="00E52F8A" w:rsidRDefault="00E52F8A" w:rsidP="00D62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07517017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2F8A" w:rsidRDefault="00E52F8A" w:rsidP="00D62124">
      <w:pPr>
        <w:spacing w:after="0" w:line="240" w:lineRule="auto"/>
      </w:pPr>
      <w:r>
        <w:separator/>
      </w:r>
    </w:p>
  </w:footnote>
  <w:footnote w:type="continuationSeparator" w:id="0">
    <w:p w:rsidR="00E52F8A" w:rsidRDefault="00E52F8A" w:rsidP="00D621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6B9"/>
    <w:rsid w:val="00084875"/>
    <w:rsid w:val="000D6C43"/>
    <w:rsid w:val="0010395D"/>
    <w:rsid w:val="00142BCB"/>
    <w:rsid w:val="001A1C1B"/>
    <w:rsid w:val="001B01E9"/>
    <w:rsid w:val="002900CA"/>
    <w:rsid w:val="002D69DA"/>
    <w:rsid w:val="003F27FC"/>
    <w:rsid w:val="0047248C"/>
    <w:rsid w:val="004A7746"/>
    <w:rsid w:val="004E6307"/>
    <w:rsid w:val="005471E6"/>
    <w:rsid w:val="00595AB9"/>
    <w:rsid w:val="005E5539"/>
    <w:rsid w:val="005F0E44"/>
    <w:rsid w:val="00682E92"/>
    <w:rsid w:val="007525F1"/>
    <w:rsid w:val="007C4605"/>
    <w:rsid w:val="00804044"/>
    <w:rsid w:val="00852EEE"/>
    <w:rsid w:val="00855A52"/>
    <w:rsid w:val="00872B7E"/>
    <w:rsid w:val="00916C08"/>
    <w:rsid w:val="009471B3"/>
    <w:rsid w:val="00961B9E"/>
    <w:rsid w:val="00A143C5"/>
    <w:rsid w:val="00A43A0A"/>
    <w:rsid w:val="00A45067"/>
    <w:rsid w:val="00A466B9"/>
    <w:rsid w:val="00A72541"/>
    <w:rsid w:val="00A72F8F"/>
    <w:rsid w:val="00AA2C61"/>
    <w:rsid w:val="00B67195"/>
    <w:rsid w:val="00BA5BE2"/>
    <w:rsid w:val="00BB1850"/>
    <w:rsid w:val="00BC5F12"/>
    <w:rsid w:val="00BE275C"/>
    <w:rsid w:val="00BE34EF"/>
    <w:rsid w:val="00BF071B"/>
    <w:rsid w:val="00C10827"/>
    <w:rsid w:val="00C305DD"/>
    <w:rsid w:val="00C4039C"/>
    <w:rsid w:val="00C56452"/>
    <w:rsid w:val="00D62124"/>
    <w:rsid w:val="00E16EBC"/>
    <w:rsid w:val="00E33933"/>
    <w:rsid w:val="00E52F8A"/>
    <w:rsid w:val="00E550E5"/>
    <w:rsid w:val="00E8131F"/>
    <w:rsid w:val="00EF0549"/>
    <w:rsid w:val="00EF61F3"/>
    <w:rsid w:val="00F36078"/>
    <w:rsid w:val="00FB41AF"/>
    <w:rsid w:val="43A472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E02D7EC-5451-4523-9E07-0FB9AE997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rFonts w:ascii="AdvOT07517017" w:hAnsi="AdvOT07517017"/>
      <w:color w:val="000000"/>
      <w:kern w:val="2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rPr>
      <w:b/>
      <w:bCs/>
    </w:rPr>
  </w:style>
  <w:style w:type="paragraph" w:styleId="a4">
    <w:name w:val="annotation text"/>
    <w:basedOn w:val="a"/>
    <w:link w:val="a6"/>
    <w:uiPriority w:val="99"/>
    <w:unhideWhenUsed/>
    <w:pPr>
      <w:jc w:val="left"/>
    </w:pPr>
  </w:style>
  <w:style w:type="paragraph" w:styleId="a7">
    <w:name w:val="Balloon Text"/>
    <w:basedOn w:val="a"/>
    <w:link w:val="a8"/>
    <w:uiPriority w:val="99"/>
    <w:unhideWhenUsed/>
    <w:pPr>
      <w:spacing w:after="0"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hAnsiTheme="minorHAnsi"/>
      <w:color w:val="auto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hAnsiTheme="minorHAnsi"/>
      <w:color w:val="auto"/>
      <w:sz w:val="18"/>
      <w:szCs w:val="18"/>
    </w:rPr>
  </w:style>
  <w:style w:type="character" w:styleId="ad">
    <w:name w:val="annotation reference"/>
    <w:basedOn w:val="a0"/>
    <w:uiPriority w:val="99"/>
    <w:unhideWhenUsed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rPr>
      <w:rFonts w:ascii="AdvOT07517017" w:hAnsi="AdvOT07517017"/>
      <w:color w:val="000000"/>
      <w:sz w:val="16"/>
      <w:szCs w:val="16"/>
    </w:rPr>
  </w:style>
  <w:style w:type="character" w:customStyle="1" w:styleId="a5">
    <w:name w:val="批注主题 字符"/>
    <w:basedOn w:val="a6"/>
    <w:link w:val="a3"/>
    <w:uiPriority w:val="99"/>
    <w:semiHidden/>
    <w:rPr>
      <w:rFonts w:ascii="AdvOT07517017" w:hAnsi="AdvOT07517017"/>
      <w:b/>
      <w:bCs/>
      <w:color w:val="000000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Pr>
      <w:rFonts w:ascii="AdvOT07517017" w:hAnsi="AdvOT07517017"/>
      <w:color w:val="000000"/>
      <w:sz w:val="18"/>
      <w:szCs w:val="18"/>
    </w:rPr>
  </w:style>
  <w:style w:type="paragraph" w:customStyle="1" w:styleId="Paragraph">
    <w:name w:val="Paragraph"/>
    <w:basedOn w:val="a"/>
    <w:pPr>
      <w:widowControl/>
      <w:spacing w:before="120" w:after="0" w:line="240" w:lineRule="auto"/>
      <w:ind w:firstLine="720"/>
      <w:jc w:val="left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</w:rPr>
  </w:style>
  <w:style w:type="character" w:customStyle="1" w:styleId="fontstyle01">
    <w:name w:val="fontstyle01"/>
    <w:basedOn w:val="a0"/>
    <w:rPr>
      <w:rFonts w:ascii="TimesNewRomanPSMT" w:hAnsi="TimesNewRomanPSMT" w:hint="default"/>
      <w:color w:val="000000"/>
      <w:sz w:val="24"/>
      <w:szCs w:val="24"/>
    </w:rPr>
  </w:style>
  <w:style w:type="paragraph" w:styleId="ae">
    <w:name w:val="Normal (Web)"/>
    <w:basedOn w:val="a"/>
    <w:uiPriority w:val="99"/>
    <w:semiHidden/>
    <w:unhideWhenUsed/>
    <w:rsid w:val="009471B3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auto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23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72D4B4-4179-49C7-9575-F1DFC9D42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787</Words>
  <Characters>4490</Characters>
  <Application>Microsoft Office Word</Application>
  <DocSecurity>0</DocSecurity>
  <Lines>37</Lines>
  <Paragraphs>10</Paragraphs>
  <ScaleCrop>false</ScaleCrop>
  <Company>Hewlett-Packard</Company>
  <LinksUpToDate>false</LinksUpToDate>
  <CharactersWithSpaces>5267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 德富</dc:creator>
  <cp:lastModifiedBy>Chen Mo</cp:lastModifiedBy>
  <cp:revision>6</cp:revision>
  <dcterms:created xsi:type="dcterms:W3CDTF">2020-01-06T08:01:00Z</dcterms:created>
  <dcterms:modified xsi:type="dcterms:W3CDTF">2020-07-16T15:15:00Z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