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1589"/>
        <w:gridCol w:w="4800"/>
        <w:gridCol w:w="674"/>
        <w:gridCol w:w="1243"/>
      </w:tblGrid>
      <w:tr w:rsidR="00B8731F" w:rsidRPr="00206EB0" w14:paraId="256913DC" w14:textId="77777777" w:rsidTr="00774235">
        <w:trPr>
          <w:trHeight w:val="283"/>
        </w:trPr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06CDE" w14:textId="77777777" w:rsidR="00B8731F" w:rsidRPr="005C373F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5C373F">
              <w:rPr>
                <w:rFonts w:ascii="Times New Roman" w:eastAsia="宋体" w:hAnsi="Times New Roman" w:cs="Times New Roman"/>
                <w:b/>
                <w:bCs/>
                <w:sz w:val="22"/>
              </w:rPr>
              <w:t>GO</w:t>
            </w:r>
          </w:p>
        </w:tc>
        <w:tc>
          <w:tcPr>
            <w:tcW w:w="2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D7098" w14:textId="77777777" w:rsidR="00B8731F" w:rsidRPr="005C373F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5C373F">
              <w:rPr>
                <w:rFonts w:ascii="Times New Roman" w:eastAsia="宋体" w:hAnsi="Times New Roman" w:cs="Times New Roman"/>
                <w:b/>
                <w:bCs/>
                <w:sz w:val="22"/>
              </w:rPr>
              <w:t>Description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7538EF" w14:textId="77777777" w:rsidR="00B8731F" w:rsidRPr="005C373F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proofErr w:type="spellStart"/>
            <w:r w:rsidRPr="005C373F">
              <w:rPr>
                <w:rFonts w:ascii="Times New Roman" w:eastAsia="宋体" w:hAnsi="Times New Roman" w:cs="Times New Roman"/>
                <w:b/>
                <w:bCs/>
                <w:sz w:val="22"/>
              </w:rPr>
              <w:t>LogP</w:t>
            </w:r>
            <w:proofErr w:type="spellEnd"/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5E7C4" w14:textId="77777777" w:rsidR="00B8731F" w:rsidRPr="005C373F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5C373F">
              <w:rPr>
                <w:rFonts w:ascii="Times New Roman" w:eastAsia="宋体" w:hAnsi="Times New Roman" w:cs="Times New Roman"/>
                <w:b/>
                <w:bCs/>
                <w:sz w:val="22"/>
              </w:rPr>
              <w:t>Enrichment</w:t>
            </w:r>
          </w:p>
        </w:tc>
      </w:tr>
      <w:tr w:rsidR="00B8731F" w:rsidRPr="00206EB0" w14:paraId="6A5BF365" w14:textId="77777777" w:rsidTr="00774235">
        <w:trPr>
          <w:trHeight w:val="283"/>
        </w:trPr>
        <w:tc>
          <w:tcPr>
            <w:tcW w:w="969" w:type="pct"/>
            <w:noWrap/>
            <w:vAlign w:val="center"/>
            <w:hideMark/>
          </w:tcPr>
          <w:p w14:paraId="4B2BA79A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CORUM:5718</w:t>
            </w:r>
          </w:p>
        </w:tc>
        <w:tc>
          <w:tcPr>
            <w:tcW w:w="2274" w:type="pct"/>
            <w:noWrap/>
            <w:vAlign w:val="center"/>
            <w:hideMark/>
          </w:tcPr>
          <w:p w14:paraId="64C9A020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NOS3-HSP90-AKT complex, VEGF induced</w:t>
            </w:r>
          </w:p>
        </w:tc>
        <w:tc>
          <w:tcPr>
            <w:tcW w:w="768" w:type="pct"/>
            <w:noWrap/>
            <w:vAlign w:val="center"/>
            <w:hideMark/>
          </w:tcPr>
          <w:p w14:paraId="2610DC05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-11</w:t>
            </w:r>
          </w:p>
        </w:tc>
        <w:tc>
          <w:tcPr>
            <w:tcW w:w="989" w:type="pct"/>
            <w:noWrap/>
            <w:vAlign w:val="center"/>
            <w:hideMark/>
          </w:tcPr>
          <w:p w14:paraId="6FD570F9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3.80E+03</w:t>
            </w:r>
          </w:p>
        </w:tc>
      </w:tr>
      <w:tr w:rsidR="00B8731F" w:rsidRPr="00206EB0" w14:paraId="3F7019C3" w14:textId="77777777" w:rsidTr="00774235">
        <w:trPr>
          <w:trHeight w:val="283"/>
        </w:trPr>
        <w:tc>
          <w:tcPr>
            <w:tcW w:w="969" w:type="pct"/>
            <w:noWrap/>
            <w:vAlign w:val="center"/>
            <w:hideMark/>
          </w:tcPr>
          <w:p w14:paraId="64955C1B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GO:0006979</w:t>
            </w:r>
          </w:p>
        </w:tc>
        <w:tc>
          <w:tcPr>
            <w:tcW w:w="2274" w:type="pct"/>
            <w:noWrap/>
            <w:vAlign w:val="center"/>
            <w:hideMark/>
          </w:tcPr>
          <w:p w14:paraId="50FB5FA9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response to oxidative stress</w:t>
            </w:r>
          </w:p>
        </w:tc>
        <w:tc>
          <w:tcPr>
            <w:tcW w:w="768" w:type="pct"/>
            <w:noWrap/>
            <w:vAlign w:val="center"/>
            <w:hideMark/>
          </w:tcPr>
          <w:p w14:paraId="5691A6CB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-10</w:t>
            </w:r>
          </w:p>
        </w:tc>
        <w:tc>
          <w:tcPr>
            <w:tcW w:w="989" w:type="pct"/>
            <w:noWrap/>
            <w:vAlign w:val="center"/>
            <w:hideMark/>
          </w:tcPr>
          <w:p w14:paraId="2CB88FC4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62</w:t>
            </w:r>
          </w:p>
        </w:tc>
      </w:tr>
      <w:tr w:rsidR="00B8731F" w:rsidRPr="00206EB0" w14:paraId="318F0A05" w14:textId="77777777" w:rsidTr="00774235">
        <w:trPr>
          <w:trHeight w:val="283"/>
        </w:trPr>
        <w:tc>
          <w:tcPr>
            <w:tcW w:w="969" w:type="pct"/>
            <w:noWrap/>
            <w:vAlign w:val="center"/>
            <w:hideMark/>
          </w:tcPr>
          <w:p w14:paraId="4A991339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R-HSA-3299685</w:t>
            </w:r>
          </w:p>
        </w:tc>
        <w:tc>
          <w:tcPr>
            <w:tcW w:w="2274" w:type="pct"/>
            <w:noWrap/>
            <w:vAlign w:val="center"/>
            <w:hideMark/>
          </w:tcPr>
          <w:p w14:paraId="6D835330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Detoxification of Reactive Oxygen Species</w:t>
            </w:r>
          </w:p>
        </w:tc>
        <w:tc>
          <w:tcPr>
            <w:tcW w:w="768" w:type="pct"/>
            <w:noWrap/>
            <w:vAlign w:val="center"/>
            <w:hideMark/>
          </w:tcPr>
          <w:p w14:paraId="621B3E57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-7</w:t>
            </w:r>
          </w:p>
        </w:tc>
        <w:tc>
          <w:tcPr>
            <w:tcW w:w="989" w:type="pct"/>
            <w:noWrap/>
            <w:vAlign w:val="center"/>
            <w:hideMark/>
          </w:tcPr>
          <w:p w14:paraId="4A336AA5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3.10E+02</w:t>
            </w:r>
          </w:p>
        </w:tc>
      </w:tr>
      <w:tr w:rsidR="00B8731F" w:rsidRPr="00206EB0" w14:paraId="020AF6DB" w14:textId="77777777" w:rsidTr="00774235">
        <w:trPr>
          <w:trHeight w:val="283"/>
        </w:trPr>
        <w:tc>
          <w:tcPr>
            <w:tcW w:w="969" w:type="pct"/>
            <w:noWrap/>
            <w:vAlign w:val="center"/>
            <w:hideMark/>
          </w:tcPr>
          <w:p w14:paraId="57801FA2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GO:0045454</w:t>
            </w:r>
          </w:p>
        </w:tc>
        <w:tc>
          <w:tcPr>
            <w:tcW w:w="2274" w:type="pct"/>
            <w:noWrap/>
            <w:vAlign w:val="center"/>
            <w:hideMark/>
          </w:tcPr>
          <w:p w14:paraId="694A5E12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cell redox homeostasis</w:t>
            </w:r>
          </w:p>
        </w:tc>
        <w:tc>
          <w:tcPr>
            <w:tcW w:w="768" w:type="pct"/>
            <w:noWrap/>
            <w:vAlign w:val="center"/>
            <w:hideMark/>
          </w:tcPr>
          <w:p w14:paraId="6507B8AC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-7</w:t>
            </w:r>
          </w:p>
        </w:tc>
        <w:tc>
          <w:tcPr>
            <w:tcW w:w="989" w:type="pct"/>
            <w:noWrap/>
            <w:vAlign w:val="center"/>
            <w:hideMark/>
          </w:tcPr>
          <w:p w14:paraId="74447A0B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3.10E+02</w:t>
            </w:r>
          </w:p>
        </w:tc>
      </w:tr>
      <w:tr w:rsidR="00B8731F" w:rsidRPr="00206EB0" w14:paraId="119D9978" w14:textId="77777777" w:rsidTr="00774235">
        <w:trPr>
          <w:trHeight w:val="283"/>
        </w:trPr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ACD099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GO:1903202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CB81C1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negative regulation of oxidative stress-induced cell death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3DC9EB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-6.5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77F924" w14:textId="77777777" w:rsidR="00B8731F" w:rsidRPr="00206EB0" w:rsidRDefault="00B8731F" w:rsidP="00774235">
            <w:pPr>
              <w:widowControl/>
              <w:spacing w:beforeLines="50" w:before="156" w:afterLines="50" w:after="156"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206EB0">
              <w:rPr>
                <w:rFonts w:ascii="Times New Roman" w:eastAsia="宋体" w:hAnsi="Times New Roman" w:cs="Times New Roman"/>
                <w:sz w:val="22"/>
              </w:rPr>
              <w:t>2.10E+02</w:t>
            </w:r>
          </w:p>
        </w:tc>
      </w:tr>
    </w:tbl>
    <w:p w14:paraId="410A9F81" w14:textId="77777777" w:rsidR="00774BA7" w:rsidRDefault="00774BA7"/>
    <w:sectPr w:rsidR="00774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1F"/>
    <w:rsid w:val="00774BA7"/>
    <w:rsid w:val="00B8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11F1A"/>
  <w15:chartTrackingRefBased/>
  <w15:docId w15:val="{1987A6C2-17A4-4EA9-9D16-DFECAE37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3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2022-07-19T07:48:00Z</dcterms:created>
  <dcterms:modified xsi:type="dcterms:W3CDTF">2022-07-19T07:49:00Z</dcterms:modified>
</cp:coreProperties>
</file>