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E6688A" w14:textId="51B775A4" w:rsidR="000D4CA3" w:rsidRPr="00A10E73" w:rsidRDefault="000D4CA3" w:rsidP="000D4CA3">
      <w:pPr>
        <w:pStyle w:val="BATitle"/>
        <w:jc w:val="left"/>
      </w:pPr>
      <w:r>
        <w:rPr>
          <w:i/>
          <w:iCs/>
        </w:rPr>
        <w:t xml:space="preserve">In Situ </w:t>
      </w:r>
      <w:r>
        <w:t xml:space="preserve">single-crystal synchrotron X-ray Diffraction Studies </w:t>
      </w:r>
      <w:r w:rsidR="008E6341">
        <w:t>of Biologically Active Gases in</w:t>
      </w:r>
      <w:bookmarkStart w:id="0" w:name="_GoBack"/>
      <w:bookmarkEnd w:id="0"/>
      <w:r>
        <w:t xml:space="preserve"> Metal-Organic Frameworks </w:t>
      </w:r>
    </w:p>
    <w:p w14:paraId="3982A0D6" w14:textId="77777777" w:rsidR="009246AD" w:rsidRDefault="004033A9" w:rsidP="004033A9">
      <w:pPr>
        <w:pStyle w:val="BATitle"/>
      </w:pPr>
      <w:r>
        <w:t>Supplementary Information</w:t>
      </w:r>
    </w:p>
    <w:p w14:paraId="63610A61" w14:textId="77777777" w:rsidR="004033A9" w:rsidRDefault="004033A9"/>
    <w:p w14:paraId="1CD826DF" w14:textId="77777777" w:rsidR="004033A9" w:rsidRDefault="004033A9"/>
    <w:p w14:paraId="2B58079D" w14:textId="77777777" w:rsidR="004033A9" w:rsidRDefault="004033A9"/>
    <w:p w14:paraId="6B28DA44" w14:textId="77777777" w:rsidR="004033A9" w:rsidRDefault="004033A9"/>
    <w:p w14:paraId="194A4071" w14:textId="77777777" w:rsidR="004033A9" w:rsidRPr="00E8474D" w:rsidRDefault="004033A9" w:rsidP="004033A9">
      <w:pPr>
        <w:pStyle w:val="Heading2"/>
        <w:numPr>
          <w:ilvl w:val="0"/>
          <w:numId w:val="11"/>
        </w:numPr>
        <w:rPr>
          <w:rFonts w:ascii="Times New Roman" w:hAnsi="Times New Roman" w:cs="Times New Roman"/>
          <w:color w:val="auto"/>
        </w:rPr>
      </w:pPr>
      <w:r w:rsidRPr="00E8474D">
        <w:rPr>
          <w:rFonts w:ascii="Times New Roman" w:hAnsi="Times New Roman" w:cs="Times New Roman"/>
          <w:color w:val="auto"/>
        </w:rPr>
        <w:t>Refinement special details</w:t>
      </w:r>
    </w:p>
    <w:p w14:paraId="5096EB84" w14:textId="6153F9E6" w:rsidR="004033A9" w:rsidRDefault="004033A9" w:rsidP="004033A9">
      <w:pPr>
        <w:rPr>
          <w:rFonts w:ascii="Times New Roman" w:hAnsi="Times New Roman"/>
        </w:rPr>
      </w:pPr>
      <w:r>
        <w:rPr>
          <w:rFonts w:ascii="Times New Roman" w:hAnsi="Times New Roman"/>
        </w:rPr>
        <w:t xml:space="preserve">All samples were indexed with </w:t>
      </w:r>
      <w:r w:rsidRPr="004033A9">
        <w:rPr>
          <w:rFonts w:ascii="Times New Roman" w:hAnsi="Times New Roman"/>
        </w:rPr>
        <w:t>DIALS 3.6.2-g16e93f55b-release</w:t>
      </w:r>
      <w:r>
        <w:rPr>
          <w:rFonts w:ascii="Times New Roman" w:hAnsi="Times New Roman"/>
        </w:rPr>
        <w:fldChar w:fldCharType="begin" w:fldLock="1"/>
      </w:r>
      <w:r w:rsidR="000734F3">
        <w:rPr>
          <w:rFonts w:ascii="Times New Roman" w:hAnsi="Times New Roman"/>
        </w:rPr>
        <w:instrText>ADDIN CSL_CITATION {"citationItems":[{"id":"ITEM-1","itemData":{"DOI":"10.1107/S2059798317017235","ISSN":"20597983","PMID":"29533234","abstract":"The DIALS project is a collaboration between Diamond Light Source, Lawrence Berkeley National Laboratory and CCP4 to develop a new software suite for the analysis of crystallographic X-ray diffraction data, initially encompassing spot finding, indexing, refinement and integration. The design, core algorithms and structure of the software are introduced, alongside results from the analysis of data from biological and chemical crystallography experiments.","author":[{"dropping-particle":"","family":"Winter","given":"Graeme","non-dropping-particle":"","parse-names":false,"suffix":""},{"dropping-particle":"","family":"Waterman","given":"David G.","non-dropping-particle":"","parse-names":false,"suffix":""},{"dropping-particle":"","family":"Parkhurst","given":"James M.","non-dropping-particle":"","parse-names":false,"suffix":""},{"dropping-particle":"","family":"Brewster","given":"Aaron S.","non-dropping-particle":"","parse-names":false,"suffix":""},{"dropping-particle":"","family":"Gildea","given":"Richard J.","non-dropping-particle":"","parse-names":false,"suffix":""},{"dropping-particle":"","family":"Gerstel","given":"Markus","non-dropping-particle":"","parse-names":false,"suffix":""},{"dropping-particle":"","family":"Fuentes-Montero","given":"Luis","non-dropping-particle":"","parse-names":false,"suffix":""},{"dropping-particle":"","family":"Vollmar","given":"Melanie","non-dropping-particle":"","parse-names":false,"suffix":""},{"dropping-particle":"","family":"Michels-Clark","given":"Tara","non-dropping-particle":"","parse-names":false,"suffix":""},{"dropping-particle":"","family":"Young","given":"Iris D.","non-dropping-particle":"","parse-names":false,"suffix":""},{"dropping-particle":"","family":"Sauter","given":"Nicholas K.","non-dropping-particle":"","parse-names":false,"suffix":""},{"dropping-particle":"","family":"Evans","given":"Gwyndaf","non-dropping-particle":"","parse-names":false,"suffix":""}],"container-title":"Acta Crystallographica Section D: Structural Biology","id":"ITEM-1","issue":"2","issued":{"date-parts":[["2018","2","1"]]},"page":"85-97","publisher":"Wiley-Blackwell","title":"DIALS: Implementation and evaluation of a new integration package","type":"article-journal","volume":"74"},"uris":["http://www.mendeley.com/documents/?uuid=1a18cadb-9614-3d1f-a929-241d26786468"]}],"mendeley":{"formattedCitation":"&lt;sup&gt;1&lt;/sup&gt;","plainTextFormattedCitation":"1","previouslyFormattedCitation":"&lt;sup&gt;1&lt;/sup&gt;"},"properties":{"noteIndex":0},"schema":"https://github.com/citation-style-language/schema/raw/master/csl-citation.json"}</w:instrText>
      </w:r>
      <w:r>
        <w:rPr>
          <w:rFonts w:ascii="Times New Roman" w:hAnsi="Times New Roman"/>
        </w:rPr>
        <w:fldChar w:fldCharType="separate"/>
      </w:r>
      <w:r w:rsidRPr="004033A9">
        <w:rPr>
          <w:rFonts w:ascii="Times New Roman" w:hAnsi="Times New Roman"/>
          <w:noProof/>
          <w:vertAlign w:val="superscript"/>
        </w:rPr>
        <w:t>1</w:t>
      </w:r>
      <w:r>
        <w:rPr>
          <w:rFonts w:ascii="Times New Roman" w:hAnsi="Times New Roman"/>
        </w:rPr>
        <w:fldChar w:fldCharType="end"/>
      </w:r>
      <w:r>
        <w:rPr>
          <w:rFonts w:ascii="Times New Roman" w:hAnsi="Times New Roman"/>
        </w:rPr>
        <w:t>. Visualisation was performed using Olex2 1.5 GUI</w:t>
      </w:r>
      <w:r>
        <w:rPr>
          <w:rFonts w:ascii="Times New Roman" w:hAnsi="Times New Roman"/>
        </w:rPr>
        <w:fldChar w:fldCharType="begin" w:fldLock="1"/>
      </w:r>
      <w:r>
        <w:rPr>
          <w:rFonts w:ascii="Times New Roman" w:hAnsi="Times New Roman"/>
        </w:rPr>
        <w:instrText>ADDIN CSL_CITATION {"citationItems":[{"id":"ITEM-1","itemData":{"DOI":"10.1107/S0021889808042726","ISSN":"00218898","abstract":"New software, OLEX2, has been developed for the determination, visualization and analysis of molecular crystal structures. The software has a portable mouse-driven workflow-oriented and fully comprehensive graphical user interface for structure solution, refinement and report generation, as well as novel tools for structure analysis. OLEX2 seamlessly links all aspects of the structure solution, refinement and publication process and presents them in a single workflow-driven package, with the ultimate goal of producing an application which will be useful to both chemists and crystallographers. © International Union of Crystallography 2009.","author":[{"dropping-particle":"V.","family":"Dolomanov","given":"Oleg","non-dropping-particle":"","parse-names":false,"suffix":""},{"dropping-particle":"","family":"Bourhis","given":"Luc J.","non-dropping-particle":"","parse-names":false,"suffix":""},{"dropping-particle":"","family":"Gildea","given":"Richard J.","non-dropping-particle":"","parse-names":false,"suffix":""},{"dropping-particle":"","family":"Howard","given":"Judith A.K.","non-dropping-particle":"","parse-names":false,"suffix":""},{"dropping-particle":"","family":"Puschmann","given":"Horst","non-dropping-particle":"","parse-names":false,"suffix":""}],"container-title":"Journal of Applied Crystallography","id":"ITEM-1","issue":"2","issued":{"date-parts":[["2009"]]},"page":"339-341","title":"OLEX2: A complete structure solution, refinement and analysis program","type":"article-journal","volume":"42"},"uris":["http://www.mendeley.com/documents/?uuid=3f31478a-baa4-3e7a-a668-119c437390c7"]}],"mendeley":{"formattedCitation":"&lt;sup&gt;2&lt;/sup&gt;","plainTextFormattedCitation":"2","previouslyFormattedCitation":"&lt;sup&gt;2&lt;/sup&gt;"},"properties":{"noteIndex":0},"schema":"https://github.com/citation-style-language/schema/raw/master/csl-citation.json"}</w:instrText>
      </w:r>
      <w:r>
        <w:rPr>
          <w:rFonts w:ascii="Times New Roman" w:hAnsi="Times New Roman"/>
        </w:rPr>
        <w:fldChar w:fldCharType="separate"/>
      </w:r>
      <w:r w:rsidRPr="004033A9">
        <w:rPr>
          <w:rFonts w:ascii="Times New Roman" w:hAnsi="Times New Roman"/>
          <w:noProof/>
          <w:vertAlign w:val="superscript"/>
        </w:rPr>
        <w:t>2</w:t>
      </w:r>
      <w:r>
        <w:rPr>
          <w:rFonts w:ascii="Times New Roman" w:hAnsi="Times New Roman"/>
        </w:rPr>
        <w:fldChar w:fldCharType="end"/>
      </w:r>
      <w:r>
        <w:rPr>
          <w:rFonts w:ascii="Times New Roman" w:hAnsi="Times New Roman"/>
        </w:rPr>
        <w:t xml:space="preserve"> and ShelXT </w:t>
      </w:r>
      <w:r w:rsidRPr="004033A9">
        <w:rPr>
          <w:rFonts w:ascii="Times New Roman" w:hAnsi="Times New Roman"/>
        </w:rPr>
        <w:t>2014/4</w:t>
      </w:r>
      <w:r>
        <w:rPr>
          <w:rFonts w:ascii="Times New Roman" w:hAnsi="Times New Roman"/>
        </w:rPr>
        <w:fldChar w:fldCharType="begin" w:fldLock="1"/>
      </w:r>
      <w:r>
        <w:rPr>
          <w:rFonts w:ascii="Times New Roman" w:hAnsi="Times New Roman"/>
        </w:rPr>
        <w:instrText>ADDIN CSL_CITATION {"citationItems":[{"id":"ITEM-1","itemData":{"DOI":"10.1107/S0108767307043930","ISSN":"16005724","PMID":"18156677","abstract":"An account is given of the development of the SHELX system of computer programs from SHELX-76 to the present day. In addition to identifying useful innovations that have come into general use through their implementation in SHELX, a critical analysis is presented of the less-successful features, missed opportunities and desirable improvements for future releases of the software. An attempt is made to understand how a program originally designed for photographic intensity data, punched cards and computers over 10000 times slower than an average modern personal computer has managed to survive for so long. SHELXL is the most widely used program for small-molecule refinement and SHELXS and SHELXD are often employed for structure solution despite the availability of objectively superior programs. SHELXL also finds a niche for the refinement of macromolecules against high-resolution or twinned data; SHELXPRO acts as an interface for macromolecular applications. SHELXC, SHELXD and SHELXE are proving useful for the experimental phasing of macromolecules, especially because they are fast and robust and so are often employed in pipelines for high-throughput phasing. This paper could serve as a general literature citation when one or more of the open-source SHELX programs (and the Bruker AXS version SHELXTL) are employed in the course of a crystal-structure determination. © International Union of Crystallography 2008.","author":[{"dropping-particle":"","family":"Sheldrick","given":"George M.","non-dropping-particle":"","parse-names":false,"suffix":""}],"container-title":"Acta Crystallographica Section A: Foundations of Crystallography","id":"ITEM-1","issue":"1","issued":{"date-parts":[["2008","1","1"]]},"page":"112-122","publisher":"International Union of Crystallography","title":"A short history of SHELX","type":"article-journal","volume":"64"},"uris":["http://www.mendeley.com/documents/?uuid=b5b43469-abc8-34be-bdad-ed08a19d80ed"]}],"mendeley":{"formattedCitation":"&lt;sup&gt;3&lt;/sup&gt;","plainTextFormattedCitation":"3","previouslyFormattedCitation":"&lt;sup&gt;3&lt;/sup&gt;"},"properties":{"noteIndex":0},"schema":"https://github.com/citation-style-language/schema/raw/master/csl-citation.json"}</w:instrText>
      </w:r>
      <w:r>
        <w:rPr>
          <w:rFonts w:ascii="Times New Roman" w:hAnsi="Times New Roman"/>
        </w:rPr>
        <w:fldChar w:fldCharType="separate"/>
      </w:r>
      <w:r w:rsidRPr="004033A9">
        <w:rPr>
          <w:rFonts w:ascii="Times New Roman" w:hAnsi="Times New Roman"/>
          <w:noProof/>
          <w:vertAlign w:val="superscript"/>
        </w:rPr>
        <w:t>3</w:t>
      </w:r>
      <w:r>
        <w:rPr>
          <w:rFonts w:ascii="Times New Roman" w:hAnsi="Times New Roman"/>
        </w:rPr>
        <w:fldChar w:fldCharType="end"/>
      </w:r>
      <w:r w:rsidRPr="004033A9">
        <w:rPr>
          <w:rFonts w:ascii="Times New Roman" w:hAnsi="Times New Roman"/>
        </w:rPr>
        <w:t xml:space="preserve"> </w:t>
      </w:r>
      <w:r>
        <w:rPr>
          <w:rFonts w:ascii="Times New Roman" w:hAnsi="Times New Roman"/>
        </w:rPr>
        <w:t>for solving and ShelXL 2018/3</w:t>
      </w:r>
      <w:r>
        <w:rPr>
          <w:rFonts w:ascii="Times New Roman" w:hAnsi="Times New Roman"/>
        </w:rPr>
        <w:fldChar w:fldCharType="begin" w:fldLock="1"/>
      </w:r>
      <w:r w:rsidR="000734F3">
        <w:rPr>
          <w:rFonts w:ascii="Times New Roman" w:hAnsi="Times New Roman"/>
        </w:rPr>
        <w:instrText>ADDIN CSL_CITATION {"citationItems":[{"id":"ITEM-1","itemData":{"DOI":"10.1107/S2053229614024218","ISSN":"20532296","PMID":"25567568","abstract":"The improvements in the crystal structure refinement program SHELXL have been closely coupled with the development and increasing importance of the CIF (Crystallographic Information Framework) format for validating and archiving crystal structures. An important simplification is that now only one file in CIF format (for convenience, referred to simply as 'a CIF') containing embedded reflection data and SHELXL instructions is needed for a complete structure archive; the program SHREDCIF can be used to extract the.hkl and.ins files required for further refinement with SHELXL. Recent developments in SHELXL facilitate refinement against neutron diffraction data, the treatment of H atoms, the determination of absolute structure, the input of partial structure factors and the refinement of twinned and disordered structures. SHELXL is available free to academics for the Windows, Linux and Mac OS X operating systems, and is particularly suitable for multiple-core processors.","author":[{"dropping-particle":"","family":"Sheldrick","given":"George M.","non-dropping-particle":"","parse-names":false,"suffix":""}],"container-title":"Acta Crystallographica Section C: Structural Chemistry","id":"ITEM-1","issue":"1","issued":{"date-parts":[["2015","1","1"]]},"page":"3-8","publisher":"International Union of Crystallography","title":"Crystal structure refinement with SHELXL","type":"article-journal","volume":"71"},"uris":["http://www.mendeley.com/documents/?uuid=15432e12-256d-3599-8801-5cd563a08e87"]}],"mendeley":{"formattedCitation":"&lt;sup&gt;4&lt;/sup&gt;","plainTextFormattedCitation":"4","previouslyFormattedCitation":"&lt;sup&gt;4&lt;/sup&gt;"},"properties":{"noteIndex":0},"schema":"https://github.com/citation-style-language/schema/raw/master/csl-citation.json"}</w:instrText>
      </w:r>
      <w:r>
        <w:rPr>
          <w:rFonts w:ascii="Times New Roman" w:hAnsi="Times New Roman"/>
        </w:rPr>
        <w:fldChar w:fldCharType="separate"/>
      </w:r>
      <w:r w:rsidRPr="004033A9">
        <w:rPr>
          <w:rFonts w:ascii="Times New Roman" w:hAnsi="Times New Roman"/>
          <w:noProof/>
          <w:vertAlign w:val="superscript"/>
        </w:rPr>
        <w:t>4</w:t>
      </w:r>
      <w:r>
        <w:rPr>
          <w:rFonts w:ascii="Times New Roman" w:hAnsi="Times New Roman"/>
        </w:rPr>
        <w:fldChar w:fldCharType="end"/>
      </w:r>
      <w:r>
        <w:rPr>
          <w:rFonts w:ascii="Times New Roman" w:hAnsi="Times New Roman"/>
        </w:rPr>
        <w:t xml:space="preserve"> for refinement. </w:t>
      </w:r>
    </w:p>
    <w:p w14:paraId="48D61732" w14:textId="77777777" w:rsidR="004033A9" w:rsidRDefault="004033A9" w:rsidP="004033A9">
      <w:pPr>
        <w:rPr>
          <w:rFonts w:ascii="Times New Roman" w:hAnsi="Times New Roman"/>
        </w:rPr>
      </w:pPr>
      <w:r>
        <w:rPr>
          <w:rFonts w:ascii="Times New Roman" w:hAnsi="Times New Roman"/>
        </w:rPr>
        <w:t>For the dehydrated samples</w:t>
      </w:r>
      <w:r w:rsidR="00AA12C3">
        <w:rPr>
          <w:rFonts w:ascii="Times New Roman" w:hAnsi="Times New Roman"/>
        </w:rPr>
        <w:t>,</w:t>
      </w:r>
      <w:r>
        <w:rPr>
          <w:rFonts w:ascii="Times New Roman" w:hAnsi="Times New Roman"/>
        </w:rPr>
        <w:t xml:space="preserve"> the water bound oxygens were all constrained so the Uiso was of the same order </w:t>
      </w:r>
      <w:r w:rsidR="00AA12C3">
        <w:rPr>
          <w:rFonts w:ascii="Times New Roman" w:hAnsi="Times New Roman"/>
        </w:rPr>
        <w:t>as</w:t>
      </w:r>
      <w:r>
        <w:rPr>
          <w:rFonts w:ascii="Times New Roman" w:hAnsi="Times New Roman"/>
        </w:rPr>
        <w:t xml:space="preserve"> the metal to which it was bound, and were kept isotropic.</w:t>
      </w:r>
    </w:p>
    <w:p w14:paraId="5844B6C0" w14:textId="606044EC" w:rsidR="004033A9" w:rsidRDefault="004033A9" w:rsidP="004033A9">
      <w:pPr>
        <w:rPr>
          <w:rFonts w:ascii="Times New Roman" w:hAnsi="Times New Roman"/>
        </w:rPr>
      </w:pPr>
      <w:r>
        <w:rPr>
          <w:rFonts w:ascii="Times New Roman" w:hAnsi="Times New Roman"/>
        </w:rPr>
        <w:t>For CO in Ni-CPO-27</w:t>
      </w:r>
      <w:r w:rsidR="00AA12C3">
        <w:rPr>
          <w:rFonts w:ascii="Times New Roman" w:hAnsi="Times New Roman"/>
        </w:rPr>
        <w:t>,</w:t>
      </w:r>
      <w:r>
        <w:rPr>
          <w:rFonts w:ascii="Times New Roman" w:hAnsi="Times New Roman"/>
        </w:rPr>
        <w:t xml:space="preserve"> the occupancies of C5 and O5 (the CO gas molecule) were set equal via a free variable.</w:t>
      </w:r>
      <w:r w:rsidR="00F1401C">
        <w:rPr>
          <w:rFonts w:ascii="Times New Roman" w:hAnsi="Times New Roman"/>
        </w:rPr>
        <w:t xml:space="preserve"> For the 300 K sample</w:t>
      </w:r>
      <w:r w:rsidR="004039CC">
        <w:rPr>
          <w:rFonts w:ascii="Times New Roman" w:hAnsi="Times New Roman"/>
        </w:rPr>
        <w:t xml:space="preserve"> an EADP restraint was added for C5 and O6 (the</w:t>
      </w:r>
      <w:r w:rsidR="00FE6E20">
        <w:rPr>
          <w:rFonts w:ascii="Times New Roman" w:hAnsi="Times New Roman"/>
        </w:rPr>
        <w:t xml:space="preserve"> water).</w:t>
      </w:r>
    </w:p>
    <w:p w14:paraId="5F23B891" w14:textId="03F01B0D" w:rsidR="004033A9" w:rsidRDefault="004033A9" w:rsidP="004033A9">
      <w:pPr>
        <w:rPr>
          <w:rFonts w:ascii="Times New Roman" w:hAnsi="Times New Roman"/>
        </w:rPr>
      </w:pPr>
      <w:r>
        <w:rPr>
          <w:rFonts w:ascii="Times New Roman" w:hAnsi="Times New Roman"/>
        </w:rPr>
        <w:t>For CO in Co-4,6-dhip</w:t>
      </w:r>
      <w:r w:rsidR="00AA12C3">
        <w:rPr>
          <w:rFonts w:ascii="Times New Roman" w:hAnsi="Times New Roman"/>
        </w:rPr>
        <w:t>,</w:t>
      </w:r>
      <w:r>
        <w:rPr>
          <w:rFonts w:ascii="Times New Roman" w:hAnsi="Times New Roman"/>
        </w:rPr>
        <w:t xml:space="preserve"> the occupancies of C6 and O4 (the CO gas molecule) were set equal via a free variable. The C6 O4 bond length was restrained to 1.13 Å (the gas bond length</w:t>
      </w:r>
      <w:r w:rsidR="00FE6E20">
        <w:rPr>
          <w:rFonts w:ascii="Times New Roman" w:hAnsi="Times New Roman"/>
        </w:rPr>
        <w:t xml:space="preserve"> </w:t>
      </w:r>
      <w:r>
        <w:rPr>
          <w:rFonts w:ascii="Times New Roman" w:hAnsi="Times New Roman"/>
        </w:rPr>
        <w:fldChar w:fldCharType="begin" w:fldLock="1"/>
      </w:r>
      <w:r>
        <w:rPr>
          <w:rFonts w:ascii="Times New Roman" w:hAnsi="Times New Roman"/>
        </w:rPr>
        <w:instrText>ADDIN CSL_CITATION {"citationItems":[{"id":"ITEM-1","itemData":{"DOI":"10.1016/J.MOLSTRUC.2012.01.030","ISSN":"0022-2860","abstract":"Based on a sample of 38 molecules, 47 accurate equilibrium CO bond lengths have been collected and analyzed. These ultimate experimental (reEX), semiexperimental (reSE), and Born-Oppenheimer (reBO) equilibrium structures are compared to reBO estimates from two lower-level techniques of electronic structure theory, MP2(FC)/cc-pVQZ and B3LYP/6-311+G(3df,2pd). A linear relationship is found between the best equilibrium bond lengths and their MP2 or B3LYP estimates. These (and similar) linear relationships permit to estimate the CO bond length with an accuracy of 0.002 Å within the full range of 1.10-1.43 Å, corresponding to single, double, and triple CO bonds, for a large number of molecules. The variation of the CO bond length is qualitatively explained using the Atoms in Molecules method. In particular, a nice correlation is found between the CO bond length and the bond critical point density and it appears that the CO bond is at the same time covalent and ionic. Conditions which permit the computation of an accurate ab initio Born-Oppenheimer equilibrium structure are discussed. In particular, the core-core and core-valence correlation is investigated and it is shown to roughly increase with the bond length. © 2012 Elsevier B.V. All rights reserved.","author":[{"dropping-particle":"","family":"Demaison","given":"Jean","non-dropping-particle":"","parse-names":false,"suffix":""},{"dropping-particle":"","family":"Császár","given":"Attila G.","non-dropping-particle":"","parse-names":false,"suffix":""}],"container-title":"Journal of Molecular Structure","id":"ITEM-1","issued":{"date-parts":[["2012","9","12"]]},"page":"7-14","publisher":"Elsevier","title":"Equilibrium CO bond lengths","type":"article-journal","volume":"1023"},"uris":["http://www.mendeley.com/documents/?uuid=9620b761-6ab3-307f-a272-f4ffb676b9e3"]}],"mendeley":{"formattedCitation":"&lt;sup&gt;5&lt;/sup&gt;","plainTextFormattedCitation":"5","previouslyFormattedCitation":"&lt;sup&gt;5&lt;/sup&gt;"},"properties":{"noteIndex":0},"schema":"https://github.com/citation-style-language/schema/raw/master/csl-citation.json"}</w:instrText>
      </w:r>
      <w:r>
        <w:rPr>
          <w:rFonts w:ascii="Times New Roman" w:hAnsi="Times New Roman"/>
        </w:rPr>
        <w:fldChar w:fldCharType="separate"/>
      </w:r>
      <w:r w:rsidRPr="004033A9">
        <w:rPr>
          <w:rFonts w:ascii="Times New Roman" w:hAnsi="Times New Roman"/>
          <w:noProof/>
          <w:vertAlign w:val="superscript"/>
        </w:rPr>
        <w:t>5</w:t>
      </w:r>
      <w:r>
        <w:rPr>
          <w:rFonts w:ascii="Times New Roman" w:hAnsi="Times New Roman"/>
        </w:rPr>
        <w:fldChar w:fldCharType="end"/>
      </w:r>
      <w:r>
        <w:rPr>
          <w:rFonts w:ascii="Times New Roman" w:hAnsi="Times New Roman"/>
        </w:rPr>
        <w:t xml:space="preserve">) via a DFIX restraint, the C6 Co1 bond length was restrained to 2.2 </w:t>
      </w:r>
      <w:r w:rsidR="005B3302">
        <w:rPr>
          <w:rFonts w:ascii="Times New Roman" w:hAnsi="Times New Roman"/>
        </w:rPr>
        <w:t xml:space="preserve">Å </w:t>
      </w:r>
      <w:r>
        <w:rPr>
          <w:rFonts w:ascii="Times New Roman" w:hAnsi="Times New Roman"/>
        </w:rPr>
        <w:t>via a DFIX restraint</w:t>
      </w:r>
      <w:r w:rsidR="00AB14F4">
        <w:rPr>
          <w:rFonts w:ascii="Times New Roman" w:hAnsi="Times New Roman"/>
        </w:rPr>
        <w:t xml:space="preserve"> and t</w:t>
      </w:r>
      <w:r w:rsidR="002B65B6">
        <w:rPr>
          <w:rFonts w:ascii="Times New Roman" w:hAnsi="Times New Roman"/>
        </w:rPr>
        <w:t>he O6A Co1</w:t>
      </w:r>
      <w:r w:rsidR="002B65B6" w:rsidRPr="002B65B6">
        <w:rPr>
          <w:rFonts w:ascii="Times New Roman" w:hAnsi="Times New Roman"/>
        </w:rPr>
        <w:t xml:space="preserve"> </w:t>
      </w:r>
      <w:r w:rsidR="002B65B6">
        <w:rPr>
          <w:rFonts w:ascii="Times New Roman" w:hAnsi="Times New Roman"/>
        </w:rPr>
        <w:t xml:space="preserve">bond length was restrained to 2.09 Å (the </w:t>
      </w:r>
      <w:r w:rsidR="008E2903">
        <w:rPr>
          <w:rFonts w:ascii="Times New Roman" w:hAnsi="Times New Roman"/>
        </w:rPr>
        <w:t xml:space="preserve">Co-O bond length of the hydrated sample) </w:t>
      </w:r>
      <w:r w:rsidR="002B65B6">
        <w:rPr>
          <w:rFonts w:ascii="Times New Roman" w:hAnsi="Times New Roman"/>
        </w:rPr>
        <w:t xml:space="preserve">via a DFIX restraint </w:t>
      </w:r>
      <w:r>
        <w:rPr>
          <w:rFonts w:ascii="Times New Roman" w:hAnsi="Times New Roman"/>
        </w:rPr>
        <w:t xml:space="preserve">. Atoms </w:t>
      </w:r>
      <w:r w:rsidRPr="0050689E">
        <w:rPr>
          <w:rFonts w:ascii="Times New Roman" w:hAnsi="Times New Roman"/>
        </w:rPr>
        <w:t>Co1 O4 C6</w:t>
      </w:r>
      <w:r>
        <w:rPr>
          <w:rFonts w:ascii="Times New Roman" w:hAnsi="Times New Roman"/>
        </w:rPr>
        <w:t xml:space="preserve"> (the CO bound to the metal) were subject to a SIMU restraint of deviation 0.0</w:t>
      </w:r>
      <w:r w:rsidR="00E55C80">
        <w:rPr>
          <w:rFonts w:ascii="Times New Roman" w:hAnsi="Times New Roman"/>
        </w:rPr>
        <w:t>8</w:t>
      </w:r>
      <w:r>
        <w:rPr>
          <w:rFonts w:ascii="Times New Roman" w:hAnsi="Times New Roman"/>
        </w:rPr>
        <w:t xml:space="preserve"> and distance </w:t>
      </w:r>
      <w:r w:rsidR="00E55C80">
        <w:rPr>
          <w:rFonts w:ascii="Times New Roman" w:hAnsi="Times New Roman"/>
        </w:rPr>
        <w:t>3</w:t>
      </w:r>
      <w:r>
        <w:rPr>
          <w:rFonts w:ascii="Times New Roman" w:hAnsi="Times New Roman"/>
        </w:rPr>
        <w:t>.7 Å. All these restraints were necessary due to the low CO occupancy.</w:t>
      </w:r>
    </w:p>
    <w:p w14:paraId="786C8430" w14:textId="77777777" w:rsidR="004033A9" w:rsidRDefault="004033A9" w:rsidP="004033A9">
      <w:pPr>
        <w:rPr>
          <w:rFonts w:ascii="Times New Roman" w:hAnsi="Times New Roman"/>
        </w:rPr>
      </w:pPr>
      <w:r>
        <w:rPr>
          <w:rFonts w:ascii="Times New Roman" w:hAnsi="Times New Roman"/>
        </w:rPr>
        <w:lastRenderedPageBreak/>
        <w:t>For NO in Co-4,6-dhip it was necessary to restrain the N-O bond using a DFIX restraint. The bond lengths were restrained to 1.15 Å, the gas bond length</w:t>
      </w:r>
      <w:r w:rsidR="005B3302">
        <w:rPr>
          <w:rFonts w:ascii="Times New Roman" w:hAnsi="Times New Roman"/>
        </w:rPr>
        <w:t>.</w:t>
      </w:r>
      <w:r>
        <w:rPr>
          <w:rFonts w:ascii="Times New Roman" w:hAnsi="Times New Roman"/>
        </w:rPr>
        <w:fldChar w:fldCharType="begin" w:fldLock="1"/>
      </w:r>
      <w:r>
        <w:rPr>
          <w:rFonts w:ascii="Times New Roman" w:hAnsi="Times New Roman"/>
        </w:rPr>
        <w:instrText>ADDIN CSL_CITATION {"citationItems":[{"id":"ITEM-1","itemData":{"URL":"https://www.nist.gov/pml/diatomic-spectral-database","accessed":{"date-parts":[["2022","4","13"]]},"id":"ITEM-1","issued":{"date-parts":[["0"]]},"title":"Diatomic Spectral Database | NIST","type":"webpage"},"uris":["http://www.mendeley.com/documents/?uuid=9e35373c-693b-3737-a376-4eb562d12030"]}],"mendeley":{"formattedCitation":"&lt;sup&gt;6&lt;/sup&gt;","plainTextFormattedCitation":"6","previouslyFormattedCitation":"&lt;sup&gt;6&lt;/sup&gt;"},"properties":{"noteIndex":0},"schema":"https://github.com/citation-style-language/schema/raw/master/csl-citation.json"}</w:instrText>
      </w:r>
      <w:r>
        <w:rPr>
          <w:rFonts w:ascii="Times New Roman" w:hAnsi="Times New Roman"/>
        </w:rPr>
        <w:fldChar w:fldCharType="separate"/>
      </w:r>
      <w:r w:rsidRPr="004033A9">
        <w:rPr>
          <w:rFonts w:ascii="Times New Roman" w:hAnsi="Times New Roman"/>
          <w:noProof/>
          <w:vertAlign w:val="superscript"/>
        </w:rPr>
        <w:t>6</w:t>
      </w:r>
      <w:r>
        <w:rPr>
          <w:rFonts w:ascii="Times New Roman" w:hAnsi="Times New Roman"/>
        </w:rPr>
        <w:fldChar w:fldCharType="end"/>
      </w:r>
      <w:r>
        <w:rPr>
          <w:rFonts w:ascii="Times New Roman" w:hAnsi="Times New Roman"/>
        </w:rPr>
        <w:t xml:space="preserve"> To produce anisotropic Os it was necessary to use a SIMU restraint of</w:t>
      </w:r>
      <w:r w:rsidRPr="006C74A5">
        <w:rPr>
          <w:rFonts w:ascii="Times New Roman" w:hAnsi="Times New Roman"/>
        </w:rPr>
        <w:t xml:space="preserve"> </w:t>
      </w:r>
      <w:r>
        <w:rPr>
          <w:rFonts w:ascii="Times New Roman" w:hAnsi="Times New Roman"/>
        </w:rPr>
        <w:t xml:space="preserve">deviation 0.02 and distance 2.7 Å between the Os and the N. </w:t>
      </w:r>
      <w:r w:rsidR="00996F5B">
        <w:rPr>
          <w:rFonts w:ascii="Times New Roman" w:hAnsi="Times New Roman"/>
        </w:rPr>
        <w:t>A SUMP constraint was used on the O occupancies, with the sum</w:t>
      </w:r>
      <w:r w:rsidR="00324FBC">
        <w:rPr>
          <w:rFonts w:ascii="Times New Roman" w:hAnsi="Times New Roman"/>
        </w:rPr>
        <w:t xml:space="preserve"> total</w:t>
      </w:r>
      <w:r w:rsidR="00996F5B">
        <w:rPr>
          <w:rFonts w:ascii="Times New Roman" w:hAnsi="Times New Roman"/>
        </w:rPr>
        <w:t xml:space="preserve"> varied so that it matched the N occupancy to two decimal places.</w:t>
      </w:r>
    </w:p>
    <w:p w14:paraId="53C5ED95" w14:textId="52492AFD" w:rsidR="000734F3" w:rsidRDefault="000734F3" w:rsidP="000734F3">
      <w:pPr>
        <w:rPr>
          <w:rFonts w:ascii="Times New Roman" w:hAnsi="Times New Roman"/>
        </w:rPr>
      </w:pPr>
      <w:r>
        <w:rPr>
          <w:rFonts w:ascii="Times New Roman" w:hAnsi="Times New Roman"/>
        </w:rPr>
        <w:t>In order to calculate free pore volume and electron density the Olex2 mask command was used.</w:t>
      </w:r>
      <w:r>
        <w:rPr>
          <w:rFonts w:ascii="Times New Roman" w:hAnsi="Times New Roman"/>
        </w:rPr>
        <w:fldChar w:fldCharType="begin" w:fldLock="1"/>
      </w:r>
      <w:r>
        <w:rPr>
          <w:rFonts w:ascii="Times New Roman" w:hAnsi="Times New Roman"/>
        </w:rPr>
        <w:instrText>ADDIN CSL_CITATION {"citationItems":[{"id":"ITEM-1","itemData":{"DOI":"10.1107/S0907444905019591","ISSN":"0907-4449","PMID":"16131764","abstract":"The estimation of the bulk-solvent contribution to the diffraction of a macromolecular crystal makes use of a solvent mask which delimits the bulk-solvent regions in the crystal. It is shown that the way this mask is usually defined in CNS contains a bias which can lead to absurd results in the case of very large structures, where the calculations can only be made on relatively coarse grids. A modified procedure is described and applied to 70S ribosome data at 5.5 Å resolution. The B factor affecting the bulk solvent is also discussed. Even in this case of very high and widely variable atomic B factors, it seems sufficient to consider a constant and isotropic B factor for the bulk solvent. This is initially set to the average value of the atomic B factor, but can be refined.","author":[{"dropping-particle":"","family":"Rees","given":"Bernard","non-dropping-particle":"","parse-names":false,"suffix":""},{"dropping-particle":"","family":"Jenner","given":"Lasse","non-dropping-particle":"","parse-names":false,"suffix":""},{"dropping-particle":"","family":"Yusupov","given":"Marat","non-dropping-particle":"","parse-names":false,"suffix":""}],"container-title":"urn:issn:0907-4449","id":"ITEM-1","issue":"9","issued":{"date-parts":[["2005","8","16"]]},"page":"1299-1301","publisher":"International Union of Crystallography","title":"Bulk-solvent correction in large macromolecular structures","type":"article-journal","volume":"61"},"uris":["http://www.mendeley.com/documents/?uuid=269d11c0-3d93-322e-914d-da96b36572ba"]}],"mendeley":{"formattedCitation":"&lt;sup&gt;7&lt;/sup&gt;","plainTextFormattedCitation":"7","previouslyFormattedCitation":"&lt;sup&gt;7&lt;/sup&gt;"},"properties":{"noteIndex":0},"schema":"https://github.com/citation-style-language/schema/raw/master/csl-citation.json"}</w:instrText>
      </w:r>
      <w:r>
        <w:rPr>
          <w:rFonts w:ascii="Times New Roman" w:hAnsi="Times New Roman"/>
        </w:rPr>
        <w:fldChar w:fldCharType="separate"/>
      </w:r>
      <w:r w:rsidRPr="000734F3">
        <w:rPr>
          <w:rFonts w:ascii="Times New Roman" w:hAnsi="Times New Roman"/>
          <w:noProof/>
          <w:vertAlign w:val="superscript"/>
        </w:rPr>
        <w:t>7</w:t>
      </w:r>
      <w:r>
        <w:rPr>
          <w:rFonts w:ascii="Times New Roman" w:hAnsi="Times New Roman"/>
        </w:rPr>
        <w:fldChar w:fldCharType="end"/>
      </w:r>
      <w:r>
        <w:rPr>
          <w:rFonts w:ascii="Times New Roman" w:hAnsi="Times New Roman"/>
        </w:rPr>
        <w:t xml:space="preserve"> Standard parameters (1.2 Å probe) were used. The mask was not used on the published structures, but as a calculation after refinement was finished.</w:t>
      </w:r>
    </w:p>
    <w:p w14:paraId="4E1B8EB8" w14:textId="77777777" w:rsidR="004033A9" w:rsidRPr="006F7F3D" w:rsidRDefault="004033A9" w:rsidP="004033A9"/>
    <w:p w14:paraId="123EFBF1" w14:textId="77777777" w:rsidR="004033A9" w:rsidRPr="00902286" w:rsidRDefault="004033A9" w:rsidP="004033A9">
      <w:pPr>
        <w:pStyle w:val="Caption"/>
        <w:keepNext/>
        <w:rPr>
          <w:color w:val="auto"/>
        </w:rPr>
      </w:pPr>
      <w:r w:rsidRPr="00902286">
        <w:rPr>
          <w:color w:val="auto"/>
        </w:rPr>
        <w:t xml:space="preserve">Table </w:t>
      </w:r>
      <w:r w:rsidRPr="00902286">
        <w:rPr>
          <w:color w:val="auto"/>
        </w:rPr>
        <w:fldChar w:fldCharType="begin"/>
      </w:r>
      <w:r w:rsidRPr="00902286">
        <w:rPr>
          <w:color w:val="auto"/>
        </w:rPr>
        <w:instrText xml:space="preserve"> SEQ Table \* ARABIC </w:instrText>
      </w:r>
      <w:r w:rsidRPr="00902286">
        <w:rPr>
          <w:color w:val="auto"/>
        </w:rPr>
        <w:fldChar w:fldCharType="separate"/>
      </w:r>
      <w:r w:rsidRPr="00902286">
        <w:rPr>
          <w:noProof/>
          <w:color w:val="auto"/>
        </w:rPr>
        <w:t>1</w:t>
      </w:r>
      <w:r w:rsidRPr="00902286">
        <w:rPr>
          <w:color w:val="auto"/>
        </w:rPr>
        <w:fldChar w:fldCharType="end"/>
      </w:r>
      <w:r>
        <w:rPr>
          <w:color w:val="auto"/>
        </w:rPr>
        <w:t>: Containing information on t</w:t>
      </w:r>
      <w:r w:rsidRPr="00902286">
        <w:rPr>
          <w:color w:val="auto"/>
        </w:rPr>
        <w:t>emperature, loading and R</w:t>
      </w:r>
      <w:r w:rsidRPr="00902286">
        <w:rPr>
          <w:color w:val="auto"/>
          <w:vertAlign w:val="subscript"/>
        </w:rPr>
        <w:t>1</w:t>
      </w:r>
      <w:r w:rsidRPr="00902286">
        <w:rPr>
          <w:color w:val="auto"/>
        </w:rPr>
        <w:t xml:space="preserve"> values for each dataset presented.</w:t>
      </w:r>
    </w:p>
    <w:tbl>
      <w:tblPr>
        <w:tblStyle w:val="TableGrid"/>
        <w:tblW w:w="9350" w:type="dxa"/>
        <w:tblLook w:val="04A0" w:firstRow="1" w:lastRow="0" w:firstColumn="1" w:lastColumn="0" w:noHBand="0" w:noVBand="1"/>
      </w:tblPr>
      <w:tblGrid>
        <w:gridCol w:w="2983"/>
        <w:gridCol w:w="1258"/>
        <w:gridCol w:w="3258"/>
        <w:gridCol w:w="795"/>
        <w:gridCol w:w="1056"/>
      </w:tblGrid>
      <w:tr w:rsidR="0068189C" w14:paraId="39C7ED6F" w14:textId="77777777" w:rsidTr="0068189C">
        <w:tc>
          <w:tcPr>
            <w:tcW w:w="3087" w:type="dxa"/>
          </w:tcPr>
          <w:p w14:paraId="155410E3"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Sample</w:t>
            </w:r>
          </w:p>
        </w:tc>
        <w:tc>
          <w:tcPr>
            <w:tcW w:w="1287" w:type="dxa"/>
          </w:tcPr>
          <w:p w14:paraId="5518A11E"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Temp / K</w:t>
            </w:r>
          </w:p>
        </w:tc>
        <w:tc>
          <w:tcPr>
            <w:tcW w:w="3394" w:type="dxa"/>
          </w:tcPr>
          <w:p w14:paraId="2CE9CEC5"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Loading</w:t>
            </w:r>
          </w:p>
        </w:tc>
        <w:tc>
          <w:tcPr>
            <w:tcW w:w="805" w:type="dxa"/>
          </w:tcPr>
          <w:p w14:paraId="20AE315D"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R</w:t>
            </w:r>
            <w:r w:rsidRPr="00F93B04">
              <w:rPr>
                <w:rFonts w:ascii="Times New Roman" w:hAnsi="Times New Roman" w:cs="Times New Roman"/>
                <w:vertAlign w:val="subscript"/>
              </w:rPr>
              <w:t>1</w:t>
            </w:r>
          </w:p>
        </w:tc>
        <w:tc>
          <w:tcPr>
            <w:tcW w:w="777" w:type="dxa"/>
          </w:tcPr>
          <w:p w14:paraId="55A86F70" w14:textId="77777777" w:rsidR="0068189C" w:rsidRPr="00F93B04" w:rsidRDefault="0068189C" w:rsidP="00E12B18">
            <w:pPr>
              <w:rPr>
                <w:rFonts w:ascii="Times New Roman" w:hAnsi="Times New Roman"/>
              </w:rPr>
            </w:pPr>
            <w:r>
              <w:rPr>
                <w:rFonts w:ascii="Times New Roman" w:hAnsi="Times New Roman"/>
              </w:rPr>
              <w:t>CCDC number</w:t>
            </w:r>
          </w:p>
        </w:tc>
      </w:tr>
      <w:tr w:rsidR="0068189C" w14:paraId="7E3C819D" w14:textId="77777777" w:rsidTr="0068189C">
        <w:tc>
          <w:tcPr>
            <w:tcW w:w="3087" w:type="dxa"/>
          </w:tcPr>
          <w:p w14:paraId="45EC9BAF"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Ni-CPO-27 dehydrated</w:t>
            </w:r>
          </w:p>
        </w:tc>
        <w:tc>
          <w:tcPr>
            <w:tcW w:w="1287" w:type="dxa"/>
          </w:tcPr>
          <w:p w14:paraId="211D52AE"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450</w:t>
            </w:r>
          </w:p>
        </w:tc>
        <w:tc>
          <w:tcPr>
            <w:tcW w:w="3394" w:type="dxa"/>
          </w:tcPr>
          <w:p w14:paraId="7CF9A956"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5.9</w:t>
            </w:r>
            <w:r>
              <w:rPr>
                <w:rFonts w:ascii="Times New Roman" w:hAnsi="Times New Roman" w:cs="Times New Roman"/>
              </w:rPr>
              <w:t xml:space="preserve">(19) </w:t>
            </w:r>
            <w:r w:rsidRPr="00F93B04">
              <w:rPr>
                <w:rFonts w:ascii="Times New Roman" w:hAnsi="Times New Roman" w:cs="Times New Roman"/>
              </w:rPr>
              <w:t>% water</w:t>
            </w:r>
          </w:p>
        </w:tc>
        <w:tc>
          <w:tcPr>
            <w:tcW w:w="805" w:type="dxa"/>
          </w:tcPr>
          <w:p w14:paraId="10E23710"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9.17</w:t>
            </w:r>
          </w:p>
        </w:tc>
        <w:tc>
          <w:tcPr>
            <w:tcW w:w="777" w:type="dxa"/>
          </w:tcPr>
          <w:p w14:paraId="51672D2A" w14:textId="5C37AADA" w:rsidR="0068189C" w:rsidRPr="00F93B04" w:rsidRDefault="0088388F" w:rsidP="00E12B18">
            <w:pPr>
              <w:rPr>
                <w:rFonts w:ascii="Times New Roman" w:hAnsi="Times New Roman"/>
              </w:rPr>
            </w:pPr>
            <w:r>
              <w:rPr>
                <w:rFonts w:ascii="Times New Roman" w:hAnsi="Times New Roman"/>
              </w:rPr>
              <w:t>2208832</w:t>
            </w:r>
          </w:p>
        </w:tc>
      </w:tr>
      <w:tr w:rsidR="0068189C" w14:paraId="262F8169" w14:textId="77777777" w:rsidTr="0068189C">
        <w:tc>
          <w:tcPr>
            <w:tcW w:w="3087" w:type="dxa"/>
          </w:tcPr>
          <w:p w14:paraId="724570AC"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Ni-CPO-27 CO loaded</w:t>
            </w:r>
          </w:p>
        </w:tc>
        <w:tc>
          <w:tcPr>
            <w:tcW w:w="1287" w:type="dxa"/>
          </w:tcPr>
          <w:p w14:paraId="6D007470"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450</w:t>
            </w:r>
          </w:p>
        </w:tc>
        <w:tc>
          <w:tcPr>
            <w:tcW w:w="3394" w:type="dxa"/>
          </w:tcPr>
          <w:p w14:paraId="457FD390"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40</w:t>
            </w:r>
            <w:r>
              <w:rPr>
                <w:rFonts w:ascii="Times New Roman" w:hAnsi="Times New Roman" w:cs="Times New Roman"/>
              </w:rPr>
              <w:t>(4)</w:t>
            </w:r>
            <w:r w:rsidRPr="00F93B04">
              <w:rPr>
                <w:rFonts w:ascii="Times New Roman" w:hAnsi="Times New Roman" w:cs="Times New Roman"/>
              </w:rPr>
              <w:t xml:space="preserve"> % carbon CO </w:t>
            </w:r>
          </w:p>
        </w:tc>
        <w:tc>
          <w:tcPr>
            <w:tcW w:w="805" w:type="dxa"/>
          </w:tcPr>
          <w:p w14:paraId="53E42449"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9.12</w:t>
            </w:r>
          </w:p>
        </w:tc>
        <w:tc>
          <w:tcPr>
            <w:tcW w:w="777" w:type="dxa"/>
          </w:tcPr>
          <w:p w14:paraId="7250F0B7" w14:textId="12C433EA" w:rsidR="0068189C" w:rsidRPr="00F93B04" w:rsidRDefault="0088388F" w:rsidP="00E12B18">
            <w:pPr>
              <w:rPr>
                <w:rFonts w:ascii="Times New Roman" w:hAnsi="Times New Roman"/>
              </w:rPr>
            </w:pPr>
            <w:r>
              <w:rPr>
                <w:rFonts w:ascii="Times New Roman" w:hAnsi="Times New Roman"/>
              </w:rPr>
              <w:t>2208829</w:t>
            </w:r>
          </w:p>
        </w:tc>
      </w:tr>
      <w:tr w:rsidR="0068189C" w14:paraId="4FC9391C" w14:textId="77777777" w:rsidTr="0068189C">
        <w:tc>
          <w:tcPr>
            <w:tcW w:w="3087" w:type="dxa"/>
          </w:tcPr>
          <w:p w14:paraId="07846666"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Ni-CPO-27 CO loaded</w:t>
            </w:r>
          </w:p>
        </w:tc>
        <w:tc>
          <w:tcPr>
            <w:tcW w:w="1287" w:type="dxa"/>
          </w:tcPr>
          <w:p w14:paraId="7D5914F1"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300</w:t>
            </w:r>
          </w:p>
        </w:tc>
        <w:tc>
          <w:tcPr>
            <w:tcW w:w="3394" w:type="dxa"/>
          </w:tcPr>
          <w:p w14:paraId="5D85631A" w14:textId="27B8BB2E" w:rsidR="0068189C" w:rsidRPr="00F93B04" w:rsidRDefault="0068189C" w:rsidP="00E12B18">
            <w:pPr>
              <w:rPr>
                <w:rFonts w:ascii="Times New Roman" w:hAnsi="Times New Roman" w:cs="Times New Roman"/>
              </w:rPr>
            </w:pPr>
            <w:r w:rsidRPr="00F93B04">
              <w:rPr>
                <w:rFonts w:ascii="Times New Roman" w:hAnsi="Times New Roman" w:cs="Times New Roman"/>
              </w:rPr>
              <w:t>6</w:t>
            </w:r>
            <w:r w:rsidR="00DB3284">
              <w:rPr>
                <w:rFonts w:ascii="Times New Roman" w:hAnsi="Times New Roman" w:cs="Times New Roman"/>
              </w:rPr>
              <w:t>3</w:t>
            </w:r>
            <w:r>
              <w:rPr>
                <w:rFonts w:ascii="Times New Roman" w:hAnsi="Times New Roman" w:cs="Times New Roman"/>
              </w:rPr>
              <w:t>(4)</w:t>
            </w:r>
            <w:r w:rsidRPr="00F93B04">
              <w:rPr>
                <w:rFonts w:ascii="Times New Roman" w:hAnsi="Times New Roman" w:cs="Times New Roman"/>
              </w:rPr>
              <w:t xml:space="preserve"> % CO</w:t>
            </w:r>
          </w:p>
          <w:p w14:paraId="6137B888" w14:textId="71C7C380" w:rsidR="0068189C" w:rsidRPr="00F93B04" w:rsidRDefault="0068189C" w:rsidP="00E12B18">
            <w:pPr>
              <w:rPr>
                <w:rFonts w:ascii="Times New Roman" w:hAnsi="Times New Roman" w:cs="Times New Roman"/>
              </w:rPr>
            </w:pPr>
            <w:r w:rsidRPr="00F93B04">
              <w:rPr>
                <w:rFonts w:ascii="Times New Roman" w:hAnsi="Times New Roman" w:cs="Times New Roman"/>
              </w:rPr>
              <w:t>2</w:t>
            </w:r>
            <w:r w:rsidR="00DB3284">
              <w:rPr>
                <w:rFonts w:ascii="Times New Roman" w:hAnsi="Times New Roman" w:cs="Times New Roman"/>
              </w:rPr>
              <w:t>7</w:t>
            </w:r>
            <w:r>
              <w:rPr>
                <w:rFonts w:ascii="Times New Roman" w:hAnsi="Times New Roman" w:cs="Times New Roman"/>
              </w:rPr>
              <w:t>(3)</w:t>
            </w:r>
            <w:r w:rsidRPr="00F93B04">
              <w:rPr>
                <w:rFonts w:ascii="Times New Roman" w:hAnsi="Times New Roman" w:cs="Times New Roman"/>
              </w:rPr>
              <w:t xml:space="preserve"> % </w:t>
            </w:r>
            <w:r>
              <w:rPr>
                <w:rFonts w:ascii="Times New Roman" w:hAnsi="Times New Roman" w:cs="Times New Roman"/>
              </w:rPr>
              <w:t>water</w:t>
            </w:r>
          </w:p>
        </w:tc>
        <w:tc>
          <w:tcPr>
            <w:tcW w:w="805" w:type="dxa"/>
          </w:tcPr>
          <w:p w14:paraId="31AF1C50" w14:textId="6E5535FC" w:rsidR="0068189C" w:rsidRPr="00F93B04" w:rsidRDefault="0068189C" w:rsidP="00E12B18">
            <w:pPr>
              <w:rPr>
                <w:rFonts w:ascii="Times New Roman" w:hAnsi="Times New Roman" w:cs="Times New Roman"/>
              </w:rPr>
            </w:pPr>
            <w:r w:rsidRPr="00F93B04">
              <w:rPr>
                <w:rFonts w:ascii="Times New Roman" w:hAnsi="Times New Roman" w:cs="Times New Roman"/>
              </w:rPr>
              <w:t>9.</w:t>
            </w:r>
            <w:r w:rsidR="00ED3B4F">
              <w:rPr>
                <w:rFonts w:ascii="Times New Roman" w:hAnsi="Times New Roman" w:cs="Times New Roman"/>
              </w:rPr>
              <w:t>68</w:t>
            </w:r>
          </w:p>
        </w:tc>
        <w:tc>
          <w:tcPr>
            <w:tcW w:w="777" w:type="dxa"/>
          </w:tcPr>
          <w:p w14:paraId="25DDF9E9" w14:textId="005C854F" w:rsidR="0068189C" w:rsidRPr="00F93B04" w:rsidRDefault="0088388F" w:rsidP="00E12B18">
            <w:pPr>
              <w:rPr>
                <w:rFonts w:ascii="Times New Roman" w:hAnsi="Times New Roman"/>
              </w:rPr>
            </w:pPr>
            <w:r>
              <w:rPr>
                <w:rFonts w:ascii="Times New Roman" w:hAnsi="Times New Roman"/>
              </w:rPr>
              <w:t>2208833</w:t>
            </w:r>
          </w:p>
        </w:tc>
      </w:tr>
      <w:tr w:rsidR="0068189C" w14:paraId="3B32A495" w14:textId="77777777" w:rsidTr="0068189C">
        <w:tc>
          <w:tcPr>
            <w:tcW w:w="3087" w:type="dxa"/>
          </w:tcPr>
          <w:p w14:paraId="75A0BC5D"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Co-4,6-dhip dehydrated</w:t>
            </w:r>
          </w:p>
        </w:tc>
        <w:tc>
          <w:tcPr>
            <w:tcW w:w="1287" w:type="dxa"/>
          </w:tcPr>
          <w:p w14:paraId="326729C8"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500</w:t>
            </w:r>
          </w:p>
        </w:tc>
        <w:tc>
          <w:tcPr>
            <w:tcW w:w="3394" w:type="dxa"/>
          </w:tcPr>
          <w:p w14:paraId="3ABAAA02"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9</w:t>
            </w:r>
            <w:r>
              <w:rPr>
                <w:rFonts w:ascii="Times New Roman" w:hAnsi="Times New Roman" w:cs="Times New Roman"/>
              </w:rPr>
              <w:t>.0(4)</w:t>
            </w:r>
            <w:r w:rsidRPr="00F93B04">
              <w:rPr>
                <w:rFonts w:ascii="Times New Roman" w:hAnsi="Times New Roman" w:cs="Times New Roman"/>
              </w:rPr>
              <w:t xml:space="preserve"> % water</w:t>
            </w:r>
          </w:p>
        </w:tc>
        <w:tc>
          <w:tcPr>
            <w:tcW w:w="805" w:type="dxa"/>
          </w:tcPr>
          <w:p w14:paraId="2618EC17"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3.22</w:t>
            </w:r>
          </w:p>
        </w:tc>
        <w:tc>
          <w:tcPr>
            <w:tcW w:w="777" w:type="dxa"/>
          </w:tcPr>
          <w:p w14:paraId="2525EE45" w14:textId="13A5E1B3" w:rsidR="0068189C" w:rsidRPr="00F93B04" w:rsidRDefault="0088388F" w:rsidP="00E12B18">
            <w:pPr>
              <w:rPr>
                <w:rFonts w:ascii="Times New Roman" w:hAnsi="Times New Roman"/>
              </w:rPr>
            </w:pPr>
            <w:r>
              <w:rPr>
                <w:rFonts w:ascii="Times New Roman" w:hAnsi="Times New Roman"/>
              </w:rPr>
              <w:t>2208828</w:t>
            </w:r>
          </w:p>
        </w:tc>
      </w:tr>
      <w:tr w:rsidR="0068189C" w14:paraId="5BB385F8" w14:textId="77777777" w:rsidTr="0068189C">
        <w:tc>
          <w:tcPr>
            <w:tcW w:w="3087" w:type="dxa"/>
          </w:tcPr>
          <w:p w14:paraId="20E0C7F7"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Co-4,6-</w:t>
            </w:r>
            <w:r>
              <w:rPr>
                <w:rFonts w:ascii="Times New Roman" w:hAnsi="Times New Roman" w:cs="Times New Roman"/>
              </w:rPr>
              <w:t xml:space="preserve">dhip CO loaded </w:t>
            </w:r>
          </w:p>
        </w:tc>
        <w:tc>
          <w:tcPr>
            <w:tcW w:w="1287" w:type="dxa"/>
          </w:tcPr>
          <w:p w14:paraId="6A640E6B"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500</w:t>
            </w:r>
          </w:p>
        </w:tc>
        <w:tc>
          <w:tcPr>
            <w:tcW w:w="3394" w:type="dxa"/>
          </w:tcPr>
          <w:p w14:paraId="1B8A07D9" w14:textId="25E1A5DB" w:rsidR="0068189C" w:rsidRPr="00F93B04" w:rsidRDefault="0047114F" w:rsidP="00E12B18">
            <w:pPr>
              <w:rPr>
                <w:rFonts w:ascii="Times New Roman" w:hAnsi="Times New Roman" w:cs="Times New Roman"/>
              </w:rPr>
            </w:pPr>
            <w:r>
              <w:rPr>
                <w:rFonts w:ascii="Times New Roman" w:hAnsi="Times New Roman" w:cs="Times New Roman"/>
              </w:rPr>
              <w:t>10</w:t>
            </w:r>
            <w:r w:rsidR="0068189C">
              <w:rPr>
                <w:rFonts w:ascii="Times New Roman" w:hAnsi="Times New Roman" w:cs="Times New Roman"/>
              </w:rPr>
              <w:t>.7(1</w:t>
            </w:r>
            <w:r>
              <w:rPr>
                <w:rFonts w:ascii="Times New Roman" w:hAnsi="Times New Roman" w:cs="Times New Roman"/>
              </w:rPr>
              <w:t>5</w:t>
            </w:r>
            <w:r w:rsidR="0068189C">
              <w:rPr>
                <w:rFonts w:ascii="Times New Roman" w:hAnsi="Times New Roman" w:cs="Times New Roman"/>
              </w:rPr>
              <w:t xml:space="preserve">) </w:t>
            </w:r>
            <w:r w:rsidR="0068189C" w:rsidRPr="00F93B04">
              <w:rPr>
                <w:rFonts w:ascii="Times New Roman" w:hAnsi="Times New Roman" w:cs="Times New Roman"/>
              </w:rPr>
              <w:t>% CO</w:t>
            </w:r>
          </w:p>
          <w:p w14:paraId="195BD5AB" w14:textId="39126946" w:rsidR="0068189C" w:rsidRPr="00F93B04" w:rsidRDefault="0068189C" w:rsidP="00E12B18">
            <w:pPr>
              <w:rPr>
                <w:rFonts w:ascii="Times New Roman" w:hAnsi="Times New Roman" w:cs="Times New Roman"/>
              </w:rPr>
            </w:pPr>
            <w:r w:rsidRPr="00F93B04">
              <w:rPr>
                <w:rFonts w:ascii="Times New Roman" w:hAnsi="Times New Roman" w:cs="Times New Roman"/>
              </w:rPr>
              <w:t>15</w:t>
            </w:r>
            <w:r>
              <w:rPr>
                <w:rFonts w:ascii="Times New Roman" w:hAnsi="Times New Roman" w:cs="Times New Roman"/>
              </w:rPr>
              <w:t>.</w:t>
            </w:r>
            <w:r w:rsidR="00A508B2">
              <w:rPr>
                <w:rFonts w:ascii="Times New Roman" w:hAnsi="Times New Roman" w:cs="Times New Roman"/>
              </w:rPr>
              <w:t>2</w:t>
            </w:r>
            <w:r>
              <w:rPr>
                <w:rFonts w:ascii="Times New Roman" w:hAnsi="Times New Roman" w:cs="Times New Roman"/>
              </w:rPr>
              <w:t>(1</w:t>
            </w:r>
            <w:r w:rsidR="00A508B2">
              <w:rPr>
                <w:rFonts w:ascii="Times New Roman" w:hAnsi="Times New Roman" w:cs="Times New Roman"/>
              </w:rPr>
              <w:t>5</w:t>
            </w:r>
            <w:r>
              <w:rPr>
                <w:rFonts w:ascii="Times New Roman" w:hAnsi="Times New Roman" w:cs="Times New Roman"/>
              </w:rPr>
              <w:t>)</w:t>
            </w:r>
            <w:r w:rsidRPr="00F93B04">
              <w:rPr>
                <w:rFonts w:ascii="Times New Roman" w:hAnsi="Times New Roman" w:cs="Times New Roman"/>
              </w:rPr>
              <w:t xml:space="preserve"> % water</w:t>
            </w:r>
          </w:p>
        </w:tc>
        <w:tc>
          <w:tcPr>
            <w:tcW w:w="805" w:type="dxa"/>
          </w:tcPr>
          <w:p w14:paraId="7320BFAF" w14:textId="4B49F1E1" w:rsidR="0068189C" w:rsidRPr="00F93B04" w:rsidRDefault="0068189C" w:rsidP="00E12B18">
            <w:pPr>
              <w:rPr>
                <w:rFonts w:ascii="Times New Roman" w:hAnsi="Times New Roman" w:cs="Times New Roman"/>
              </w:rPr>
            </w:pPr>
            <w:r w:rsidRPr="00F93B04">
              <w:rPr>
                <w:rFonts w:ascii="Times New Roman" w:hAnsi="Times New Roman" w:cs="Times New Roman"/>
              </w:rPr>
              <w:t>3.</w:t>
            </w:r>
            <w:r w:rsidR="00A508B2">
              <w:rPr>
                <w:rFonts w:ascii="Times New Roman" w:hAnsi="Times New Roman" w:cs="Times New Roman"/>
              </w:rPr>
              <w:t>09</w:t>
            </w:r>
          </w:p>
        </w:tc>
        <w:tc>
          <w:tcPr>
            <w:tcW w:w="777" w:type="dxa"/>
          </w:tcPr>
          <w:p w14:paraId="4A66901D" w14:textId="232C405C" w:rsidR="0068189C" w:rsidRPr="00F93B04" w:rsidRDefault="0088388F" w:rsidP="00E12B18">
            <w:pPr>
              <w:rPr>
                <w:rFonts w:ascii="Times New Roman" w:hAnsi="Times New Roman"/>
              </w:rPr>
            </w:pPr>
            <w:r>
              <w:rPr>
                <w:rFonts w:ascii="Times New Roman" w:hAnsi="Times New Roman"/>
              </w:rPr>
              <w:t>2208827</w:t>
            </w:r>
          </w:p>
        </w:tc>
      </w:tr>
      <w:tr w:rsidR="0068189C" w14:paraId="4A0FAAFB" w14:textId="77777777" w:rsidTr="0068189C">
        <w:tc>
          <w:tcPr>
            <w:tcW w:w="3087" w:type="dxa"/>
          </w:tcPr>
          <w:p w14:paraId="11276858"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Co-4,6-dhip dehydrated</w:t>
            </w:r>
          </w:p>
        </w:tc>
        <w:tc>
          <w:tcPr>
            <w:tcW w:w="1287" w:type="dxa"/>
          </w:tcPr>
          <w:p w14:paraId="2FDAA501"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450</w:t>
            </w:r>
          </w:p>
        </w:tc>
        <w:tc>
          <w:tcPr>
            <w:tcW w:w="3394" w:type="dxa"/>
          </w:tcPr>
          <w:p w14:paraId="71F8D135"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7.7</w:t>
            </w:r>
            <w:r>
              <w:rPr>
                <w:rFonts w:ascii="Times New Roman" w:hAnsi="Times New Roman" w:cs="Times New Roman"/>
              </w:rPr>
              <w:t>(4)</w:t>
            </w:r>
            <w:r w:rsidRPr="00F93B04">
              <w:rPr>
                <w:rFonts w:ascii="Times New Roman" w:hAnsi="Times New Roman" w:cs="Times New Roman"/>
              </w:rPr>
              <w:t xml:space="preserve"> % water</w:t>
            </w:r>
          </w:p>
        </w:tc>
        <w:tc>
          <w:tcPr>
            <w:tcW w:w="805" w:type="dxa"/>
          </w:tcPr>
          <w:p w14:paraId="717EC0C8"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3.66</w:t>
            </w:r>
          </w:p>
        </w:tc>
        <w:tc>
          <w:tcPr>
            <w:tcW w:w="777" w:type="dxa"/>
          </w:tcPr>
          <w:p w14:paraId="26B6B377" w14:textId="1D66E45E" w:rsidR="0068189C" w:rsidRPr="00F93B04" w:rsidRDefault="0088388F" w:rsidP="00E12B18">
            <w:pPr>
              <w:rPr>
                <w:rFonts w:ascii="Times New Roman" w:hAnsi="Times New Roman"/>
              </w:rPr>
            </w:pPr>
            <w:r>
              <w:rPr>
                <w:rFonts w:ascii="Times New Roman" w:hAnsi="Times New Roman"/>
              </w:rPr>
              <w:t>2208831</w:t>
            </w:r>
          </w:p>
        </w:tc>
      </w:tr>
      <w:tr w:rsidR="0068189C" w14:paraId="72A55924" w14:textId="77777777" w:rsidTr="0068189C">
        <w:tc>
          <w:tcPr>
            <w:tcW w:w="3087" w:type="dxa"/>
          </w:tcPr>
          <w:p w14:paraId="561F355A"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Co-4,6-dhip NO loaded</w:t>
            </w:r>
          </w:p>
        </w:tc>
        <w:tc>
          <w:tcPr>
            <w:tcW w:w="1287" w:type="dxa"/>
          </w:tcPr>
          <w:p w14:paraId="064E9331"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450</w:t>
            </w:r>
          </w:p>
        </w:tc>
        <w:tc>
          <w:tcPr>
            <w:tcW w:w="3394" w:type="dxa"/>
          </w:tcPr>
          <w:p w14:paraId="0F717BF2" w14:textId="77777777" w:rsidR="0068189C" w:rsidRPr="00892AFA" w:rsidRDefault="0068189C" w:rsidP="00017262">
            <w:pPr>
              <w:rPr>
                <w:rFonts w:ascii="Times New Roman" w:hAnsi="Times New Roman" w:cs="Times New Roman"/>
              </w:rPr>
            </w:pPr>
            <w:r>
              <w:rPr>
                <w:rFonts w:ascii="Times New Roman" w:hAnsi="Times New Roman" w:cs="Times New Roman"/>
              </w:rPr>
              <w:t>8</w:t>
            </w:r>
            <w:r w:rsidR="00017262">
              <w:rPr>
                <w:rFonts w:ascii="Times New Roman" w:hAnsi="Times New Roman" w:cs="Times New Roman"/>
              </w:rPr>
              <w:t>4.5</w:t>
            </w:r>
            <w:r>
              <w:rPr>
                <w:rFonts w:ascii="Times New Roman" w:hAnsi="Times New Roman" w:cs="Times New Roman"/>
              </w:rPr>
              <w:t>(</w:t>
            </w:r>
            <w:r w:rsidR="00017262">
              <w:rPr>
                <w:rFonts w:ascii="Times New Roman" w:hAnsi="Times New Roman" w:cs="Times New Roman"/>
              </w:rPr>
              <w:t>15</w:t>
            </w:r>
            <w:r>
              <w:rPr>
                <w:rFonts w:ascii="Times New Roman" w:hAnsi="Times New Roman" w:cs="Times New Roman"/>
              </w:rPr>
              <w:t>)</w:t>
            </w:r>
            <w:r w:rsidRPr="00892AFA">
              <w:rPr>
                <w:rFonts w:ascii="Times New Roman" w:hAnsi="Times New Roman" w:cs="Times New Roman"/>
              </w:rPr>
              <w:t xml:space="preserve"> % NO </w:t>
            </w:r>
          </w:p>
        </w:tc>
        <w:tc>
          <w:tcPr>
            <w:tcW w:w="805" w:type="dxa"/>
          </w:tcPr>
          <w:p w14:paraId="0FACAEC9" w14:textId="77777777" w:rsidR="0068189C" w:rsidRPr="00892AFA" w:rsidRDefault="0068189C" w:rsidP="00E12B18">
            <w:pPr>
              <w:rPr>
                <w:rFonts w:ascii="Times New Roman" w:hAnsi="Times New Roman" w:cs="Times New Roman"/>
              </w:rPr>
            </w:pPr>
            <w:r w:rsidRPr="00892AFA">
              <w:rPr>
                <w:rFonts w:ascii="Times New Roman" w:hAnsi="Times New Roman" w:cs="Times New Roman"/>
              </w:rPr>
              <w:t>4.11</w:t>
            </w:r>
          </w:p>
        </w:tc>
        <w:tc>
          <w:tcPr>
            <w:tcW w:w="777" w:type="dxa"/>
          </w:tcPr>
          <w:p w14:paraId="6EBA0D83" w14:textId="0F9E65F4" w:rsidR="0068189C" w:rsidRPr="00892AFA" w:rsidRDefault="0088388F" w:rsidP="00E12B18">
            <w:pPr>
              <w:rPr>
                <w:rFonts w:ascii="Times New Roman" w:hAnsi="Times New Roman"/>
              </w:rPr>
            </w:pPr>
            <w:r>
              <w:rPr>
                <w:rFonts w:ascii="Times New Roman" w:hAnsi="Times New Roman"/>
              </w:rPr>
              <w:t>2208834</w:t>
            </w:r>
          </w:p>
        </w:tc>
      </w:tr>
      <w:tr w:rsidR="0068189C" w14:paraId="62736CF2" w14:textId="77777777" w:rsidTr="0068189C">
        <w:tc>
          <w:tcPr>
            <w:tcW w:w="3087" w:type="dxa"/>
          </w:tcPr>
          <w:p w14:paraId="4C59B256"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Co-4,6-dhip NO loaded</w:t>
            </w:r>
          </w:p>
        </w:tc>
        <w:tc>
          <w:tcPr>
            <w:tcW w:w="1287" w:type="dxa"/>
          </w:tcPr>
          <w:p w14:paraId="281B7B9D" w14:textId="77777777" w:rsidR="0068189C" w:rsidRPr="00F93B04" w:rsidRDefault="0068189C" w:rsidP="00E12B18">
            <w:pPr>
              <w:rPr>
                <w:rFonts w:ascii="Times New Roman" w:hAnsi="Times New Roman" w:cs="Times New Roman"/>
              </w:rPr>
            </w:pPr>
            <w:r w:rsidRPr="00F93B04">
              <w:rPr>
                <w:rFonts w:ascii="Times New Roman" w:hAnsi="Times New Roman" w:cs="Times New Roman"/>
              </w:rPr>
              <w:t>300</w:t>
            </w:r>
          </w:p>
        </w:tc>
        <w:tc>
          <w:tcPr>
            <w:tcW w:w="3394" w:type="dxa"/>
          </w:tcPr>
          <w:p w14:paraId="4161FEDE" w14:textId="77777777" w:rsidR="0068189C" w:rsidRPr="00E16DF8" w:rsidRDefault="00017262" w:rsidP="00E12B18">
            <w:pPr>
              <w:rPr>
                <w:rFonts w:ascii="Times New Roman" w:hAnsi="Times New Roman" w:cs="Times New Roman"/>
              </w:rPr>
            </w:pPr>
            <w:r>
              <w:rPr>
                <w:rFonts w:ascii="Times New Roman" w:hAnsi="Times New Roman" w:cs="Times New Roman"/>
              </w:rPr>
              <w:t>9</w:t>
            </w:r>
            <w:r w:rsidR="0068189C" w:rsidRPr="00E16DF8">
              <w:rPr>
                <w:rFonts w:ascii="Times New Roman" w:hAnsi="Times New Roman" w:cs="Times New Roman"/>
              </w:rPr>
              <w:t xml:space="preserve">2(3) % NO </w:t>
            </w:r>
          </w:p>
        </w:tc>
        <w:tc>
          <w:tcPr>
            <w:tcW w:w="805" w:type="dxa"/>
          </w:tcPr>
          <w:p w14:paraId="677B5367" w14:textId="77777777" w:rsidR="0068189C" w:rsidRPr="00E16DF8" w:rsidRDefault="0068189C" w:rsidP="00E12B18">
            <w:pPr>
              <w:rPr>
                <w:rFonts w:ascii="Times New Roman" w:hAnsi="Times New Roman" w:cs="Times New Roman"/>
              </w:rPr>
            </w:pPr>
            <w:r w:rsidRPr="00E16DF8">
              <w:rPr>
                <w:rFonts w:ascii="Times New Roman" w:hAnsi="Times New Roman" w:cs="Times New Roman"/>
              </w:rPr>
              <w:t>6.2</w:t>
            </w:r>
            <w:r w:rsidR="00017262">
              <w:rPr>
                <w:rFonts w:ascii="Times New Roman" w:hAnsi="Times New Roman" w:cs="Times New Roman"/>
              </w:rPr>
              <w:t>4</w:t>
            </w:r>
          </w:p>
        </w:tc>
        <w:tc>
          <w:tcPr>
            <w:tcW w:w="777" w:type="dxa"/>
          </w:tcPr>
          <w:p w14:paraId="013B7E93" w14:textId="1EB83D66" w:rsidR="0068189C" w:rsidRPr="00E16DF8" w:rsidRDefault="0088388F" w:rsidP="00E12B18">
            <w:pPr>
              <w:rPr>
                <w:rFonts w:ascii="Times New Roman" w:hAnsi="Times New Roman"/>
              </w:rPr>
            </w:pPr>
            <w:r>
              <w:rPr>
                <w:rFonts w:ascii="Times New Roman" w:hAnsi="Times New Roman"/>
              </w:rPr>
              <w:t>2208839</w:t>
            </w:r>
          </w:p>
        </w:tc>
      </w:tr>
    </w:tbl>
    <w:p w14:paraId="01276BD1" w14:textId="77777777" w:rsidR="004033A9" w:rsidRDefault="004033A9"/>
    <w:p w14:paraId="605FDF14" w14:textId="77777777" w:rsidR="00030A93" w:rsidRDefault="002A6BF6" w:rsidP="00030A93">
      <w:pPr>
        <w:pStyle w:val="ListParagraph"/>
        <w:numPr>
          <w:ilvl w:val="0"/>
          <w:numId w:val="11"/>
        </w:numPr>
      </w:pPr>
      <w:r>
        <w:t xml:space="preserve">Additional </w:t>
      </w:r>
      <w:r w:rsidR="00030A93">
        <w:t>analysis</w:t>
      </w:r>
    </w:p>
    <w:p w14:paraId="231099F9" w14:textId="7A00BACB" w:rsidR="00030A93" w:rsidRDefault="00226379" w:rsidP="00AC643D">
      <w:pPr>
        <w:pStyle w:val="ListParagraph"/>
        <w:keepNext/>
        <w:jc w:val="left"/>
      </w:pPr>
      <w:r>
        <w:rPr>
          <w:noProof/>
          <w:sz w:val="16"/>
          <w:szCs w:val="16"/>
          <w:lang w:eastAsia="en-GB"/>
        </w:rPr>
        <w:lastRenderedPageBreak/>
        <w:drawing>
          <wp:inline distT="0" distB="0" distL="0" distR="0" wp14:anchorId="4815A6D0" wp14:editId="090AF7CF">
            <wp:extent cx="4406021" cy="3489960"/>
            <wp:effectExtent l="0" t="0" r="0" b="0"/>
            <wp:docPr id="5" name="Picture 5"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histogram&#10;&#10;Description automatically generated"/>
                    <pic:cNvPicPr/>
                  </pic:nvPicPr>
                  <pic:blipFill rotWithShape="1">
                    <a:blip r:embed="rId8" cstate="print">
                      <a:extLst>
                        <a:ext uri="{28A0092B-C50C-407E-A947-70E740481C1C}">
                          <a14:useLocalDpi xmlns:a14="http://schemas.microsoft.com/office/drawing/2010/main" val="0"/>
                        </a:ext>
                      </a:extLst>
                    </a:blip>
                    <a:srcRect l="2436" r="8975"/>
                    <a:stretch/>
                  </pic:blipFill>
                  <pic:spPr bwMode="auto">
                    <a:xfrm>
                      <a:off x="0" y="0"/>
                      <a:ext cx="4428630" cy="3507868"/>
                    </a:xfrm>
                    <a:prstGeom prst="rect">
                      <a:avLst/>
                    </a:prstGeom>
                    <a:ln>
                      <a:noFill/>
                    </a:ln>
                    <a:extLst>
                      <a:ext uri="{53640926-AAD7-44D8-BBD7-CCE9431645EC}">
                        <a14:shadowObscured xmlns:a14="http://schemas.microsoft.com/office/drawing/2010/main"/>
                      </a:ext>
                    </a:extLst>
                  </pic:spPr>
                </pic:pic>
              </a:graphicData>
            </a:graphic>
          </wp:inline>
        </w:drawing>
      </w:r>
    </w:p>
    <w:p w14:paraId="4EEFB76E" w14:textId="1F7C0EAC" w:rsidR="00FF381E" w:rsidRPr="009F14A8" w:rsidRDefault="00030A93" w:rsidP="009F14A8">
      <w:pPr>
        <w:pStyle w:val="Caption"/>
        <w:jc w:val="both"/>
        <w:rPr>
          <w:color w:val="auto"/>
        </w:rPr>
      </w:pPr>
      <w:r w:rsidRPr="00030A93">
        <w:rPr>
          <w:color w:val="auto"/>
        </w:rPr>
        <w:t xml:space="preserve">Figure </w:t>
      </w:r>
      <w:r>
        <w:rPr>
          <w:color w:val="auto"/>
        </w:rPr>
        <w:t>S</w:t>
      </w:r>
      <w:r w:rsidRPr="00030A93">
        <w:rPr>
          <w:color w:val="auto"/>
        </w:rPr>
        <w:fldChar w:fldCharType="begin"/>
      </w:r>
      <w:r w:rsidRPr="00030A93">
        <w:rPr>
          <w:color w:val="auto"/>
        </w:rPr>
        <w:instrText xml:space="preserve"> SEQ Figure \* ARABIC </w:instrText>
      </w:r>
      <w:r w:rsidRPr="00030A93">
        <w:rPr>
          <w:color w:val="auto"/>
        </w:rPr>
        <w:fldChar w:fldCharType="separate"/>
      </w:r>
      <w:r w:rsidR="00955B4B">
        <w:rPr>
          <w:noProof/>
          <w:color w:val="auto"/>
        </w:rPr>
        <w:t>1</w:t>
      </w:r>
      <w:r w:rsidRPr="00030A93">
        <w:rPr>
          <w:color w:val="auto"/>
        </w:rPr>
        <w:fldChar w:fldCharType="end"/>
      </w:r>
      <w:r w:rsidRPr="00030A93">
        <w:rPr>
          <w:color w:val="auto"/>
        </w:rPr>
        <w:t>: Powder X-ray diffraction patterns of</w:t>
      </w:r>
      <w:r>
        <w:rPr>
          <w:color w:val="auto"/>
        </w:rPr>
        <w:t xml:space="preserve"> Ni-CPO-27 showing:  T</w:t>
      </w:r>
      <w:r w:rsidRPr="00030A93">
        <w:rPr>
          <w:color w:val="auto"/>
        </w:rPr>
        <w:t xml:space="preserve">he as synthesised structure (red) and </w:t>
      </w:r>
      <w:r w:rsidR="00C15605">
        <w:rPr>
          <w:color w:val="auto"/>
        </w:rPr>
        <w:t xml:space="preserve">the calculated pattern from the </w:t>
      </w:r>
      <w:r w:rsidRPr="00030A93">
        <w:rPr>
          <w:color w:val="auto"/>
        </w:rPr>
        <w:t xml:space="preserve">dehydrated structure (black). </w:t>
      </w:r>
      <w:r w:rsidR="00FF381E">
        <w:rPr>
          <w:color w:val="auto"/>
        </w:rPr>
        <w:t>Measured</w:t>
      </w:r>
      <w:r w:rsidR="00FF381E" w:rsidRPr="00030A93">
        <w:rPr>
          <w:color w:val="auto"/>
        </w:rPr>
        <w:t xml:space="preserve"> </w:t>
      </w:r>
      <w:r w:rsidRPr="00030A93">
        <w:rPr>
          <w:color w:val="auto"/>
        </w:rPr>
        <w:t xml:space="preserve">with Cu radiation (1.54 </w:t>
      </w:r>
      <w:r w:rsidRPr="00030A93">
        <w:rPr>
          <w:rFonts w:cstheme="minorHAnsi"/>
          <w:color w:val="auto"/>
        </w:rPr>
        <w:t>Å</w:t>
      </w:r>
      <w:r w:rsidR="009F14A8">
        <w:rPr>
          <w:color w:val="auto"/>
        </w:rPr>
        <w:t xml:space="preserve">) on a </w:t>
      </w:r>
      <w:r w:rsidR="009F14A8" w:rsidRPr="009F14A8">
        <w:rPr>
          <w:color w:val="auto"/>
        </w:rPr>
        <w:t>STOE STADIP diffractomet</w:t>
      </w:r>
      <w:r w:rsidR="009F14A8">
        <w:rPr>
          <w:color w:val="auto"/>
        </w:rPr>
        <w:t>er.</w:t>
      </w:r>
    </w:p>
    <w:p w14:paraId="5D5CC5DC" w14:textId="18F74EB5" w:rsidR="00030A93" w:rsidRPr="00C15605" w:rsidRDefault="004D674B" w:rsidP="00AC643D">
      <w:pPr>
        <w:pStyle w:val="Caption"/>
        <w:rPr>
          <w:color w:val="auto"/>
        </w:rPr>
      </w:pPr>
      <w:r>
        <w:rPr>
          <w:noProof/>
          <w:color w:val="auto"/>
          <w:lang w:eastAsia="en-GB"/>
        </w:rPr>
        <w:drawing>
          <wp:inline distT="0" distB="0" distL="0" distR="0" wp14:anchorId="629344BA" wp14:editId="5F53D12B">
            <wp:extent cx="4587467" cy="3516630"/>
            <wp:effectExtent l="0" t="0" r="3810" b="7620"/>
            <wp:docPr id="4" name="Picture 4"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hart&#10;&#10;Description automatically generated"/>
                    <pic:cNvPicPr/>
                  </pic:nvPicPr>
                  <pic:blipFill rotWithShape="1">
                    <a:blip r:embed="rId9" cstate="print">
                      <a:extLst>
                        <a:ext uri="{28A0092B-C50C-407E-A947-70E740481C1C}">
                          <a14:useLocalDpi xmlns:a14="http://schemas.microsoft.com/office/drawing/2010/main" val="0"/>
                        </a:ext>
                      </a:extLst>
                    </a:blip>
                    <a:srcRect l="2693" r="5768"/>
                    <a:stretch/>
                  </pic:blipFill>
                  <pic:spPr bwMode="auto">
                    <a:xfrm>
                      <a:off x="0" y="0"/>
                      <a:ext cx="4599935" cy="3526187"/>
                    </a:xfrm>
                    <a:prstGeom prst="rect">
                      <a:avLst/>
                    </a:prstGeom>
                    <a:ln>
                      <a:noFill/>
                    </a:ln>
                    <a:extLst>
                      <a:ext uri="{53640926-AAD7-44D8-BBD7-CCE9431645EC}">
                        <a14:shadowObscured xmlns:a14="http://schemas.microsoft.com/office/drawing/2010/main"/>
                      </a:ext>
                    </a:extLst>
                  </pic:spPr>
                </pic:pic>
              </a:graphicData>
            </a:graphic>
          </wp:inline>
        </w:drawing>
      </w:r>
    </w:p>
    <w:p w14:paraId="4B1F6D07" w14:textId="4CDDB4C0" w:rsidR="00030A93" w:rsidRDefault="00030A93" w:rsidP="00030A93">
      <w:pPr>
        <w:pStyle w:val="Caption"/>
        <w:jc w:val="both"/>
        <w:rPr>
          <w:color w:val="auto"/>
        </w:rPr>
      </w:pPr>
      <w:r w:rsidRPr="00030A93">
        <w:rPr>
          <w:color w:val="auto"/>
        </w:rPr>
        <w:t xml:space="preserve">Figure </w:t>
      </w:r>
      <w:r>
        <w:rPr>
          <w:color w:val="auto"/>
        </w:rPr>
        <w:t>S</w:t>
      </w:r>
      <w:r w:rsidRPr="00030A93">
        <w:rPr>
          <w:color w:val="auto"/>
        </w:rPr>
        <w:fldChar w:fldCharType="begin"/>
      </w:r>
      <w:r w:rsidRPr="00030A93">
        <w:rPr>
          <w:color w:val="auto"/>
        </w:rPr>
        <w:instrText xml:space="preserve"> SEQ Figure \* ARABIC </w:instrText>
      </w:r>
      <w:r w:rsidRPr="00030A93">
        <w:rPr>
          <w:color w:val="auto"/>
        </w:rPr>
        <w:fldChar w:fldCharType="separate"/>
      </w:r>
      <w:r w:rsidR="00955B4B">
        <w:rPr>
          <w:noProof/>
          <w:color w:val="auto"/>
        </w:rPr>
        <w:t>2</w:t>
      </w:r>
      <w:r w:rsidRPr="00030A93">
        <w:rPr>
          <w:color w:val="auto"/>
        </w:rPr>
        <w:fldChar w:fldCharType="end"/>
      </w:r>
      <w:r w:rsidRPr="00030A93">
        <w:rPr>
          <w:color w:val="auto"/>
        </w:rPr>
        <w:t>: Powder X-ray diffraction patterns of</w:t>
      </w:r>
      <w:r>
        <w:rPr>
          <w:color w:val="auto"/>
        </w:rPr>
        <w:t xml:space="preserve"> Co-4,6-dhip showing: T</w:t>
      </w:r>
      <w:r w:rsidRPr="00030A93">
        <w:rPr>
          <w:color w:val="auto"/>
        </w:rPr>
        <w:t xml:space="preserve">he as synthesised structure (red) and the calculated pattern from the dehydrated structure (black). </w:t>
      </w:r>
      <w:r w:rsidR="00FF381E">
        <w:rPr>
          <w:color w:val="auto"/>
        </w:rPr>
        <w:t>Measured</w:t>
      </w:r>
      <w:r w:rsidR="00FF381E" w:rsidRPr="00030A93">
        <w:rPr>
          <w:color w:val="auto"/>
        </w:rPr>
        <w:t xml:space="preserve"> </w:t>
      </w:r>
      <w:r w:rsidRPr="00030A93">
        <w:rPr>
          <w:color w:val="auto"/>
        </w:rPr>
        <w:t xml:space="preserve">with Cu radiation (1.54 </w:t>
      </w:r>
      <w:r w:rsidRPr="00030A93">
        <w:rPr>
          <w:rFonts w:cstheme="minorHAnsi"/>
          <w:color w:val="auto"/>
        </w:rPr>
        <w:t>Å</w:t>
      </w:r>
      <w:r w:rsidR="009F14A8">
        <w:rPr>
          <w:color w:val="auto"/>
        </w:rPr>
        <w:t xml:space="preserve">) on a </w:t>
      </w:r>
      <w:r w:rsidR="009F14A8" w:rsidRPr="009F14A8">
        <w:rPr>
          <w:color w:val="auto"/>
        </w:rPr>
        <w:t>STOE STADIP diffractomet</w:t>
      </w:r>
      <w:r w:rsidR="009F14A8">
        <w:rPr>
          <w:color w:val="auto"/>
        </w:rPr>
        <w:t>er.</w:t>
      </w:r>
    </w:p>
    <w:p w14:paraId="0FA672CC" w14:textId="77777777" w:rsidR="00B539D4" w:rsidRDefault="00B539D4" w:rsidP="00B539D4">
      <w:pPr>
        <w:keepNext/>
      </w:pPr>
      <w:r>
        <w:rPr>
          <w:noProof/>
          <w:lang w:eastAsia="en-GB"/>
        </w:rPr>
        <w:lastRenderedPageBreak/>
        <w:drawing>
          <wp:inline distT="0" distB="0" distL="0" distR="0" wp14:anchorId="69F4E7AB" wp14:editId="73687A29">
            <wp:extent cx="5943600" cy="454787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4,6-dhip dehydration.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547870"/>
                    </a:xfrm>
                    <a:prstGeom prst="rect">
                      <a:avLst/>
                    </a:prstGeom>
                  </pic:spPr>
                </pic:pic>
              </a:graphicData>
            </a:graphic>
          </wp:inline>
        </w:drawing>
      </w:r>
    </w:p>
    <w:p w14:paraId="7F8EB9FF" w14:textId="2842C650" w:rsidR="00B539D4" w:rsidRDefault="00B539D4" w:rsidP="00B539D4">
      <w:pPr>
        <w:pStyle w:val="Caption"/>
        <w:jc w:val="both"/>
        <w:rPr>
          <w:color w:val="auto"/>
        </w:rPr>
      </w:pPr>
      <w:r w:rsidRPr="00B539D4">
        <w:rPr>
          <w:color w:val="auto"/>
        </w:rPr>
        <w:t>Figure S</w:t>
      </w:r>
      <w:r w:rsidRPr="00B539D4">
        <w:rPr>
          <w:color w:val="auto"/>
        </w:rPr>
        <w:fldChar w:fldCharType="begin"/>
      </w:r>
      <w:r w:rsidRPr="00B539D4">
        <w:rPr>
          <w:color w:val="auto"/>
        </w:rPr>
        <w:instrText xml:space="preserve"> SEQ Figure \* ARABIC </w:instrText>
      </w:r>
      <w:r w:rsidRPr="00B539D4">
        <w:rPr>
          <w:color w:val="auto"/>
        </w:rPr>
        <w:fldChar w:fldCharType="separate"/>
      </w:r>
      <w:r w:rsidR="00955B4B">
        <w:rPr>
          <w:noProof/>
          <w:color w:val="auto"/>
        </w:rPr>
        <w:t>3</w:t>
      </w:r>
      <w:r w:rsidRPr="00B539D4">
        <w:rPr>
          <w:color w:val="auto"/>
        </w:rPr>
        <w:fldChar w:fldCharType="end"/>
      </w:r>
      <w:r w:rsidRPr="00B539D4">
        <w:rPr>
          <w:color w:val="auto"/>
        </w:rPr>
        <w:t>: Chart showing the high temperature treatment required to dehydrate the Co-4,6-dhip crystal used for CO loading. The water atom (O4) was constrained as outlined in section 1.</w:t>
      </w:r>
      <w:r>
        <w:rPr>
          <w:color w:val="auto"/>
        </w:rPr>
        <w:t xml:space="preserve"> </w:t>
      </w:r>
    </w:p>
    <w:p w14:paraId="24BEB9D0" w14:textId="77777777" w:rsidR="00CC6103" w:rsidRPr="00CC6103" w:rsidRDefault="00CC6103" w:rsidP="00CC6103"/>
    <w:p w14:paraId="3F98B844" w14:textId="04D16FA2" w:rsidR="00955B4B" w:rsidRDefault="00CC6103" w:rsidP="00955B4B">
      <w:pPr>
        <w:pStyle w:val="ListParagraph"/>
        <w:keepNext/>
        <w:jc w:val="left"/>
      </w:pPr>
      <w:r>
        <w:rPr>
          <w:noProof/>
          <w:lang w:eastAsia="en-GB"/>
        </w:rPr>
        <w:drawing>
          <wp:inline distT="0" distB="0" distL="0" distR="0" wp14:anchorId="71B44C80" wp14:editId="2CE7C29D">
            <wp:extent cx="5939790" cy="1876425"/>
            <wp:effectExtent l="0" t="0" r="3810" b="9525"/>
            <wp:docPr id="7" name="Picture 7" descr="A picture containing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several&#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39790" cy="1876425"/>
                    </a:xfrm>
                    <a:prstGeom prst="rect">
                      <a:avLst/>
                    </a:prstGeom>
                    <a:noFill/>
                    <a:ln>
                      <a:noFill/>
                    </a:ln>
                  </pic:spPr>
                </pic:pic>
              </a:graphicData>
            </a:graphic>
          </wp:inline>
        </w:drawing>
      </w:r>
    </w:p>
    <w:p w14:paraId="17CDC9C4" w14:textId="2325442C" w:rsidR="00955B4B" w:rsidRDefault="00955B4B" w:rsidP="00CC6103">
      <w:pPr>
        <w:pStyle w:val="Caption"/>
        <w:jc w:val="both"/>
        <w:rPr>
          <w:color w:val="auto"/>
        </w:rPr>
      </w:pPr>
      <w:r w:rsidRPr="00955B4B">
        <w:rPr>
          <w:color w:val="auto"/>
        </w:rPr>
        <w:t xml:space="preserve">Figure </w:t>
      </w:r>
      <w:r>
        <w:rPr>
          <w:color w:val="auto"/>
        </w:rPr>
        <w:t>S</w:t>
      </w:r>
      <w:r w:rsidRPr="00955B4B">
        <w:rPr>
          <w:color w:val="auto"/>
        </w:rPr>
        <w:fldChar w:fldCharType="begin"/>
      </w:r>
      <w:r w:rsidRPr="00955B4B">
        <w:rPr>
          <w:color w:val="auto"/>
        </w:rPr>
        <w:instrText xml:space="preserve"> SEQ Figure \* ARABIC </w:instrText>
      </w:r>
      <w:r w:rsidRPr="00955B4B">
        <w:rPr>
          <w:color w:val="auto"/>
        </w:rPr>
        <w:fldChar w:fldCharType="separate"/>
      </w:r>
      <w:r>
        <w:rPr>
          <w:noProof/>
          <w:color w:val="auto"/>
        </w:rPr>
        <w:t>4</w:t>
      </w:r>
      <w:r w:rsidRPr="00955B4B">
        <w:rPr>
          <w:color w:val="auto"/>
        </w:rPr>
        <w:fldChar w:fldCharType="end"/>
      </w:r>
      <w:r w:rsidRPr="00955B4B">
        <w:rPr>
          <w:color w:val="auto"/>
        </w:rPr>
        <w:t>:Scanning Electron Microscopy image of single crystals</w:t>
      </w:r>
      <w:r>
        <w:rPr>
          <w:color w:val="auto"/>
        </w:rPr>
        <w:t xml:space="preserve"> of</w:t>
      </w:r>
      <w:r w:rsidR="009F14A8">
        <w:rPr>
          <w:color w:val="auto"/>
        </w:rPr>
        <w:t xml:space="preserve"> Ni-CPO-27 </w:t>
      </w:r>
      <w:r w:rsidR="00CC6103">
        <w:rPr>
          <w:color w:val="auto"/>
        </w:rPr>
        <w:t xml:space="preserve">(a) and Co-4,6-dhip (b) </w:t>
      </w:r>
      <w:r w:rsidR="009F14A8">
        <w:rPr>
          <w:color w:val="auto"/>
        </w:rPr>
        <w:t xml:space="preserve">performed on a </w:t>
      </w:r>
      <w:r w:rsidR="00CC6103">
        <w:rPr>
          <w:color w:val="auto"/>
        </w:rPr>
        <w:t xml:space="preserve">FEI Scios DualBeam </w:t>
      </w:r>
      <w:r w:rsidR="009F14A8" w:rsidRPr="009F14A8">
        <w:rPr>
          <w:color w:val="auto"/>
        </w:rPr>
        <w:t>Scanning Electron Microscope</w:t>
      </w:r>
      <w:r w:rsidR="009F14A8">
        <w:rPr>
          <w:color w:val="auto"/>
        </w:rPr>
        <w:t>.</w:t>
      </w:r>
    </w:p>
    <w:p w14:paraId="67B51064" w14:textId="77777777" w:rsidR="00CC6103" w:rsidRPr="00CC6103" w:rsidRDefault="00CC6103" w:rsidP="00CC6103"/>
    <w:p w14:paraId="23A3A687" w14:textId="77777777" w:rsidR="004033A9" w:rsidRDefault="004033A9" w:rsidP="004033A9">
      <w:pPr>
        <w:pStyle w:val="ListParagraph"/>
        <w:numPr>
          <w:ilvl w:val="0"/>
          <w:numId w:val="11"/>
        </w:numPr>
      </w:pPr>
      <w:r>
        <w:lastRenderedPageBreak/>
        <w:t>References</w:t>
      </w:r>
    </w:p>
    <w:p w14:paraId="3E7A06F2" w14:textId="18943718" w:rsidR="000734F3" w:rsidRPr="000734F3" w:rsidRDefault="004033A9" w:rsidP="000734F3">
      <w:pPr>
        <w:widowControl w:val="0"/>
        <w:autoSpaceDE w:val="0"/>
        <w:autoSpaceDN w:val="0"/>
        <w:adjustRightInd w:val="0"/>
        <w:ind w:left="640" w:hanging="640"/>
        <w:rPr>
          <w:rFonts w:cs="Times"/>
          <w:noProof/>
          <w:szCs w:val="24"/>
        </w:rPr>
      </w:pPr>
      <w:r>
        <w:fldChar w:fldCharType="begin" w:fldLock="1"/>
      </w:r>
      <w:r>
        <w:instrText xml:space="preserve">ADDIN Mendeley Bibliography CSL_BIBLIOGRAPHY </w:instrText>
      </w:r>
      <w:r>
        <w:fldChar w:fldCharType="separate"/>
      </w:r>
      <w:r w:rsidR="000734F3" w:rsidRPr="000734F3">
        <w:rPr>
          <w:rFonts w:cs="Times"/>
          <w:noProof/>
          <w:szCs w:val="24"/>
        </w:rPr>
        <w:t>1.</w:t>
      </w:r>
      <w:r w:rsidR="000734F3" w:rsidRPr="000734F3">
        <w:rPr>
          <w:rFonts w:cs="Times"/>
          <w:noProof/>
          <w:szCs w:val="24"/>
        </w:rPr>
        <w:tab/>
        <w:t xml:space="preserve">Winter, G. </w:t>
      </w:r>
      <w:r w:rsidR="000734F3" w:rsidRPr="000734F3">
        <w:rPr>
          <w:rFonts w:cs="Times"/>
          <w:i/>
          <w:iCs/>
          <w:noProof/>
          <w:szCs w:val="24"/>
        </w:rPr>
        <w:t>et al.</w:t>
      </w:r>
      <w:r w:rsidR="000734F3" w:rsidRPr="000734F3">
        <w:rPr>
          <w:rFonts w:cs="Times"/>
          <w:noProof/>
          <w:szCs w:val="24"/>
        </w:rPr>
        <w:t xml:space="preserve"> DIALS: Implementation and evaluation of a new integration package. </w:t>
      </w:r>
      <w:r w:rsidR="000734F3" w:rsidRPr="000734F3">
        <w:rPr>
          <w:rFonts w:cs="Times"/>
          <w:i/>
          <w:iCs/>
          <w:noProof/>
          <w:szCs w:val="24"/>
        </w:rPr>
        <w:t>Acta Crystallogr. Sect. D Struct. Biol.</w:t>
      </w:r>
      <w:r w:rsidR="000734F3" w:rsidRPr="000734F3">
        <w:rPr>
          <w:rFonts w:cs="Times"/>
          <w:noProof/>
          <w:szCs w:val="24"/>
        </w:rPr>
        <w:t xml:space="preserve"> </w:t>
      </w:r>
      <w:r w:rsidR="000734F3" w:rsidRPr="000734F3">
        <w:rPr>
          <w:rFonts w:cs="Times"/>
          <w:b/>
          <w:bCs/>
          <w:noProof/>
          <w:szCs w:val="24"/>
        </w:rPr>
        <w:t>74</w:t>
      </w:r>
      <w:r w:rsidR="000734F3" w:rsidRPr="000734F3">
        <w:rPr>
          <w:rFonts w:cs="Times"/>
          <w:noProof/>
          <w:szCs w:val="24"/>
        </w:rPr>
        <w:t>, 85–97 (2018).</w:t>
      </w:r>
    </w:p>
    <w:p w14:paraId="6A69514C" w14:textId="77777777" w:rsidR="000734F3" w:rsidRPr="000734F3" w:rsidRDefault="000734F3" w:rsidP="000734F3">
      <w:pPr>
        <w:widowControl w:val="0"/>
        <w:autoSpaceDE w:val="0"/>
        <w:autoSpaceDN w:val="0"/>
        <w:adjustRightInd w:val="0"/>
        <w:ind w:left="640" w:hanging="640"/>
        <w:rPr>
          <w:rFonts w:cs="Times"/>
          <w:noProof/>
          <w:szCs w:val="24"/>
        </w:rPr>
      </w:pPr>
      <w:r w:rsidRPr="000734F3">
        <w:rPr>
          <w:rFonts w:cs="Times"/>
          <w:noProof/>
          <w:szCs w:val="24"/>
        </w:rPr>
        <w:t>2.</w:t>
      </w:r>
      <w:r w:rsidRPr="000734F3">
        <w:rPr>
          <w:rFonts w:cs="Times"/>
          <w:noProof/>
          <w:szCs w:val="24"/>
        </w:rPr>
        <w:tab/>
        <w:t xml:space="preserve">Dolomanov, O. V., Bourhis, L. J., Gildea, R. J., Howard, J. A. K. &amp; Puschmann, H. OLEX2: A complete structure solution, refinement and analysis program. </w:t>
      </w:r>
      <w:r w:rsidRPr="000734F3">
        <w:rPr>
          <w:rFonts w:cs="Times"/>
          <w:i/>
          <w:iCs/>
          <w:noProof/>
          <w:szCs w:val="24"/>
        </w:rPr>
        <w:t>J. Appl. Crystallogr.</w:t>
      </w:r>
      <w:r w:rsidRPr="000734F3">
        <w:rPr>
          <w:rFonts w:cs="Times"/>
          <w:noProof/>
          <w:szCs w:val="24"/>
        </w:rPr>
        <w:t xml:space="preserve"> </w:t>
      </w:r>
      <w:r w:rsidRPr="000734F3">
        <w:rPr>
          <w:rFonts w:cs="Times"/>
          <w:b/>
          <w:bCs/>
          <w:noProof/>
          <w:szCs w:val="24"/>
        </w:rPr>
        <w:t>42</w:t>
      </w:r>
      <w:r w:rsidRPr="000734F3">
        <w:rPr>
          <w:rFonts w:cs="Times"/>
          <w:noProof/>
          <w:szCs w:val="24"/>
        </w:rPr>
        <w:t>, 339–341 (2009).</w:t>
      </w:r>
    </w:p>
    <w:p w14:paraId="6560B337" w14:textId="77777777" w:rsidR="000734F3" w:rsidRPr="000734F3" w:rsidRDefault="000734F3" w:rsidP="000734F3">
      <w:pPr>
        <w:widowControl w:val="0"/>
        <w:autoSpaceDE w:val="0"/>
        <w:autoSpaceDN w:val="0"/>
        <w:adjustRightInd w:val="0"/>
        <w:ind w:left="640" w:hanging="640"/>
        <w:rPr>
          <w:rFonts w:cs="Times"/>
          <w:noProof/>
          <w:szCs w:val="24"/>
        </w:rPr>
      </w:pPr>
      <w:r w:rsidRPr="000734F3">
        <w:rPr>
          <w:rFonts w:cs="Times"/>
          <w:noProof/>
          <w:szCs w:val="24"/>
        </w:rPr>
        <w:t>3.</w:t>
      </w:r>
      <w:r w:rsidRPr="000734F3">
        <w:rPr>
          <w:rFonts w:cs="Times"/>
          <w:noProof/>
          <w:szCs w:val="24"/>
        </w:rPr>
        <w:tab/>
        <w:t xml:space="preserve">Sheldrick, G. M. A short history of SHELX. </w:t>
      </w:r>
      <w:r w:rsidRPr="000734F3">
        <w:rPr>
          <w:rFonts w:cs="Times"/>
          <w:i/>
          <w:iCs/>
          <w:noProof/>
          <w:szCs w:val="24"/>
        </w:rPr>
        <w:t>Acta Crystallogr. Sect. A Found. Crystallogr.</w:t>
      </w:r>
      <w:r w:rsidRPr="000734F3">
        <w:rPr>
          <w:rFonts w:cs="Times"/>
          <w:noProof/>
          <w:szCs w:val="24"/>
        </w:rPr>
        <w:t xml:space="preserve"> </w:t>
      </w:r>
      <w:r w:rsidRPr="000734F3">
        <w:rPr>
          <w:rFonts w:cs="Times"/>
          <w:b/>
          <w:bCs/>
          <w:noProof/>
          <w:szCs w:val="24"/>
        </w:rPr>
        <w:t>64</w:t>
      </w:r>
      <w:r w:rsidRPr="000734F3">
        <w:rPr>
          <w:rFonts w:cs="Times"/>
          <w:noProof/>
          <w:szCs w:val="24"/>
        </w:rPr>
        <w:t>, 112–122 (2008).</w:t>
      </w:r>
    </w:p>
    <w:p w14:paraId="49C82051" w14:textId="77777777" w:rsidR="000734F3" w:rsidRPr="000734F3" w:rsidRDefault="000734F3" w:rsidP="000734F3">
      <w:pPr>
        <w:widowControl w:val="0"/>
        <w:autoSpaceDE w:val="0"/>
        <w:autoSpaceDN w:val="0"/>
        <w:adjustRightInd w:val="0"/>
        <w:ind w:left="640" w:hanging="640"/>
        <w:rPr>
          <w:rFonts w:cs="Times"/>
          <w:noProof/>
          <w:szCs w:val="24"/>
        </w:rPr>
      </w:pPr>
      <w:r w:rsidRPr="000734F3">
        <w:rPr>
          <w:rFonts w:cs="Times"/>
          <w:noProof/>
          <w:szCs w:val="24"/>
        </w:rPr>
        <w:t>4.</w:t>
      </w:r>
      <w:r w:rsidRPr="000734F3">
        <w:rPr>
          <w:rFonts w:cs="Times"/>
          <w:noProof/>
          <w:szCs w:val="24"/>
        </w:rPr>
        <w:tab/>
        <w:t xml:space="preserve">Sheldrick, G. M. Crystal structure refinement with SHELXL. </w:t>
      </w:r>
      <w:r w:rsidRPr="000734F3">
        <w:rPr>
          <w:rFonts w:cs="Times"/>
          <w:i/>
          <w:iCs/>
          <w:noProof/>
          <w:szCs w:val="24"/>
        </w:rPr>
        <w:t>Acta Crystallogr. Sect. C Struct. Chem.</w:t>
      </w:r>
      <w:r w:rsidRPr="000734F3">
        <w:rPr>
          <w:rFonts w:cs="Times"/>
          <w:noProof/>
          <w:szCs w:val="24"/>
        </w:rPr>
        <w:t xml:space="preserve"> </w:t>
      </w:r>
      <w:r w:rsidRPr="000734F3">
        <w:rPr>
          <w:rFonts w:cs="Times"/>
          <w:b/>
          <w:bCs/>
          <w:noProof/>
          <w:szCs w:val="24"/>
        </w:rPr>
        <w:t>71</w:t>
      </w:r>
      <w:r w:rsidRPr="000734F3">
        <w:rPr>
          <w:rFonts w:cs="Times"/>
          <w:noProof/>
          <w:szCs w:val="24"/>
        </w:rPr>
        <w:t>, 3–8 (2015).</w:t>
      </w:r>
    </w:p>
    <w:p w14:paraId="1D8CAD60" w14:textId="77777777" w:rsidR="000734F3" w:rsidRPr="000734F3" w:rsidRDefault="000734F3" w:rsidP="000734F3">
      <w:pPr>
        <w:widowControl w:val="0"/>
        <w:autoSpaceDE w:val="0"/>
        <w:autoSpaceDN w:val="0"/>
        <w:adjustRightInd w:val="0"/>
        <w:ind w:left="640" w:hanging="640"/>
        <w:rPr>
          <w:rFonts w:cs="Times"/>
          <w:noProof/>
          <w:szCs w:val="24"/>
        </w:rPr>
      </w:pPr>
      <w:r w:rsidRPr="000734F3">
        <w:rPr>
          <w:rFonts w:cs="Times"/>
          <w:noProof/>
          <w:szCs w:val="24"/>
        </w:rPr>
        <w:t>5.</w:t>
      </w:r>
      <w:r w:rsidRPr="000734F3">
        <w:rPr>
          <w:rFonts w:cs="Times"/>
          <w:noProof/>
          <w:szCs w:val="24"/>
        </w:rPr>
        <w:tab/>
        <w:t xml:space="preserve">Demaison, J. &amp; Császár, A. G. Equilibrium CO bond lengths. </w:t>
      </w:r>
      <w:r w:rsidRPr="000734F3">
        <w:rPr>
          <w:rFonts w:cs="Times"/>
          <w:i/>
          <w:iCs/>
          <w:noProof/>
          <w:szCs w:val="24"/>
        </w:rPr>
        <w:t>J. Mol. Struct.</w:t>
      </w:r>
      <w:r w:rsidRPr="000734F3">
        <w:rPr>
          <w:rFonts w:cs="Times"/>
          <w:noProof/>
          <w:szCs w:val="24"/>
        </w:rPr>
        <w:t xml:space="preserve"> </w:t>
      </w:r>
      <w:r w:rsidRPr="000734F3">
        <w:rPr>
          <w:rFonts w:cs="Times"/>
          <w:b/>
          <w:bCs/>
          <w:noProof/>
          <w:szCs w:val="24"/>
        </w:rPr>
        <w:t>1023</w:t>
      </w:r>
      <w:r w:rsidRPr="000734F3">
        <w:rPr>
          <w:rFonts w:cs="Times"/>
          <w:noProof/>
          <w:szCs w:val="24"/>
        </w:rPr>
        <w:t>, 7–14 (2012).</w:t>
      </w:r>
    </w:p>
    <w:p w14:paraId="38E40F92" w14:textId="77777777" w:rsidR="000734F3" w:rsidRPr="000734F3" w:rsidRDefault="000734F3" w:rsidP="000734F3">
      <w:pPr>
        <w:widowControl w:val="0"/>
        <w:autoSpaceDE w:val="0"/>
        <w:autoSpaceDN w:val="0"/>
        <w:adjustRightInd w:val="0"/>
        <w:ind w:left="640" w:hanging="640"/>
        <w:rPr>
          <w:rFonts w:cs="Times"/>
          <w:noProof/>
          <w:szCs w:val="24"/>
        </w:rPr>
      </w:pPr>
      <w:r w:rsidRPr="000734F3">
        <w:rPr>
          <w:rFonts w:cs="Times"/>
          <w:noProof/>
          <w:szCs w:val="24"/>
        </w:rPr>
        <w:t>6.</w:t>
      </w:r>
      <w:r w:rsidRPr="000734F3">
        <w:rPr>
          <w:rFonts w:cs="Times"/>
          <w:noProof/>
          <w:szCs w:val="24"/>
        </w:rPr>
        <w:tab/>
        <w:t>Diatomic Spectral Database | NIST. https://www.nist.gov/pml/diatomic-spectral-database.</w:t>
      </w:r>
    </w:p>
    <w:p w14:paraId="203629C2" w14:textId="77777777" w:rsidR="000734F3" w:rsidRPr="000734F3" w:rsidRDefault="000734F3" w:rsidP="000734F3">
      <w:pPr>
        <w:widowControl w:val="0"/>
        <w:autoSpaceDE w:val="0"/>
        <w:autoSpaceDN w:val="0"/>
        <w:adjustRightInd w:val="0"/>
        <w:ind w:left="640" w:hanging="640"/>
        <w:rPr>
          <w:rFonts w:cs="Times"/>
          <w:noProof/>
        </w:rPr>
      </w:pPr>
      <w:r w:rsidRPr="000734F3">
        <w:rPr>
          <w:rFonts w:cs="Times"/>
          <w:noProof/>
          <w:szCs w:val="24"/>
        </w:rPr>
        <w:t>7.</w:t>
      </w:r>
      <w:r w:rsidRPr="000734F3">
        <w:rPr>
          <w:rFonts w:cs="Times"/>
          <w:noProof/>
          <w:szCs w:val="24"/>
        </w:rPr>
        <w:tab/>
        <w:t xml:space="preserve">Rees, B., Jenner, L. &amp; Yusupov, M. Bulk-solvent correction in large macromolecular structures. </w:t>
      </w:r>
      <w:r w:rsidRPr="000734F3">
        <w:rPr>
          <w:rFonts w:cs="Times"/>
          <w:i/>
          <w:iCs/>
          <w:noProof/>
          <w:szCs w:val="24"/>
        </w:rPr>
        <w:t>urn:issn:0907-4449</w:t>
      </w:r>
      <w:r w:rsidRPr="000734F3">
        <w:rPr>
          <w:rFonts w:cs="Times"/>
          <w:noProof/>
          <w:szCs w:val="24"/>
        </w:rPr>
        <w:t xml:space="preserve"> </w:t>
      </w:r>
      <w:r w:rsidRPr="000734F3">
        <w:rPr>
          <w:rFonts w:cs="Times"/>
          <w:b/>
          <w:bCs/>
          <w:noProof/>
          <w:szCs w:val="24"/>
        </w:rPr>
        <w:t>61</w:t>
      </w:r>
      <w:r w:rsidRPr="000734F3">
        <w:rPr>
          <w:rFonts w:cs="Times"/>
          <w:noProof/>
          <w:szCs w:val="24"/>
        </w:rPr>
        <w:t>, 1299–1301 (2005).</w:t>
      </w:r>
    </w:p>
    <w:p w14:paraId="52D5D05B" w14:textId="77777777" w:rsidR="004033A9" w:rsidRDefault="004033A9" w:rsidP="004033A9">
      <w:pPr>
        <w:ind w:left="360"/>
      </w:pPr>
      <w:r>
        <w:fldChar w:fldCharType="end"/>
      </w:r>
    </w:p>
    <w:sectPr w:rsidR="004033A9" w:rsidSect="000B5610">
      <w:footerReference w:type="even" r:id="rId12"/>
      <w:footerReference w:type="default" r:id="rId13"/>
      <w:type w:val="continuous"/>
      <w:pgSz w:w="12240" w:h="15840"/>
      <w:pgMar w:top="1440" w:right="1440" w:bottom="1440" w:left="1440" w:header="0" w:footer="0" w:gutter="0"/>
      <w:cols w:space="475"/>
      <w:docGrid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E7EC13" w16cex:dateUtc="2022-10-05T15: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B08ADBC" w16cid:durableId="26E7EC13"/>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CB71A9" w14:textId="77777777" w:rsidR="00D402F3" w:rsidRDefault="00D402F3">
      <w:r>
        <w:separator/>
      </w:r>
    </w:p>
  </w:endnote>
  <w:endnote w:type="continuationSeparator" w:id="0">
    <w:p w14:paraId="245D4F5D" w14:textId="77777777" w:rsidR="00D402F3" w:rsidRDefault="00D402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01A58B" w14:textId="77777777" w:rsidR="003B4AF3" w:rsidRDefault="003B4A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438A5DA" w14:textId="77777777" w:rsidR="003B4AF3" w:rsidRDefault="003B4AF3">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0421F5" w14:textId="32A45A3E" w:rsidR="003B4AF3" w:rsidRDefault="003B4A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E6341">
      <w:rPr>
        <w:rStyle w:val="PageNumber"/>
        <w:noProof/>
      </w:rPr>
      <w:t>1</w:t>
    </w:r>
    <w:r>
      <w:rPr>
        <w:rStyle w:val="PageNumber"/>
      </w:rPr>
      <w:fldChar w:fldCharType="end"/>
    </w:r>
  </w:p>
  <w:p w14:paraId="5297A9CA" w14:textId="77777777" w:rsidR="003B4AF3" w:rsidRDefault="003B4AF3">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983389" w14:textId="77777777" w:rsidR="00D402F3" w:rsidRDefault="00D402F3">
      <w:r>
        <w:separator/>
      </w:r>
    </w:p>
  </w:footnote>
  <w:footnote w:type="continuationSeparator" w:id="0">
    <w:p w14:paraId="2EBD7241" w14:textId="77777777" w:rsidR="00D402F3" w:rsidRDefault="00D402F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240A9"/>
    <w:multiLevelType w:val="multilevel"/>
    <w:tmpl w:val="72769B1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6"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8"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9"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10"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9"/>
  </w:num>
  <w:num w:numId="2">
    <w:abstractNumId w:val="7"/>
  </w:num>
  <w:num w:numId="3">
    <w:abstractNumId w:val="10"/>
  </w:num>
  <w:num w:numId="4">
    <w:abstractNumId w:val="8"/>
  </w:num>
  <w:num w:numId="5">
    <w:abstractNumId w:val="6"/>
  </w:num>
  <w:num w:numId="6">
    <w:abstractNumId w:val="5"/>
  </w:num>
  <w:num w:numId="7">
    <w:abstractNumId w:val="4"/>
  </w:num>
  <w:num w:numId="8">
    <w:abstractNumId w:val="2"/>
  </w:num>
  <w:num w:numId="9">
    <w:abstractNumId w:val="1"/>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3A9"/>
    <w:rsid w:val="000002F2"/>
    <w:rsid w:val="00017262"/>
    <w:rsid w:val="00030A93"/>
    <w:rsid w:val="00035B85"/>
    <w:rsid w:val="0004343C"/>
    <w:rsid w:val="0005660F"/>
    <w:rsid w:val="000702AD"/>
    <w:rsid w:val="000734F3"/>
    <w:rsid w:val="00080822"/>
    <w:rsid w:val="000B2EEB"/>
    <w:rsid w:val="000B5610"/>
    <w:rsid w:val="000C05CC"/>
    <w:rsid w:val="000D4CA3"/>
    <w:rsid w:val="00195ACA"/>
    <w:rsid w:val="001A3A21"/>
    <w:rsid w:val="001A7A90"/>
    <w:rsid w:val="001D16B7"/>
    <w:rsid w:val="00212B1D"/>
    <w:rsid w:val="00226379"/>
    <w:rsid w:val="002608EF"/>
    <w:rsid w:val="00271A02"/>
    <w:rsid w:val="002A6BF6"/>
    <w:rsid w:val="002A7493"/>
    <w:rsid w:val="002B65B6"/>
    <w:rsid w:val="002C3431"/>
    <w:rsid w:val="0031373B"/>
    <w:rsid w:val="003175F6"/>
    <w:rsid w:val="00324128"/>
    <w:rsid w:val="00324FBC"/>
    <w:rsid w:val="003348B2"/>
    <w:rsid w:val="00361E35"/>
    <w:rsid w:val="00363355"/>
    <w:rsid w:val="003664E9"/>
    <w:rsid w:val="003679A1"/>
    <w:rsid w:val="003A42F0"/>
    <w:rsid w:val="003B4AF3"/>
    <w:rsid w:val="003E1F76"/>
    <w:rsid w:val="003E23EE"/>
    <w:rsid w:val="004033A9"/>
    <w:rsid w:val="004039CC"/>
    <w:rsid w:val="0047114F"/>
    <w:rsid w:val="00475FD2"/>
    <w:rsid w:val="00481B4A"/>
    <w:rsid w:val="004A5788"/>
    <w:rsid w:val="004D674B"/>
    <w:rsid w:val="004E283C"/>
    <w:rsid w:val="004E7185"/>
    <w:rsid w:val="00533EFE"/>
    <w:rsid w:val="00535845"/>
    <w:rsid w:val="005553EF"/>
    <w:rsid w:val="005606C8"/>
    <w:rsid w:val="00567E81"/>
    <w:rsid w:val="00591A57"/>
    <w:rsid w:val="005B3302"/>
    <w:rsid w:val="005D0C10"/>
    <w:rsid w:val="006455A5"/>
    <w:rsid w:val="0066054F"/>
    <w:rsid w:val="0068189C"/>
    <w:rsid w:val="00683131"/>
    <w:rsid w:val="006A3E34"/>
    <w:rsid w:val="006B2581"/>
    <w:rsid w:val="007000D9"/>
    <w:rsid w:val="00747701"/>
    <w:rsid w:val="007629D3"/>
    <w:rsid w:val="00794616"/>
    <w:rsid w:val="007A11AD"/>
    <w:rsid w:val="008047DE"/>
    <w:rsid w:val="008068CF"/>
    <w:rsid w:val="00821B8C"/>
    <w:rsid w:val="00827CA4"/>
    <w:rsid w:val="008633FA"/>
    <w:rsid w:val="008655C0"/>
    <w:rsid w:val="0088388F"/>
    <w:rsid w:val="008D30F9"/>
    <w:rsid w:val="008D53B2"/>
    <w:rsid w:val="008E2903"/>
    <w:rsid w:val="008E6341"/>
    <w:rsid w:val="00912169"/>
    <w:rsid w:val="0092037A"/>
    <w:rsid w:val="009246AD"/>
    <w:rsid w:val="00955B4B"/>
    <w:rsid w:val="00987B7E"/>
    <w:rsid w:val="00996F5B"/>
    <w:rsid w:val="009F14A8"/>
    <w:rsid w:val="009F2E7E"/>
    <w:rsid w:val="00A02D62"/>
    <w:rsid w:val="00A20EB5"/>
    <w:rsid w:val="00A2473E"/>
    <w:rsid w:val="00A34E00"/>
    <w:rsid w:val="00A508B2"/>
    <w:rsid w:val="00A764EF"/>
    <w:rsid w:val="00AA12C3"/>
    <w:rsid w:val="00AA5D84"/>
    <w:rsid w:val="00AB14F4"/>
    <w:rsid w:val="00AB34C5"/>
    <w:rsid w:val="00AC1EAE"/>
    <w:rsid w:val="00AC643D"/>
    <w:rsid w:val="00AF4F6D"/>
    <w:rsid w:val="00AF7F6A"/>
    <w:rsid w:val="00B05A88"/>
    <w:rsid w:val="00B32DAA"/>
    <w:rsid w:val="00B44641"/>
    <w:rsid w:val="00B539D4"/>
    <w:rsid w:val="00B7618D"/>
    <w:rsid w:val="00BD2C44"/>
    <w:rsid w:val="00C10EE0"/>
    <w:rsid w:val="00C12556"/>
    <w:rsid w:val="00C15418"/>
    <w:rsid w:val="00C15605"/>
    <w:rsid w:val="00C6170A"/>
    <w:rsid w:val="00C6239E"/>
    <w:rsid w:val="00CC6103"/>
    <w:rsid w:val="00D254E3"/>
    <w:rsid w:val="00D318E5"/>
    <w:rsid w:val="00D32E24"/>
    <w:rsid w:val="00D402F3"/>
    <w:rsid w:val="00D76F11"/>
    <w:rsid w:val="00DB3284"/>
    <w:rsid w:val="00DD6DBB"/>
    <w:rsid w:val="00E074F2"/>
    <w:rsid w:val="00E55C80"/>
    <w:rsid w:val="00E91482"/>
    <w:rsid w:val="00E96302"/>
    <w:rsid w:val="00ED3B4F"/>
    <w:rsid w:val="00F134F5"/>
    <w:rsid w:val="00F1401C"/>
    <w:rsid w:val="00F2319F"/>
    <w:rsid w:val="00F34DBB"/>
    <w:rsid w:val="00F420FF"/>
    <w:rsid w:val="00F47B85"/>
    <w:rsid w:val="00F54BDD"/>
    <w:rsid w:val="00F5645C"/>
    <w:rsid w:val="00F71828"/>
    <w:rsid w:val="00FE6219"/>
    <w:rsid w:val="00FE6E20"/>
    <w:rsid w:val="00FF2D4B"/>
    <w:rsid w:val="00FF381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7AD0AE"/>
  <w15:docId w15:val="{B10F2F39-3857-4232-B7AE-228CBC52E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jc w:val="both"/>
    </w:pPr>
    <w:rPr>
      <w:rFonts w:ascii="Times" w:hAnsi="Times"/>
      <w:sz w:val="24"/>
      <w:lang w:val="en-GB"/>
    </w:rPr>
  </w:style>
  <w:style w:type="paragraph" w:styleId="Heading2">
    <w:name w:val="heading 2"/>
    <w:basedOn w:val="Normal"/>
    <w:next w:val="Normal"/>
    <w:link w:val="Heading2Char"/>
    <w:uiPriority w:val="9"/>
    <w:unhideWhenUsed/>
    <w:qFormat/>
    <w:rsid w:val="004033A9"/>
    <w:pPr>
      <w:keepNext/>
      <w:keepLines/>
      <w:spacing w:before="40" w:after="0" w:line="259" w:lineRule="auto"/>
      <w:jc w:val="left"/>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pPr>
      <w:spacing w:line="480" w:lineRule="auto"/>
      <w:ind w:firstLine="187"/>
    </w:pPr>
  </w:style>
  <w:style w:type="paragraph" w:customStyle="1" w:styleId="TAMainText">
    <w:name w:val="TA_Main_Text"/>
    <w:basedOn w:val="Normal"/>
    <w:pPr>
      <w:spacing w:after="0" w:line="480" w:lineRule="auto"/>
      <w:ind w:firstLine="202"/>
    </w:pPr>
  </w:style>
  <w:style w:type="paragraph" w:customStyle="1" w:styleId="BATitle">
    <w:name w:val="BA_Title"/>
    <w:basedOn w:val="Normal"/>
    <w:next w:val="BBAuthorName"/>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pPr>
      <w:spacing w:after="240" w:line="480" w:lineRule="auto"/>
      <w:jc w:val="center"/>
    </w:pPr>
    <w:rPr>
      <w:i/>
    </w:rPr>
  </w:style>
  <w:style w:type="paragraph" w:customStyle="1" w:styleId="BCAuthorAddress">
    <w:name w:val="BC_Author_Address"/>
    <w:basedOn w:val="Normal"/>
    <w:next w:val="BIEmailAddress"/>
    <w:pPr>
      <w:spacing w:after="240" w:line="480" w:lineRule="auto"/>
      <w:jc w:val="center"/>
    </w:pPr>
  </w:style>
  <w:style w:type="paragraph" w:customStyle="1" w:styleId="BIEmailAddress">
    <w:name w:val="BI_Email_Address"/>
    <w:basedOn w:val="Normal"/>
    <w:next w:val="AIReceivedDate"/>
    <w:pPr>
      <w:spacing w:line="480" w:lineRule="auto"/>
    </w:pPr>
  </w:style>
  <w:style w:type="paragraph" w:customStyle="1" w:styleId="AIReceivedDate">
    <w:name w:val="AI_Received_Date"/>
    <w:basedOn w:val="Normal"/>
    <w:next w:val="BDAbstract"/>
    <w:pPr>
      <w:spacing w:after="240" w:line="480" w:lineRule="auto"/>
    </w:pPr>
    <w:rPr>
      <w:b/>
    </w:rPr>
  </w:style>
  <w:style w:type="paragraph" w:customStyle="1" w:styleId="BDAbstract">
    <w:name w:val="BD_Abstract"/>
    <w:basedOn w:val="Normal"/>
    <w:next w:val="TAMainText"/>
    <w:pPr>
      <w:spacing w:before="360" w:after="360" w:line="480" w:lineRule="auto"/>
    </w:pPr>
  </w:style>
  <w:style w:type="paragraph" w:customStyle="1" w:styleId="TDAcknowledgments">
    <w:name w:val="TD_Acknowledgments"/>
    <w:basedOn w:val="Normal"/>
    <w:next w:val="Normal"/>
    <w:pPr>
      <w:spacing w:before="200" w:line="480" w:lineRule="auto"/>
      <w:ind w:firstLine="202"/>
    </w:pPr>
  </w:style>
  <w:style w:type="paragraph" w:customStyle="1" w:styleId="TESupportingInformation">
    <w:name w:val="TE_Supporting_Information"/>
    <w:basedOn w:val="Normal"/>
    <w:next w:val="Normal"/>
    <w:pPr>
      <w:spacing w:line="480" w:lineRule="auto"/>
      <w:ind w:firstLine="187"/>
    </w:pPr>
  </w:style>
  <w:style w:type="paragraph" w:customStyle="1" w:styleId="VCSchemeTitle">
    <w:name w:val="VC_Scheme_Title"/>
    <w:basedOn w:val="Normal"/>
    <w:next w:val="Normal"/>
    <w:pPr>
      <w:spacing w:line="480" w:lineRule="auto"/>
    </w:pPr>
  </w:style>
  <w:style w:type="paragraph" w:customStyle="1" w:styleId="VDTableTitle">
    <w:name w:val="VD_Table_Title"/>
    <w:basedOn w:val="Normal"/>
    <w:next w:val="Normal"/>
    <w:pPr>
      <w:spacing w:line="480" w:lineRule="auto"/>
    </w:pPr>
  </w:style>
  <w:style w:type="paragraph" w:customStyle="1" w:styleId="VAFigureCaption">
    <w:name w:val="VA_Figure_Caption"/>
    <w:basedOn w:val="Normal"/>
    <w:next w:val="Normal"/>
    <w:pPr>
      <w:spacing w:line="480" w:lineRule="auto"/>
    </w:pPr>
  </w:style>
  <w:style w:type="paragraph" w:customStyle="1" w:styleId="VBChartTitle">
    <w:name w:val="VB_Chart_Title"/>
    <w:basedOn w:val="Normal"/>
    <w:next w:val="Normal"/>
    <w:pPr>
      <w:spacing w:line="480" w:lineRule="auto"/>
    </w:pPr>
  </w:style>
  <w:style w:type="paragraph" w:customStyle="1" w:styleId="FETableFootnote">
    <w:name w:val="FE_Table_Footnote"/>
    <w:basedOn w:val="Normal"/>
    <w:next w:val="Normal"/>
    <w:pPr>
      <w:ind w:firstLine="187"/>
    </w:pPr>
  </w:style>
  <w:style w:type="paragraph" w:customStyle="1" w:styleId="FCChartFootnote">
    <w:name w:val="FC_Chart_Footnote"/>
    <w:basedOn w:val="Normal"/>
    <w:next w:val="Normal"/>
    <w:pPr>
      <w:ind w:firstLine="187"/>
    </w:pPr>
  </w:style>
  <w:style w:type="paragraph" w:customStyle="1" w:styleId="FDSchemeFootnote">
    <w:name w:val="FD_Scheme_Footnote"/>
    <w:basedOn w:val="Normal"/>
    <w:next w:val="Normal"/>
    <w:pPr>
      <w:ind w:firstLine="187"/>
    </w:pPr>
  </w:style>
  <w:style w:type="paragraph" w:customStyle="1" w:styleId="TCTableBody">
    <w:name w:val="TC_Table_Body"/>
    <w:basedOn w:val="Normal"/>
  </w:style>
  <w:style w:type="paragraph" w:customStyle="1" w:styleId="AFTitleRunningHead">
    <w:name w:val="AF_Title_Running_Head"/>
    <w:basedOn w:val="Normal"/>
    <w:next w:val="TAMainText"/>
    <w:pPr>
      <w:spacing w:line="480" w:lineRule="auto"/>
    </w:pPr>
  </w:style>
  <w:style w:type="paragraph" w:customStyle="1" w:styleId="BEAuthorBiography">
    <w:name w:val="BE_Author_Biography"/>
    <w:basedOn w:val="Normal"/>
    <w:pPr>
      <w:spacing w:line="480" w:lineRule="auto"/>
    </w:pPr>
  </w:style>
  <w:style w:type="paragraph" w:customStyle="1" w:styleId="FACorrespondingAuthorFootnote">
    <w:name w:val="FA_Corresponding_Author_Footnote"/>
    <w:basedOn w:val="Normal"/>
    <w:next w:val="TAMainText"/>
    <w:pPr>
      <w:spacing w:line="480" w:lineRule="auto"/>
    </w:pPr>
  </w:style>
  <w:style w:type="paragraph" w:customStyle="1" w:styleId="SNSynopsisTOC">
    <w:name w:val="SN_Synopsis_TOC"/>
    <w:basedOn w:val="Normal"/>
    <w:pPr>
      <w:spacing w:line="480" w:lineRule="auto"/>
    </w:pPr>
  </w:style>
  <w:style w:type="character" w:styleId="Hyperlink">
    <w:name w:val="Hyperlink"/>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pPr>
      <w:spacing w:line="480" w:lineRule="auto"/>
    </w:pPr>
  </w:style>
  <w:style w:type="paragraph" w:customStyle="1" w:styleId="BHBriefs">
    <w:name w:val="BH_Briefs"/>
    <w:basedOn w:val="Normal"/>
    <w:pPr>
      <w:spacing w:line="480" w:lineRule="auto"/>
    </w:p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al"/>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character" w:customStyle="1" w:styleId="Heading2Char">
    <w:name w:val="Heading 2 Char"/>
    <w:basedOn w:val="DefaultParagraphFont"/>
    <w:link w:val="Heading2"/>
    <w:uiPriority w:val="9"/>
    <w:rsid w:val="004033A9"/>
    <w:rPr>
      <w:rFonts w:asciiTheme="majorHAnsi" w:eastAsiaTheme="majorEastAsia" w:hAnsiTheme="majorHAnsi" w:cstheme="majorBidi"/>
      <w:color w:val="365F91" w:themeColor="accent1" w:themeShade="BF"/>
      <w:sz w:val="26"/>
      <w:szCs w:val="26"/>
      <w:lang w:val="en-GB"/>
    </w:rPr>
  </w:style>
  <w:style w:type="paragraph" w:styleId="Caption">
    <w:name w:val="caption"/>
    <w:basedOn w:val="Normal"/>
    <w:next w:val="Normal"/>
    <w:uiPriority w:val="35"/>
    <w:unhideWhenUsed/>
    <w:qFormat/>
    <w:rsid w:val="004033A9"/>
    <w:pPr>
      <w:jc w:val="left"/>
    </w:pPr>
    <w:rPr>
      <w:rFonts w:asciiTheme="minorHAnsi" w:eastAsiaTheme="minorHAnsi" w:hAnsiTheme="minorHAnsi" w:cstheme="minorBidi"/>
      <w:i/>
      <w:iCs/>
      <w:color w:val="1F497D" w:themeColor="text2"/>
      <w:sz w:val="18"/>
      <w:szCs w:val="18"/>
    </w:rPr>
  </w:style>
  <w:style w:type="table" w:styleId="TableGrid">
    <w:name w:val="Table Grid"/>
    <w:basedOn w:val="TableNormal"/>
    <w:uiPriority w:val="39"/>
    <w:rsid w:val="004033A9"/>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033A9"/>
    <w:pPr>
      <w:ind w:left="720"/>
      <w:contextualSpacing/>
    </w:pPr>
  </w:style>
  <w:style w:type="character" w:styleId="CommentReference">
    <w:name w:val="annotation reference"/>
    <w:basedOn w:val="DefaultParagraphFont"/>
    <w:semiHidden/>
    <w:unhideWhenUsed/>
    <w:rsid w:val="00987B7E"/>
    <w:rPr>
      <w:sz w:val="16"/>
      <w:szCs w:val="16"/>
    </w:rPr>
  </w:style>
  <w:style w:type="paragraph" w:styleId="CommentText">
    <w:name w:val="annotation text"/>
    <w:basedOn w:val="Normal"/>
    <w:link w:val="CommentTextChar"/>
    <w:unhideWhenUsed/>
    <w:rsid w:val="00987B7E"/>
    <w:rPr>
      <w:sz w:val="20"/>
    </w:rPr>
  </w:style>
  <w:style w:type="character" w:customStyle="1" w:styleId="CommentTextChar">
    <w:name w:val="Comment Text Char"/>
    <w:basedOn w:val="DefaultParagraphFont"/>
    <w:link w:val="CommentText"/>
    <w:rsid w:val="00987B7E"/>
    <w:rPr>
      <w:rFonts w:ascii="Times" w:hAnsi="Times"/>
      <w:lang w:val="en-GB"/>
    </w:rPr>
  </w:style>
  <w:style w:type="paragraph" w:styleId="CommentSubject">
    <w:name w:val="annotation subject"/>
    <w:basedOn w:val="CommentText"/>
    <w:next w:val="CommentText"/>
    <w:link w:val="CommentSubjectChar"/>
    <w:semiHidden/>
    <w:unhideWhenUsed/>
    <w:rsid w:val="00987B7E"/>
    <w:rPr>
      <w:b/>
      <w:bCs/>
    </w:rPr>
  </w:style>
  <w:style w:type="character" w:customStyle="1" w:styleId="CommentSubjectChar">
    <w:name w:val="Comment Subject Char"/>
    <w:basedOn w:val="CommentTextChar"/>
    <w:link w:val="CommentSubject"/>
    <w:semiHidden/>
    <w:rsid w:val="00987B7E"/>
    <w:rPr>
      <w:rFonts w:ascii="Times" w:hAnsi="Times"/>
      <w:b/>
      <w:bCs/>
      <w:lang w:val="en-GB"/>
    </w:rPr>
  </w:style>
  <w:style w:type="paragraph" w:styleId="Revision">
    <w:name w:val="Revision"/>
    <w:hidden/>
    <w:uiPriority w:val="99"/>
    <w:semiHidden/>
    <w:rsid w:val="00B32DAA"/>
    <w:rPr>
      <w:rFonts w:ascii="Times" w:hAnsi="Times"/>
      <w:sz w:val="24"/>
      <w:lang w:val="en-GB"/>
    </w:rPr>
  </w:style>
  <w:style w:type="paragraph" w:styleId="Header">
    <w:name w:val="header"/>
    <w:basedOn w:val="Normal"/>
    <w:link w:val="HeaderChar"/>
    <w:unhideWhenUsed/>
    <w:rsid w:val="00F71828"/>
    <w:pPr>
      <w:tabs>
        <w:tab w:val="center" w:pos="4513"/>
        <w:tab w:val="right" w:pos="9026"/>
      </w:tabs>
      <w:spacing w:after="0"/>
    </w:pPr>
  </w:style>
  <w:style w:type="character" w:customStyle="1" w:styleId="HeaderChar">
    <w:name w:val="Header Char"/>
    <w:basedOn w:val="DefaultParagraphFont"/>
    <w:link w:val="Header"/>
    <w:rsid w:val="00F71828"/>
    <w:rPr>
      <w:rFonts w:ascii="Times" w:hAnsi="Times"/>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mgroup\Documents\Custom%20Office%20Templates\Template%20for%20Electronic%20Submission%20to%20ACS%20Journal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A868A4-370B-49DE-B979-B020F5CD8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for Electronic Submission to ACS Journals</Template>
  <TotalTime>14</TotalTime>
  <Pages>5</Pages>
  <Words>2719</Words>
  <Characters>15500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18183</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remgroup</dc:creator>
  <cp:keywords/>
  <cp:lastModifiedBy>Russell Main</cp:lastModifiedBy>
  <cp:revision>5</cp:revision>
  <cp:lastPrinted>2008-06-11T21:33:00Z</cp:lastPrinted>
  <dcterms:created xsi:type="dcterms:W3CDTF">2022-10-05T15:52:00Z</dcterms:created>
  <dcterms:modified xsi:type="dcterms:W3CDTF">2022-10-07T09:34:00Z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ca06ae39-8014-3605-bb74-786e5bb282ae</vt:lpwstr>
  </property>
  <property fmtid="{D5CDD505-2E9C-101B-9397-08002B2CF9AE}" pid="4" name="Mendeley Citation Style_1">
    <vt:lpwstr>http://www.zotero.org/styles/nature</vt:lpwstr>
  </property>
  <property fmtid="{D5CDD505-2E9C-101B-9397-08002B2CF9AE}" pid="5" name="Mendeley Recent Style Id 0_1">
    <vt:lpwstr>http://www.zotero.org/styles/american-chemical-society</vt:lpwstr>
  </property>
  <property fmtid="{D5CDD505-2E9C-101B-9397-08002B2CF9AE}" pid="6" name="Mendeley Recent Style Name 0_1">
    <vt:lpwstr>American Chemical Society</vt:lpwstr>
  </property>
  <property fmtid="{D5CDD505-2E9C-101B-9397-08002B2CF9AE}" pid="7" name="Mendeley Recent Style Id 1_1">
    <vt:lpwstr>http://www.zotero.org/styles/american-medical-association</vt:lpwstr>
  </property>
  <property fmtid="{D5CDD505-2E9C-101B-9397-08002B2CF9AE}" pid="8" name="Mendeley Recent Style Name 1_1">
    <vt:lpwstr>American Medical Association 11th edition</vt:lpwstr>
  </property>
  <property fmtid="{D5CDD505-2E9C-101B-9397-08002B2CF9AE}" pid="9" name="Mendeley Recent Style Id 2_1">
    <vt:lpwstr>http://www.zotero.org/styles/american-political-science-association</vt:lpwstr>
  </property>
  <property fmtid="{D5CDD505-2E9C-101B-9397-08002B2CF9AE}" pid="10" name="Mendeley Recent Style Name 2_1">
    <vt:lpwstr>American Political Science Association</vt:lpwstr>
  </property>
  <property fmtid="{D5CDD505-2E9C-101B-9397-08002B2CF9AE}" pid="11" name="Mendeley Recent Style Id 3_1">
    <vt:lpwstr>http://www.zotero.org/styles/apa</vt:lpwstr>
  </property>
  <property fmtid="{D5CDD505-2E9C-101B-9397-08002B2CF9AE}" pid="12" name="Mendeley Recent Style Name 3_1">
    <vt:lpwstr>American Psychological Association 7th edition</vt:lpwstr>
  </property>
  <property fmtid="{D5CDD505-2E9C-101B-9397-08002B2CF9AE}" pid="13" name="Mendeley Recent Style Id 4_1">
    <vt:lpwstr>http://www.zotero.org/styles/american-sociological-association</vt:lpwstr>
  </property>
  <property fmtid="{D5CDD505-2E9C-101B-9397-08002B2CF9AE}" pid="14" name="Mendeley Recent Style Name 4_1">
    <vt:lpwstr>American Sociological Association 6th edition</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http://www.zotero.org/styles/harvard-cite-them-right</vt:lpwstr>
  </property>
  <property fmtid="{D5CDD505-2E9C-101B-9397-08002B2CF9AE}" pid="18" name="Mendeley Recent Style Name 6_1">
    <vt:lpwstr>Cite Them Right 10th edition - Harvard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