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F5A7B" w14:textId="77777777" w:rsidR="00CC2DDF" w:rsidRPr="00B96536" w:rsidRDefault="00CC2DDF" w:rsidP="00CC2DDF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Toc504331428"/>
      <w:r w:rsidRPr="00B96536">
        <w:rPr>
          <w:rFonts w:ascii="Times New Roman" w:hAnsi="Times New Roman" w:cs="Times New Roman"/>
          <w:b/>
          <w:bCs/>
          <w:sz w:val="24"/>
          <w:szCs w:val="24"/>
        </w:rPr>
        <w:t>Table 1: List of Abbreviations</w:t>
      </w:r>
      <w:bookmarkEnd w:id="0"/>
    </w:p>
    <w:p w14:paraId="4EFEEAF0" w14:textId="77777777" w:rsidR="00CC2DDF" w:rsidRPr="00B96536" w:rsidRDefault="00CC2DDF" w:rsidP="00CC2DDF">
      <w:pPr>
        <w:tabs>
          <w:tab w:val="left" w:pos="3585"/>
        </w:tabs>
        <w:spacing w:after="120" w:line="480" w:lineRule="auto"/>
        <w:ind w:left="432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96536">
        <w:rPr>
          <w:rFonts w:ascii="Times New Roman" w:hAnsi="Times New Roman" w:cs="Times New Roman"/>
          <w:b/>
          <w:bCs/>
          <w:sz w:val="24"/>
          <w:szCs w:val="24"/>
          <w:u w:val="single"/>
        </w:rPr>
        <w:t>Abbreviation                                     Term                                        </w:t>
      </w:r>
    </w:p>
    <w:p w14:paraId="2487D341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AOPs</w:t>
      </w:r>
      <w:r w:rsidRPr="00B96536">
        <w:rPr>
          <w:rFonts w:ascii="Times New Roman" w:hAnsi="Times New Roman" w:cs="Times New Roman"/>
          <w:sz w:val="24"/>
          <w:szCs w:val="24"/>
        </w:rPr>
        <w:tab/>
        <w:t>Advanced Oxidation Processes</w:t>
      </w:r>
    </w:p>
    <w:p w14:paraId="09C024D5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BET</w:t>
      </w:r>
      <w:r w:rsidRPr="00B96536">
        <w:rPr>
          <w:rFonts w:ascii="Times New Roman" w:hAnsi="Times New Roman" w:cs="Times New Roman"/>
          <w:sz w:val="24"/>
          <w:szCs w:val="24"/>
        </w:rPr>
        <w:tab/>
        <w:t>Brunauer-Emmet-Teller</w:t>
      </w:r>
    </w:p>
    <w:p w14:paraId="2B51A60B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CB</w:t>
      </w:r>
      <w:r w:rsidRPr="00B96536">
        <w:rPr>
          <w:rFonts w:ascii="Times New Roman" w:hAnsi="Times New Roman" w:cs="Times New Roman"/>
          <w:sz w:val="24"/>
          <w:szCs w:val="24"/>
        </w:rPr>
        <w:tab/>
        <w:t>Conduction Band</w:t>
      </w:r>
    </w:p>
    <w:p w14:paraId="765BC358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LFFS</w:t>
      </w:r>
      <w:r w:rsidRPr="00B96536">
        <w:rPr>
          <w:rFonts w:ascii="Times New Roman" w:hAnsi="Times New Roman" w:cs="Times New Roman"/>
          <w:sz w:val="24"/>
          <w:szCs w:val="24"/>
        </w:rPr>
        <w:tab/>
        <w:t xml:space="preserve">Laminar Falling Film Slurry </w:t>
      </w:r>
    </w:p>
    <w:p w14:paraId="3961EE85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MB</w:t>
      </w:r>
      <w:r w:rsidRPr="00B96536">
        <w:rPr>
          <w:rFonts w:ascii="Times New Roman" w:hAnsi="Times New Roman" w:cs="Times New Roman"/>
          <w:sz w:val="24"/>
          <w:szCs w:val="24"/>
        </w:rPr>
        <w:tab/>
        <w:t>Methylene Blue</w:t>
      </w:r>
    </w:p>
    <w:p w14:paraId="7D083F5A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pH</w:t>
      </w:r>
      <w:r w:rsidRPr="00B96536">
        <w:rPr>
          <w:rFonts w:ascii="Times New Roman" w:hAnsi="Times New Roman" w:cs="Times New Roman"/>
          <w:sz w:val="24"/>
          <w:szCs w:val="24"/>
          <w:vertAlign w:val="subscript"/>
        </w:rPr>
        <w:t>pzc</w:t>
      </w:r>
      <w:r w:rsidRPr="00B96536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B96536">
        <w:rPr>
          <w:rFonts w:ascii="Times New Roman" w:hAnsi="Times New Roman" w:cs="Times New Roman"/>
          <w:sz w:val="24"/>
          <w:szCs w:val="24"/>
        </w:rPr>
        <w:t>pH value of the Point of Zero Charge</w:t>
      </w:r>
    </w:p>
    <w:p w14:paraId="40735422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TEM</w:t>
      </w:r>
      <w:r w:rsidRPr="00B96536">
        <w:rPr>
          <w:rFonts w:ascii="Times New Roman" w:hAnsi="Times New Roman" w:cs="Times New Roman"/>
          <w:sz w:val="24"/>
          <w:szCs w:val="24"/>
        </w:rPr>
        <w:tab/>
        <w:t>Transmission Electron Microscopy</w:t>
      </w:r>
    </w:p>
    <w:p w14:paraId="236F80AF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UV</w:t>
      </w:r>
      <w:r w:rsidRPr="00B96536">
        <w:rPr>
          <w:rFonts w:ascii="Times New Roman" w:hAnsi="Times New Roman" w:cs="Times New Roman"/>
          <w:sz w:val="24"/>
          <w:szCs w:val="24"/>
        </w:rPr>
        <w:tab/>
        <w:t>Ultraviolet radiation</w:t>
      </w:r>
    </w:p>
    <w:p w14:paraId="07A8755F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UVA</w:t>
      </w:r>
      <w:r w:rsidRPr="00B96536">
        <w:rPr>
          <w:rFonts w:ascii="Times New Roman" w:hAnsi="Times New Roman" w:cs="Times New Roman"/>
          <w:sz w:val="24"/>
          <w:szCs w:val="24"/>
        </w:rPr>
        <w:tab/>
        <w:t>Ultraviolet radiation class A (320 nm – 400 nm)</w:t>
      </w:r>
    </w:p>
    <w:p w14:paraId="64AB6F0A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UVB</w:t>
      </w:r>
      <w:r w:rsidRPr="00B96536">
        <w:rPr>
          <w:rFonts w:ascii="Times New Roman" w:hAnsi="Times New Roman" w:cs="Times New Roman"/>
          <w:sz w:val="24"/>
          <w:szCs w:val="24"/>
        </w:rPr>
        <w:tab/>
        <w:t>Ultraviolet radiation class B (290 nm – 320 nm)</w:t>
      </w:r>
    </w:p>
    <w:p w14:paraId="1FCFAEF2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UVC</w:t>
      </w:r>
      <w:r w:rsidRPr="00B96536">
        <w:rPr>
          <w:rFonts w:ascii="Times New Roman" w:hAnsi="Times New Roman" w:cs="Times New Roman"/>
          <w:sz w:val="24"/>
          <w:szCs w:val="24"/>
        </w:rPr>
        <w:tab/>
        <w:t>Ultraviolet radiation class C (200 nm – 290 nm)</w:t>
      </w:r>
    </w:p>
    <w:p w14:paraId="7D774B5C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VB</w:t>
      </w:r>
      <w:r w:rsidRPr="00B96536">
        <w:rPr>
          <w:rFonts w:ascii="Times New Roman" w:hAnsi="Times New Roman" w:cs="Times New Roman"/>
          <w:sz w:val="24"/>
          <w:szCs w:val="24"/>
        </w:rPr>
        <w:tab/>
        <w:t>Valence Band</w:t>
      </w:r>
    </w:p>
    <w:p w14:paraId="6492F345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sz w:val="24"/>
          <w:szCs w:val="24"/>
        </w:rPr>
        <w:t>XRD</w:t>
      </w:r>
      <w:r w:rsidRPr="00B96536">
        <w:rPr>
          <w:rFonts w:ascii="Times New Roman" w:hAnsi="Times New Roman" w:cs="Times New Roman"/>
          <w:sz w:val="24"/>
          <w:szCs w:val="24"/>
        </w:rPr>
        <w:tab/>
        <w:t>X-ray Diffraction</w:t>
      </w:r>
    </w:p>
    <w:p w14:paraId="748B78CD" w14:textId="77777777" w:rsidR="00CC2DDF" w:rsidRPr="00B96536" w:rsidRDefault="00CC2DDF" w:rsidP="00CC2DDF">
      <w:pPr>
        <w:tabs>
          <w:tab w:val="left" w:pos="3600"/>
        </w:tabs>
        <w:spacing w:line="480" w:lineRule="auto"/>
        <w:ind w:left="432"/>
        <w:rPr>
          <w:sz w:val="24"/>
          <w:szCs w:val="24"/>
        </w:rPr>
      </w:pPr>
    </w:p>
    <w:p w14:paraId="25A64F67" w14:textId="77777777" w:rsidR="00CC2DDF" w:rsidRPr="00B96536" w:rsidRDefault="00CC2DDF" w:rsidP="00CC2DD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6536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bookmarkStart w:id="1" w:name="_Toc504331429"/>
      <w:r w:rsidRPr="00B9653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2: List of Symbols</w:t>
      </w:r>
      <w:bookmarkEnd w:id="1"/>
    </w:p>
    <w:p w14:paraId="7840F0DD" w14:textId="77777777" w:rsidR="00CC2DDF" w:rsidRPr="00B96536" w:rsidRDefault="00CC2DDF" w:rsidP="00CC2DDF">
      <w:pPr>
        <w:tabs>
          <w:tab w:val="left" w:pos="1260"/>
          <w:tab w:val="left" w:pos="3255"/>
          <w:tab w:val="left" w:pos="7470"/>
        </w:tabs>
        <w:spacing w:after="120" w:line="480" w:lineRule="auto"/>
        <w:rPr>
          <w:rFonts w:asciiTheme="majorBidi" w:hAnsiTheme="majorBidi" w:cstheme="majorBidi"/>
          <w:b/>
          <w:bCs/>
          <w:iCs/>
          <w:sz w:val="24"/>
          <w:szCs w:val="24"/>
          <w:u w:val="single"/>
        </w:rPr>
      </w:pPr>
      <w:r w:rsidRPr="00B96536">
        <w:rPr>
          <w:rFonts w:asciiTheme="majorBidi" w:hAnsiTheme="majorBidi" w:cstheme="majorBidi"/>
          <w:b/>
          <w:bCs/>
          <w:iCs/>
          <w:sz w:val="24"/>
          <w:szCs w:val="24"/>
          <w:u w:val="single"/>
        </w:rPr>
        <w:t>Symbol</w:t>
      </w:r>
      <w:r w:rsidRPr="00B96536">
        <w:rPr>
          <w:rFonts w:asciiTheme="majorBidi" w:hAnsiTheme="majorBidi" w:cstheme="majorBidi"/>
          <w:b/>
          <w:bCs/>
          <w:iCs/>
          <w:sz w:val="24"/>
          <w:szCs w:val="24"/>
          <w:u w:val="single"/>
        </w:rPr>
        <w:tab/>
        <w:t xml:space="preserve">Meaning                     </w:t>
      </w:r>
      <w:r w:rsidRPr="00B96536">
        <w:rPr>
          <w:rFonts w:asciiTheme="majorBidi" w:hAnsiTheme="majorBidi" w:cstheme="majorBidi"/>
          <w:b/>
          <w:bCs/>
          <w:iCs/>
          <w:sz w:val="24"/>
          <w:szCs w:val="24"/>
          <w:u w:val="single"/>
        </w:rPr>
        <w:tab/>
        <w:t xml:space="preserve">                                                               Units                </w:t>
      </w:r>
    </w:p>
    <w:p w14:paraId="6E65554E" w14:textId="77777777" w:rsidR="00CC2DDF" w:rsidRPr="00B96536" w:rsidRDefault="00CC2DDF" w:rsidP="00CC2DDF">
      <w:pPr>
        <w:tabs>
          <w:tab w:val="left" w:pos="1260"/>
          <w:tab w:val="left" w:pos="7470"/>
        </w:tabs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B96536">
        <w:rPr>
          <w:rFonts w:asciiTheme="majorBidi" w:hAnsiTheme="majorBidi" w:cstheme="majorBidi"/>
          <w:i/>
          <w:iCs/>
          <w:sz w:val="24"/>
          <w:szCs w:val="24"/>
        </w:rPr>
        <w:t>C</w:t>
      </w:r>
      <w:r w:rsidRPr="00B96536">
        <w:rPr>
          <w:rFonts w:asciiTheme="majorBidi" w:hAnsiTheme="majorBidi" w:cstheme="majorBidi"/>
          <w:sz w:val="24"/>
          <w:szCs w:val="24"/>
        </w:rPr>
        <w:tab/>
        <w:t>Dye concentration at any time t                                                  ppm</w:t>
      </w:r>
    </w:p>
    <w:p w14:paraId="40867777" w14:textId="77777777" w:rsidR="00CC2DDF" w:rsidRPr="00B96536" w:rsidRDefault="00CC2DDF" w:rsidP="00CC2DDF">
      <w:pPr>
        <w:tabs>
          <w:tab w:val="left" w:pos="1260"/>
          <w:tab w:val="left" w:pos="7470"/>
        </w:tabs>
        <w:spacing w:line="480" w:lineRule="auto"/>
        <w:rPr>
          <w:rFonts w:asciiTheme="majorBidi" w:hAnsiTheme="majorBidi" w:cstheme="majorBidi"/>
          <w:iCs/>
          <w:sz w:val="24"/>
          <w:szCs w:val="24"/>
        </w:rPr>
      </w:pPr>
      <w:r w:rsidRPr="00B96536">
        <w:rPr>
          <w:rFonts w:asciiTheme="majorBidi" w:hAnsiTheme="majorBidi" w:cstheme="majorBidi"/>
          <w:i/>
          <w:sz w:val="24"/>
          <w:szCs w:val="24"/>
        </w:rPr>
        <w:t>C</w:t>
      </w:r>
      <w:r w:rsidRPr="00B96536">
        <w:rPr>
          <w:rFonts w:asciiTheme="majorBidi" w:hAnsiTheme="majorBidi" w:cstheme="majorBidi"/>
          <w:i/>
          <w:sz w:val="24"/>
          <w:szCs w:val="24"/>
          <w:vertAlign w:val="subscript"/>
        </w:rPr>
        <w:t>o</w:t>
      </w:r>
      <w:r w:rsidRPr="00B96536">
        <w:rPr>
          <w:rFonts w:asciiTheme="majorBidi" w:hAnsiTheme="majorBidi" w:cstheme="majorBidi"/>
          <w:iCs/>
          <w:sz w:val="24"/>
          <w:szCs w:val="24"/>
        </w:rPr>
        <w:tab/>
        <w:t>Initial dye concentration                                                              ppm</w:t>
      </w:r>
    </w:p>
    <w:p w14:paraId="01A1D9E4" w14:textId="77777777" w:rsidR="00CC2DDF" w:rsidRPr="00B96536" w:rsidRDefault="00CC2DDF" w:rsidP="00CC2DDF">
      <w:pPr>
        <w:tabs>
          <w:tab w:val="left" w:pos="1260"/>
          <w:tab w:val="left" w:pos="7470"/>
        </w:tabs>
        <w:spacing w:line="480" w:lineRule="auto"/>
        <w:rPr>
          <w:rFonts w:asciiTheme="majorBidi" w:hAnsiTheme="majorBidi" w:cstheme="majorBidi"/>
          <w:sz w:val="24"/>
          <w:szCs w:val="24"/>
          <w:shd w:val="clear" w:color="auto" w:fill="FFFFFF"/>
        </w:rPr>
      </w:pPr>
      <m:oMath>
        <m:r>
          <w:rPr>
            <w:rFonts w:ascii="Cambria Math" w:hAnsi="Cambria Math"/>
            <w:sz w:val="24"/>
            <w:szCs w:val="24"/>
          </w:rPr>
          <m:t>h</m:t>
        </m:r>
      </m:oMath>
      <w:r w:rsidRPr="00B96536">
        <w:rPr>
          <w:rFonts w:asciiTheme="majorBidi" w:hAnsiTheme="majorBidi" w:cstheme="majorBidi"/>
          <w:i/>
          <w:sz w:val="24"/>
          <w:szCs w:val="24"/>
        </w:rPr>
        <w:tab/>
      </w:r>
      <w:r w:rsidRPr="00B96536">
        <w:rPr>
          <w:rFonts w:asciiTheme="majorBidi" w:hAnsiTheme="majorBidi" w:cstheme="majorBidi"/>
          <w:sz w:val="24"/>
          <w:szCs w:val="24"/>
          <w:shd w:val="clear" w:color="auto" w:fill="FFFFFF"/>
        </w:rPr>
        <w:t>Planck's constant                                                                          m</w:t>
      </w:r>
      <w:r w:rsidRPr="00B96536">
        <w:rPr>
          <w:rFonts w:asciiTheme="majorBidi" w:hAnsiTheme="majorBidi" w:cstheme="majorBidi"/>
          <w:sz w:val="24"/>
          <w:szCs w:val="24"/>
          <w:shd w:val="clear" w:color="auto" w:fill="FFFFFF"/>
          <w:vertAlign w:val="superscript"/>
        </w:rPr>
        <w:t>2</w:t>
      </w:r>
      <w:r w:rsidRPr="00B96536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kg s</w:t>
      </w:r>
      <w:r w:rsidRPr="00B96536">
        <w:rPr>
          <w:rFonts w:asciiTheme="majorBidi" w:hAnsiTheme="majorBidi" w:cstheme="majorBidi"/>
          <w:sz w:val="24"/>
          <w:szCs w:val="24"/>
          <w:shd w:val="clear" w:color="auto" w:fill="FFFFFF"/>
          <w:vertAlign w:val="superscript"/>
        </w:rPr>
        <w:t>-1</w:t>
      </w:r>
    </w:p>
    <w:p w14:paraId="3930A225" w14:textId="77777777" w:rsidR="00CC2DDF" w:rsidRPr="00B96536" w:rsidRDefault="00CC2DDF" w:rsidP="00CC2DDF">
      <w:pPr>
        <w:tabs>
          <w:tab w:val="left" w:pos="144"/>
          <w:tab w:val="left" w:pos="288"/>
          <w:tab w:val="left" w:pos="432"/>
          <w:tab w:val="left" w:pos="576"/>
          <w:tab w:val="left" w:pos="720"/>
          <w:tab w:val="left" w:pos="864"/>
          <w:tab w:val="left" w:pos="900"/>
          <w:tab w:val="left" w:pos="1008"/>
          <w:tab w:val="left" w:pos="1152"/>
          <w:tab w:val="left" w:pos="1260"/>
          <w:tab w:val="left" w:pos="1296"/>
          <w:tab w:val="left" w:pos="1440"/>
          <w:tab w:val="left" w:pos="1584"/>
          <w:tab w:val="left" w:pos="1728"/>
          <w:tab w:val="left" w:pos="7470"/>
        </w:tabs>
        <w:spacing w:line="480" w:lineRule="auto"/>
        <w:rPr>
          <w:rFonts w:eastAsiaTheme="majorEastAsia"/>
          <w:bCs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bCs/>
          <w:i/>
          <w:iCs/>
          <w:sz w:val="24"/>
          <w:szCs w:val="24"/>
        </w:rPr>
        <w:t>k</w:t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  <w:t xml:space="preserve">  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</w:rPr>
        <w:t>True rate constant                                                                         mg l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min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</w:p>
    <w:p w14:paraId="19C946A1" w14:textId="77777777" w:rsidR="00CC2DDF" w:rsidRPr="00B96536" w:rsidRDefault="00CC2DDF" w:rsidP="00CC2DDF">
      <w:pPr>
        <w:tabs>
          <w:tab w:val="left" w:pos="144"/>
          <w:tab w:val="left" w:pos="288"/>
          <w:tab w:val="left" w:pos="432"/>
          <w:tab w:val="left" w:pos="576"/>
          <w:tab w:val="left" w:pos="720"/>
          <w:tab w:val="left" w:pos="864"/>
          <w:tab w:val="left" w:pos="1152"/>
          <w:tab w:val="left" w:pos="1260"/>
          <w:tab w:val="left" w:pos="1296"/>
          <w:tab w:val="left" w:pos="1440"/>
          <w:tab w:val="left" w:pos="1584"/>
          <w:tab w:val="left" w:pos="1728"/>
          <w:tab w:val="left" w:pos="7470"/>
        </w:tabs>
        <w:spacing w:line="480" w:lineRule="auto"/>
        <w:rPr>
          <w:rFonts w:eastAsiaTheme="majorEastAsia"/>
          <w:bCs/>
          <w:sz w:val="24"/>
          <w:szCs w:val="24"/>
        </w:rPr>
      </w:pPr>
      <w:r w:rsidRPr="00B9653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B965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f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  <w:t xml:space="preserve">     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Apparent rate constant of modified Freundlich model                l g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 xml:space="preserve"> min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</w:p>
    <w:p w14:paraId="59A73D9E" w14:textId="77777777" w:rsidR="00CC2DDF" w:rsidRPr="00B96536" w:rsidRDefault="00CC2DDF" w:rsidP="00CC2DDF">
      <w:pPr>
        <w:tabs>
          <w:tab w:val="left" w:pos="720"/>
        </w:tabs>
        <w:spacing w:line="480" w:lineRule="auto"/>
        <w:rPr>
          <w:rFonts w:eastAsiaTheme="majorEastAsia"/>
          <w:bCs/>
          <w:sz w:val="24"/>
          <w:szCs w:val="24"/>
        </w:rPr>
      </w:pPr>
      <w:r w:rsidRPr="00B9653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B965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LH</w:t>
      </w:r>
      <w:r w:rsidRPr="00B96536">
        <w:rPr>
          <w:rFonts w:eastAsiaTheme="majorEastAsia"/>
          <w:bCs/>
          <w:sz w:val="24"/>
          <w:szCs w:val="24"/>
        </w:rPr>
        <w:tab/>
        <w:t xml:space="preserve">           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</w:rPr>
        <w:t>Apparent rate constant of Langmuir-Hinshelwood model           min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</w:p>
    <w:p w14:paraId="7FF3B9E6" w14:textId="77777777" w:rsidR="00CC2DDF" w:rsidRPr="00B96536" w:rsidRDefault="00CC2DDF" w:rsidP="00CC2DDF">
      <w:pPr>
        <w:tabs>
          <w:tab w:val="left" w:pos="144"/>
          <w:tab w:val="left" w:pos="288"/>
          <w:tab w:val="left" w:pos="432"/>
          <w:tab w:val="left" w:pos="576"/>
          <w:tab w:val="left" w:pos="720"/>
          <w:tab w:val="left" w:pos="1260"/>
          <w:tab w:val="left" w:pos="1440"/>
          <w:tab w:val="left" w:pos="1584"/>
          <w:tab w:val="left" w:pos="1728"/>
          <w:tab w:val="left" w:pos="2520"/>
          <w:tab w:val="left" w:pos="7110"/>
          <w:tab w:val="left" w:pos="7470"/>
        </w:tabs>
        <w:spacing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K</m:t>
        </m:r>
      </m:oMath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eastAsiaTheme="majorEastAsia"/>
          <w:bCs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</w:rPr>
        <w:t>Adsorption equilibrium constant                                                   mg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l</w:t>
      </w:r>
    </w:p>
    <w:p w14:paraId="442FB526" w14:textId="77777777" w:rsidR="00CC2DDF" w:rsidRPr="00B96536" w:rsidRDefault="00CC2DDF" w:rsidP="00CC2DDF">
      <w:pPr>
        <w:tabs>
          <w:tab w:val="left" w:pos="1245"/>
          <w:tab w:val="left" w:pos="747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i/>
          <w:iCs/>
          <w:sz w:val="24"/>
          <w:szCs w:val="24"/>
        </w:rPr>
        <w:t>m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hAnsi="Times New Roman" w:cs="Times New Roman"/>
          <w:sz w:val="24"/>
          <w:szCs w:val="24"/>
        </w:rPr>
        <w:t>Kuo-Lotse constant                                                                       ------</w:t>
      </w:r>
    </w:p>
    <w:p w14:paraId="754551BC" w14:textId="77777777" w:rsidR="00CC2DDF" w:rsidRPr="00B96536" w:rsidRDefault="00CC2DDF" w:rsidP="00CC2DDF">
      <w:pPr>
        <w:tabs>
          <w:tab w:val="left" w:pos="1245"/>
          <w:tab w:val="left" w:pos="7470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sz w:val="24"/>
          <w:szCs w:val="24"/>
        </w:rPr>
        <w:t>MW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ab/>
        <w:t>Molecular Weight                                                                         g mol</w:t>
      </w:r>
      <w:r w:rsidRPr="00B96536">
        <w:rPr>
          <w:rFonts w:ascii="Times New Roman" w:eastAsiaTheme="majorEastAsia" w:hAnsi="Times New Roman" w:cs="Times New Roman"/>
          <w:bCs/>
          <w:sz w:val="24"/>
          <w:szCs w:val="24"/>
          <w:vertAlign w:val="superscript"/>
        </w:rPr>
        <w:t>-1</w:t>
      </w:r>
    </w:p>
    <w:p w14:paraId="7F5D9ED1" w14:textId="77777777" w:rsidR="00CC2DDF" w:rsidRPr="00B96536" w:rsidRDefault="00CC2DDF" w:rsidP="00CC2DDF">
      <w:pPr>
        <w:tabs>
          <w:tab w:val="left" w:pos="1238"/>
          <w:tab w:val="left" w:pos="7455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B965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t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Amount</w:t>
      </w:r>
      <w:r w:rsidRPr="00B96536">
        <w:rPr>
          <w:rFonts w:ascii="Times New Roman" w:hAnsi="Times New Roman" w:cs="Times New Roman"/>
          <w:sz w:val="24"/>
          <w:szCs w:val="24"/>
        </w:rPr>
        <w:t xml:space="preserve"> of dye removed per unit mass of catalyst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 xml:space="preserve">                       mg g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</w:p>
    <w:p w14:paraId="45A2AC24" w14:textId="77777777" w:rsidR="00CC2DDF" w:rsidRPr="00B96536" w:rsidRDefault="00CC2DDF" w:rsidP="00CC2DDF">
      <w:pPr>
        <w:tabs>
          <w:tab w:val="left" w:pos="1238"/>
          <w:tab w:val="left" w:pos="7470"/>
        </w:tabs>
        <w:spacing w:line="480" w:lineRule="auto"/>
        <w:rPr>
          <w:rFonts w:eastAsiaTheme="majorEastAsia"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sz w:val="24"/>
          <w:szCs w:val="24"/>
        </w:rPr>
        <w:t>Q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Solution flow rate                                                                         l h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</w:p>
    <w:p w14:paraId="0CB2B06E" w14:textId="77777777" w:rsidR="00CC2DDF" w:rsidRPr="00B96536" w:rsidRDefault="00CC2DDF" w:rsidP="00CC2DDF">
      <w:pPr>
        <w:tabs>
          <w:tab w:val="left" w:pos="144"/>
          <w:tab w:val="left" w:pos="576"/>
          <w:tab w:val="left" w:pos="720"/>
          <w:tab w:val="left" w:pos="1260"/>
          <w:tab w:val="left" w:pos="1440"/>
          <w:tab w:val="left" w:pos="1584"/>
          <w:tab w:val="left" w:pos="1728"/>
          <w:tab w:val="left" w:pos="2520"/>
          <w:tab w:val="left" w:pos="7110"/>
          <w:tab w:val="left" w:pos="7470"/>
          <w:tab w:val="left" w:pos="8100"/>
        </w:tabs>
        <w:spacing w:line="480" w:lineRule="auto"/>
        <w:rPr>
          <w:rFonts w:eastAsiaTheme="majorEastAsia"/>
          <w:bCs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i/>
          <w:iCs/>
          <w:sz w:val="24"/>
          <w:szCs w:val="24"/>
        </w:rPr>
        <w:t>r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Rate of reaction                                                                            mg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 xml:space="preserve"> 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l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 xml:space="preserve"> min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</w:p>
    <w:p w14:paraId="3E272D26" w14:textId="77777777" w:rsidR="00CC2DDF" w:rsidRPr="00B96536" w:rsidRDefault="00CC2DDF" w:rsidP="00CC2DDF">
      <w:pPr>
        <w:tabs>
          <w:tab w:val="left" w:pos="1238"/>
          <w:tab w:val="left" w:pos="7474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B96536">
        <w:rPr>
          <w:rFonts w:ascii="Times New Roman" w:eastAsiaTheme="majorEastAsia" w:hAnsi="Times New Roman" w:cs="Times New Roman"/>
          <w:i/>
          <w:iCs/>
          <w:sz w:val="24"/>
          <w:szCs w:val="24"/>
        </w:rPr>
        <w:t>t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Irradiation time                                                                             min</w:t>
      </w:r>
    </w:p>
    <w:p w14:paraId="7FFBE5B0" w14:textId="77777777" w:rsidR="00CC2DDF" w:rsidRPr="00B96536" w:rsidRDefault="00CC2DDF" w:rsidP="00CC2DDF">
      <w:pPr>
        <w:tabs>
          <w:tab w:val="left" w:pos="1238"/>
          <w:tab w:val="left" w:pos="7455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B96536">
        <w:rPr>
          <w:rFonts w:ascii="Times New Roman" w:hAnsi="Times New Roman" w:cs="Times New Roman"/>
          <w:i/>
          <w:iCs/>
          <w:sz w:val="24"/>
          <w:szCs w:val="24"/>
        </w:rPr>
        <w:t>[TiO</w:t>
      </w:r>
      <w:r w:rsidRPr="00B965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  <w:r w:rsidRPr="00B96536">
        <w:rPr>
          <w:rFonts w:ascii="Times New Roman" w:hAnsi="Times New Roman" w:cs="Times New Roman"/>
          <w:i/>
          <w:iCs/>
          <w:sz w:val="24"/>
          <w:szCs w:val="24"/>
        </w:rPr>
        <w:t>]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ab/>
        <w:t>Titanium dioxide dose                                                                   mg l</w:t>
      </w:r>
      <w:r w:rsidRPr="00B96536"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-1</w:t>
      </w:r>
    </w:p>
    <w:p w14:paraId="7DA79DCD" w14:textId="77777777" w:rsidR="00CC2DDF" w:rsidRPr="00B96536" w:rsidRDefault="00CC2DDF" w:rsidP="00CC2DDF">
      <w:pPr>
        <w:tabs>
          <w:tab w:val="left" w:pos="1260"/>
          <w:tab w:val="left" w:pos="7470"/>
        </w:tabs>
        <w:spacing w:line="480" w:lineRule="auto"/>
        <w:rPr>
          <w:rFonts w:eastAsiaTheme="maj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θ</m:t>
        </m:r>
      </m:oMath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Diffraction angle                                                                           deg.</w:t>
      </w:r>
    </w:p>
    <w:p w14:paraId="225DADE5" w14:textId="77777777" w:rsidR="00CC2DDF" w:rsidRPr="00B96536" w:rsidRDefault="00CC2DDF" w:rsidP="00CC2DDF">
      <w:pPr>
        <w:tabs>
          <w:tab w:val="left" w:pos="1245"/>
          <w:tab w:val="left" w:pos="1335"/>
          <w:tab w:val="left" w:pos="7470"/>
        </w:tabs>
        <w:spacing w:line="480" w:lineRule="auto"/>
        <w:rPr>
          <w:rFonts w:eastAsiaTheme="majorEastAsia"/>
          <w:sz w:val="24"/>
          <w:szCs w:val="24"/>
        </w:rPr>
      </w:pPr>
      <w:r w:rsidRPr="00B96536">
        <w:rPr>
          <w:rFonts w:ascii="Times New Roman" w:hAnsi="Times New Roman" w:cs="Times New Roman"/>
          <w:i/>
          <w:iCs/>
          <w:sz w:val="24"/>
          <w:szCs w:val="24"/>
        </w:rPr>
        <w:lastRenderedPageBreak/>
        <w:t>θ</w:t>
      </w:r>
      <w:r w:rsidRPr="00B965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C</w:t>
      </w:r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Surface coverage                                                                           ------</w:t>
      </w:r>
    </w:p>
    <w:p w14:paraId="08DC331B" w14:textId="46118ECA" w:rsidR="00755780" w:rsidRPr="00CC2DDF" w:rsidRDefault="00CC2DDF" w:rsidP="00CC2DDF">
      <w:pPr>
        <w:tabs>
          <w:tab w:val="left" w:pos="1238"/>
          <w:tab w:val="left" w:pos="7474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m:oMath>
        <m:r>
          <w:rPr>
            <w:rFonts w:ascii="Cambria Math" w:eastAsia="GulliverRM" w:hAnsi="Cambria Math" w:cs="Times New Roman"/>
            <w:sz w:val="24"/>
            <w:szCs w:val="24"/>
          </w:rPr>
          <m:t>ν</m:t>
        </m:r>
      </m:oMath>
      <w:r w:rsidRPr="00B96536">
        <w:rPr>
          <w:rFonts w:eastAsiaTheme="majorEastAsia"/>
          <w:sz w:val="24"/>
          <w:szCs w:val="24"/>
        </w:rPr>
        <w:tab/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>Frequency                                                                                      Hz</w:t>
      </w:r>
      <w:r w:rsidRPr="00B96536">
        <w:rPr>
          <w:rFonts w:ascii="Times New Roman" w:eastAsiaTheme="majorEastAsia" w:hAnsi="Times New Roman" w:cs="Times New Roman"/>
          <w:sz w:val="24"/>
          <w:szCs w:val="24"/>
        </w:rPr>
        <w:tab/>
      </w:r>
    </w:p>
    <w:sectPr w:rsidR="00755780" w:rsidRPr="00CC2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liverR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DF"/>
    <w:rsid w:val="00755780"/>
    <w:rsid w:val="00CC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17DE5"/>
  <w15:chartTrackingRefBased/>
  <w15:docId w15:val="{6FDA51FD-83B0-4CA8-A9F7-E3CB72CD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DDF"/>
    <w:pPr>
      <w:spacing w:after="200" w:line="276" w:lineRule="auto"/>
    </w:pPr>
    <w:rPr>
      <w:lang w:val="en-GB"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353</Words>
  <Characters>2013</Characters>
  <Application>Microsoft Office Word</Application>
  <DocSecurity>0</DocSecurity>
  <Lines>16</Lines>
  <Paragraphs>4</Paragraphs>
  <ScaleCrop>false</ScaleCrop>
  <Company>Springer Nature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2022-12-05T05:46:00Z</dcterms:created>
  <dcterms:modified xsi:type="dcterms:W3CDTF">2022-12-05T05:46:00Z</dcterms:modified>
</cp:coreProperties>
</file>