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Default Extension="tiff" ContentType="image/tiff"/>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2ECE9C08" w14:textId="77777777" w:rsidR="009B5C2C" w:rsidRPr="00D674C0" w:rsidRDefault="009B5C2C" w:rsidP="009B5C2C">
      <w:pPr>
        <w:pStyle w:val="BodyText"/>
        <w:spacing w:before="0" w:after="0" w:line="360" w:lineRule="auto"/>
        <w:jc w:val="left"/>
        <w:rPr>
          <w:rFonts w:ascii="Cambria" w:hAnsi="Cambria"/>
          <w:b/>
          <w:color w:val="0070C0"/>
          <w:sz w:val="28"/>
          <w:szCs w:val="28"/>
        </w:rPr>
      </w:pPr>
      <w:r w:rsidRPr="00D674C0">
        <w:rPr>
          <w:rFonts w:ascii="Cambria" w:hAnsi="Cambria"/>
          <w:b/>
          <w:color w:val="0070C0"/>
          <w:sz w:val="28"/>
          <w:szCs w:val="28"/>
        </w:rPr>
        <w:t>Electronic Supplementary Material</w:t>
      </w:r>
    </w:p>
    <w:p w14:paraId="2AF4C611" w14:textId="77777777" w:rsidR="009B5C2C" w:rsidRPr="00D674C0" w:rsidRDefault="009B5C2C" w:rsidP="009B5C2C">
      <w:pPr>
        <w:spacing w:after="0" w:line="360" w:lineRule="auto"/>
        <w:rPr>
          <w:rFonts w:ascii="Cambria" w:hAnsi="Cambria"/>
          <w:b/>
          <w:lang w:val="en-US"/>
        </w:rPr>
      </w:pPr>
      <w:r w:rsidRPr="00D674C0">
        <w:rPr>
          <w:rFonts w:ascii="Cambria" w:hAnsi="Cambria"/>
          <w:b/>
          <w:lang w:val="en-US"/>
        </w:rPr>
        <w:t xml:space="preserve">Loss of function </w:t>
      </w:r>
      <w:r w:rsidRPr="00D674C0">
        <w:rPr>
          <w:rFonts w:ascii="Cambria" w:hAnsi="Cambria"/>
          <w:b/>
          <w:i/>
          <w:lang w:val="en-US"/>
        </w:rPr>
        <w:t>ABCG2 c.421C&gt;A</w:t>
      </w:r>
      <w:r w:rsidRPr="00D674C0">
        <w:rPr>
          <w:rFonts w:ascii="Cambria" w:hAnsi="Cambria"/>
          <w:b/>
          <w:lang w:val="en-US"/>
        </w:rPr>
        <w:t xml:space="preserve"> (rs2231142) polymorphism increases steady-state exposure to mycophenolic acid in stable renal transplant recipients: exploratory matched cohort study</w:t>
      </w:r>
    </w:p>
    <w:p w14:paraId="4EED92A8" w14:textId="77777777" w:rsidR="009B5C2C" w:rsidRPr="00D674C0" w:rsidRDefault="009B5C2C" w:rsidP="009B5C2C">
      <w:pPr>
        <w:spacing w:after="0" w:line="360" w:lineRule="auto"/>
        <w:rPr>
          <w:rFonts w:ascii="Cambria" w:hAnsi="Cambria"/>
          <w:vertAlign w:val="superscript"/>
          <w:lang w:val="en-US"/>
        </w:rPr>
      </w:pPr>
      <w:r w:rsidRPr="00D674C0">
        <w:rPr>
          <w:rFonts w:ascii="Cambria" w:hAnsi="Cambria"/>
          <w:lang w:val="en-US"/>
        </w:rPr>
        <w:t>Borić Bilušić A</w:t>
      </w:r>
      <w:r w:rsidRPr="00D674C0">
        <w:rPr>
          <w:rFonts w:ascii="Cambria" w:hAnsi="Cambria"/>
          <w:vertAlign w:val="superscript"/>
          <w:lang w:val="en-US"/>
        </w:rPr>
        <w:t>1</w:t>
      </w:r>
      <w:r w:rsidRPr="00D674C0">
        <w:rPr>
          <w:rFonts w:ascii="Cambria" w:hAnsi="Cambria"/>
          <w:lang w:val="en-US"/>
        </w:rPr>
        <w:t>, Božina N</w:t>
      </w:r>
      <w:r w:rsidRPr="00D674C0">
        <w:rPr>
          <w:rFonts w:ascii="Cambria" w:hAnsi="Cambria"/>
          <w:vertAlign w:val="superscript"/>
          <w:lang w:val="en-US"/>
        </w:rPr>
        <w:t>2</w:t>
      </w:r>
      <w:r w:rsidRPr="00D674C0">
        <w:rPr>
          <w:rFonts w:ascii="Cambria" w:hAnsi="Cambria"/>
          <w:lang w:val="en-US"/>
        </w:rPr>
        <w:t xml:space="preserve">, </w:t>
      </w:r>
      <w:proofErr w:type="spellStart"/>
      <w:r w:rsidRPr="00D674C0">
        <w:rPr>
          <w:rFonts w:ascii="Cambria" w:hAnsi="Cambria"/>
          <w:lang w:val="en-US"/>
        </w:rPr>
        <w:t>Lalić</w:t>
      </w:r>
      <w:proofErr w:type="spellEnd"/>
      <w:r w:rsidRPr="00D674C0">
        <w:rPr>
          <w:rFonts w:ascii="Cambria" w:hAnsi="Cambria"/>
          <w:lang w:val="en-US"/>
        </w:rPr>
        <w:t xml:space="preserve"> Z</w:t>
      </w:r>
      <w:r w:rsidRPr="00D674C0">
        <w:rPr>
          <w:rFonts w:ascii="Cambria" w:hAnsi="Cambria"/>
          <w:vertAlign w:val="superscript"/>
          <w:lang w:val="en-US"/>
        </w:rPr>
        <w:t>3</w:t>
      </w:r>
      <w:r w:rsidRPr="00D674C0">
        <w:rPr>
          <w:rFonts w:ascii="Cambria" w:hAnsi="Cambria"/>
          <w:lang w:val="en-US"/>
        </w:rPr>
        <w:t>, Lovrić M</w:t>
      </w:r>
      <w:r w:rsidRPr="00D674C0">
        <w:rPr>
          <w:rFonts w:ascii="Cambria" w:hAnsi="Cambria"/>
          <w:vertAlign w:val="superscript"/>
          <w:lang w:val="en-US"/>
        </w:rPr>
        <w:t>3</w:t>
      </w:r>
      <w:r w:rsidRPr="00D674C0">
        <w:rPr>
          <w:rFonts w:ascii="Cambria" w:hAnsi="Cambria"/>
          <w:lang w:val="en-US"/>
        </w:rPr>
        <w:t xml:space="preserve">, </w:t>
      </w:r>
      <w:proofErr w:type="spellStart"/>
      <w:r w:rsidRPr="00D674C0">
        <w:rPr>
          <w:rFonts w:ascii="Cambria" w:hAnsi="Cambria"/>
          <w:lang w:val="en-US"/>
        </w:rPr>
        <w:t>Nađ-Škegro</w:t>
      </w:r>
      <w:proofErr w:type="spellEnd"/>
      <w:r w:rsidRPr="00D674C0">
        <w:rPr>
          <w:rFonts w:ascii="Cambria" w:hAnsi="Cambria"/>
          <w:lang w:val="en-US"/>
        </w:rPr>
        <w:t xml:space="preserve"> S</w:t>
      </w:r>
      <w:r w:rsidRPr="00D674C0">
        <w:rPr>
          <w:rFonts w:ascii="Cambria" w:hAnsi="Cambria"/>
          <w:vertAlign w:val="superscript"/>
          <w:lang w:val="en-US"/>
        </w:rPr>
        <w:t>4</w:t>
      </w:r>
      <w:r w:rsidRPr="00D674C0">
        <w:rPr>
          <w:rFonts w:ascii="Cambria" w:hAnsi="Cambria"/>
          <w:lang w:val="en-US"/>
        </w:rPr>
        <w:t xml:space="preserve">, </w:t>
      </w:r>
      <w:proofErr w:type="spellStart"/>
      <w:r w:rsidRPr="00D674C0">
        <w:rPr>
          <w:rFonts w:ascii="Cambria" w:hAnsi="Cambria"/>
          <w:lang w:val="en-US"/>
        </w:rPr>
        <w:t>Penezić</w:t>
      </w:r>
      <w:proofErr w:type="spellEnd"/>
      <w:r w:rsidRPr="00D674C0">
        <w:rPr>
          <w:rFonts w:ascii="Cambria" w:hAnsi="Cambria"/>
          <w:lang w:val="en-US"/>
        </w:rPr>
        <w:t xml:space="preserve"> L</w:t>
      </w:r>
      <w:r w:rsidRPr="00D674C0">
        <w:rPr>
          <w:rFonts w:ascii="Cambria" w:hAnsi="Cambria"/>
          <w:vertAlign w:val="superscript"/>
          <w:lang w:val="en-US"/>
        </w:rPr>
        <w:t>4</w:t>
      </w:r>
      <w:r w:rsidRPr="00D674C0">
        <w:rPr>
          <w:rFonts w:ascii="Cambria" w:hAnsi="Cambria"/>
          <w:lang w:val="en-US"/>
        </w:rPr>
        <w:t xml:space="preserve">, </w:t>
      </w:r>
      <w:proofErr w:type="spellStart"/>
      <w:r w:rsidRPr="00D674C0">
        <w:rPr>
          <w:rFonts w:ascii="Cambria" w:hAnsi="Cambria"/>
          <w:lang w:val="en-US"/>
        </w:rPr>
        <w:t>Barišić</w:t>
      </w:r>
      <w:proofErr w:type="spellEnd"/>
      <w:r w:rsidRPr="00D674C0">
        <w:rPr>
          <w:rFonts w:ascii="Cambria" w:hAnsi="Cambria"/>
          <w:lang w:val="en-US"/>
        </w:rPr>
        <w:t xml:space="preserve"> K</w:t>
      </w:r>
      <w:r w:rsidRPr="00D674C0">
        <w:rPr>
          <w:rFonts w:ascii="Cambria" w:hAnsi="Cambria"/>
          <w:vertAlign w:val="superscript"/>
          <w:lang w:val="en-US"/>
        </w:rPr>
        <w:t>5</w:t>
      </w:r>
      <w:r w:rsidRPr="00D674C0">
        <w:rPr>
          <w:rFonts w:ascii="Cambria" w:hAnsi="Cambria"/>
          <w:lang w:val="en-US"/>
        </w:rPr>
        <w:t>, Trkulja V</w:t>
      </w:r>
      <w:r w:rsidRPr="00D674C0">
        <w:rPr>
          <w:rFonts w:ascii="Cambria" w:hAnsi="Cambria"/>
          <w:vertAlign w:val="superscript"/>
          <w:lang w:val="en-US"/>
        </w:rPr>
        <w:t>2</w:t>
      </w:r>
    </w:p>
    <w:p w14:paraId="1AB59F03" w14:textId="12570204" w:rsidR="009B5C2C" w:rsidRPr="00D674C0" w:rsidRDefault="009B5C2C" w:rsidP="009B5C2C">
      <w:pPr>
        <w:pStyle w:val="BodyText"/>
        <w:spacing w:before="0" w:after="0" w:line="360" w:lineRule="auto"/>
        <w:rPr>
          <w:rFonts w:ascii="Cambria" w:hAnsi="Cambria"/>
        </w:rPr>
      </w:pPr>
    </w:p>
    <w:p w14:paraId="2EF50EBA" w14:textId="77777777" w:rsidR="00D674C0" w:rsidRPr="00D674C0" w:rsidRDefault="00D674C0" w:rsidP="009B5C2C">
      <w:pPr>
        <w:pStyle w:val="BodyText"/>
        <w:spacing w:before="0" w:after="0" w:line="360" w:lineRule="auto"/>
        <w:rPr>
          <w:rFonts w:ascii="Cambria" w:hAnsi="Cambria"/>
        </w:rPr>
      </w:pPr>
    </w:p>
    <w:p w14:paraId="3429C731" w14:textId="77777777" w:rsidR="009B5C2C" w:rsidRPr="00D674C0" w:rsidRDefault="009B5C2C" w:rsidP="009B5C2C">
      <w:pPr>
        <w:autoSpaceDE w:val="0"/>
        <w:autoSpaceDN w:val="0"/>
        <w:adjustRightInd w:val="0"/>
        <w:spacing w:after="0" w:line="360" w:lineRule="auto"/>
        <w:rPr>
          <w:rFonts w:ascii="Cambria" w:hAnsi="Cambria" w:cs="WylvwlAdvTT3713a231"/>
          <w:color w:val="131413"/>
          <w:lang w:val="en-US"/>
        </w:rPr>
      </w:pPr>
      <w:r w:rsidRPr="00D674C0">
        <w:rPr>
          <w:rFonts w:ascii="Cambria" w:hAnsi="Cambria" w:cs="WylvwlAdvTT3713a231"/>
          <w:color w:val="131413"/>
          <w:vertAlign w:val="superscript"/>
          <w:lang w:val="en-US"/>
        </w:rPr>
        <w:t>1</w:t>
      </w:r>
      <w:r w:rsidRPr="00D674C0">
        <w:rPr>
          <w:rFonts w:ascii="Cambria" w:hAnsi="Cambria" w:cs="WylvwlAdvTT3713a231"/>
          <w:color w:val="131413"/>
          <w:lang w:val="en-US"/>
        </w:rPr>
        <w:t xml:space="preserve">Agency for Medicinal Products and Medical Devices of </w:t>
      </w:r>
      <w:proofErr w:type="spellStart"/>
      <w:r w:rsidRPr="00D674C0">
        <w:rPr>
          <w:rFonts w:ascii="Cambria" w:hAnsi="Cambria" w:cs="WylvwlAdvTT3713a231"/>
          <w:color w:val="131413"/>
          <w:lang w:val="en-US"/>
        </w:rPr>
        <w:t>Croatia</w:t>
      </w:r>
      <w:proofErr w:type="gramStart"/>
      <w:r w:rsidRPr="00D674C0">
        <w:rPr>
          <w:rFonts w:ascii="Cambria" w:hAnsi="Cambria" w:cs="WylvwlAdvTT3713a231"/>
          <w:color w:val="131413"/>
          <w:lang w:val="en-US"/>
        </w:rPr>
        <w:t>,Zagreb</w:t>
      </w:r>
      <w:proofErr w:type="spellEnd"/>
      <w:proofErr w:type="gramEnd"/>
      <w:r w:rsidRPr="00D674C0">
        <w:rPr>
          <w:rFonts w:ascii="Cambria" w:hAnsi="Cambria" w:cs="WylvwlAdvTT3713a231"/>
          <w:color w:val="131413"/>
          <w:lang w:val="en-US"/>
        </w:rPr>
        <w:t>, Croatia</w:t>
      </w:r>
    </w:p>
    <w:p w14:paraId="41CB6A0F" w14:textId="77777777" w:rsidR="009B5C2C" w:rsidRPr="00D674C0" w:rsidRDefault="009B5C2C" w:rsidP="009B5C2C">
      <w:pPr>
        <w:autoSpaceDE w:val="0"/>
        <w:autoSpaceDN w:val="0"/>
        <w:adjustRightInd w:val="0"/>
        <w:spacing w:after="0" w:line="360" w:lineRule="auto"/>
        <w:rPr>
          <w:rFonts w:ascii="Cambria" w:hAnsi="Cambria" w:cs="WylvwlAdvTT3713a231"/>
          <w:color w:val="131413"/>
          <w:lang w:val="en-US"/>
        </w:rPr>
      </w:pPr>
      <w:r w:rsidRPr="00D674C0">
        <w:rPr>
          <w:rFonts w:ascii="Cambria" w:hAnsi="Cambria" w:cs="WylvwlAdvTT3713a231"/>
          <w:color w:val="131413"/>
          <w:vertAlign w:val="superscript"/>
          <w:lang w:val="en-US"/>
        </w:rPr>
        <w:t xml:space="preserve">2 </w:t>
      </w:r>
      <w:r w:rsidRPr="00D674C0">
        <w:rPr>
          <w:rFonts w:ascii="Cambria" w:hAnsi="Cambria" w:cs="WylvwlAdvTT3713a231"/>
          <w:color w:val="131413"/>
          <w:lang w:val="en-US"/>
        </w:rPr>
        <w:t>Department of Pharmacology, Zagreb University School of</w:t>
      </w:r>
    </w:p>
    <w:p w14:paraId="33B09153" w14:textId="77777777" w:rsidR="009B5C2C" w:rsidRPr="00D674C0" w:rsidRDefault="009B5C2C" w:rsidP="009B5C2C">
      <w:pPr>
        <w:autoSpaceDE w:val="0"/>
        <w:autoSpaceDN w:val="0"/>
        <w:adjustRightInd w:val="0"/>
        <w:spacing w:after="0" w:line="360" w:lineRule="auto"/>
        <w:rPr>
          <w:rFonts w:ascii="Cambria" w:hAnsi="Cambria" w:cs="WylvwlAdvTT3713a231"/>
          <w:color w:val="131413"/>
          <w:lang w:val="en-US"/>
        </w:rPr>
      </w:pPr>
      <w:r w:rsidRPr="00D674C0">
        <w:rPr>
          <w:rFonts w:ascii="Cambria" w:hAnsi="Cambria" w:cs="WylvwlAdvTT3713a231"/>
          <w:color w:val="131413"/>
          <w:lang w:val="en-US"/>
        </w:rPr>
        <w:t>Medicine, Zagreb, Croatia</w:t>
      </w:r>
    </w:p>
    <w:p w14:paraId="17C3E8C2" w14:textId="77777777" w:rsidR="009B5C2C" w:rsidRPr="00D674C0" w:rsidRDefault="009B5C2C" w:rsidP="009B5C2C">
      <w:pPr>
        <w:autoSpaceDE w:val="0"/>
        <w:autoSpaceDN w:val="0"/>
        <w:adjustRightInd w:val="0"/>
        <w:spacing w:after="0" w:line="360" w:lineRule="auto"/>
        <w:rPr>
          <w:rFonts w:ascii="Cambria" w:hAnsi="Cambria" w:cs="WylvwlAdvTT3713a231"/>
          <w:color w:val="131413"/>
          <w:lang w:val="en-US"/>
        </w:rPr>
      </w:pPr>
      <w:r w:rsidRPr="00D674C0">
        <w:rPr>
          <w:rFonts w:ascii="Cambria" w:hAnsi="Cambria" w:cs="WylvwlAdvTT3713a231"/>
          <w:color w:val="131413"/>
          <w:vertAlign w:val="superscript"/>
          <w:lang w:val="en-US"/>
        </w:rPr>
        <w:t xml:space="preserve">3 </w:t>
      </w:r>
      <w:r w:rsidRPr="00D674C0">
        <w:rPr>
          <w:rFonts w:ascii="Cambria" w:hAnsi="Cambria" w:cs="WylvwlAdvTT3713a231"/>
          <w:color w:val="131413"/>
          <w:lang w:val="en-US"/>
        </w:rPr>
        <w:t>Department of Laboratory Diagnostics, Analytical Toxicology and</w:t>
      </w:r>
    </w:p>
    <w:p w14:paraId="51C51884" w14:textId="77777777" w:rsidR="009B5C2C" w:rsidRPr="00D674C0" w:rsidRDefault="009B5C2C" w:rsidP="009B5C2C">
      <w:pPr>
        <w:autoSpaceDE w:val="0"/>
        <w:autoSpaceDN w:val="0"/>
        <w:adjustRightInd w:val="0"/>
        <w:spacing w:after="0" w:line="360" w:lineRule="auto"/>
        <w:rPr>
          <w:rFonts w:ascii="Cambria" w:hAnsi="Cambria" w:cs="WylvwlAdvTT3713a231"/>
          <w:color w:val="131413"/>
          <w:lang w:val="en-US"/>
        </w:rPr>
      </w:pPr>
      <w:r w:rsidRPr="00D674C0">
        <w:rPr>
          <w:rFonts w:ascii="Cambria" w:hAnsi="Cambria" w:cs="WylvwlAdvTT3713a231"/>
          <w:color w:val="131413"/>
          <w:lang w:val="en-US"/>
        </w:rPr>
        <w:t>Pharmacology Division, University Hospital Center Zagreb, Zagreb, Croatia</w:t>
      </w:r>
    </w:p>
    <w:p w14:paraId="114A6915" w14:textId="77777777" w:rsidR="009B5C2C" w:rsidRPr="00D674C0" w:rsidRDefault="009B5C2C" w:rsidP="009B5C2C">
      <w:pPr>
        <w:autoSpaceDE w:val="0"/>
        <w:autoSpaceDN w:val="0"/>
        <w:adjustRightInd w:val="0"/>
        <w:spacing w:after="0" w:line="360" w:lineRule="auto"/>
        <w:rPr>
          <w:rFonts w:ascii="Cambria" w:hAnsi="Cambria" w:cs="WylvwlAdvTT3713a231"/>
          <w:color w:val="131413"/>
          <w:lang w:val="en-US"/>
        </w:rPr>
      </w:pPr>
      <w:r w:rsidRPr="00D674C0">
        <w:rPr>
          <w:rFonts w:ascii="Cambria" w:hAnsi="Cambria" w:cs="WylvwlAdvTT3713a231"/>
          <w:color w:val="131413"/>
          <w:vertAlign w:val="superscript"/>
          <w:lang w:val="en-US"/>
        </w:rPr>
        <w:t>4</w:t>
      </w:r>
      <w:r w:rsidRPr="00D674C0">
        <w:rPr>
          <w:rFonts w:ascii="Cambria" w:hAnsi="Cambria" w:cs="WylvwlAdvTT3713a231"/>
          <w:color w:val="131413"/>
          <w:lang w:val="en-US"/>
        </w:rPr>
        <w:t xml:space="preserve"> Department of Urology, University Hospital Center Zagreb, Zagreb, Croatia</w:t>
      </w:r>
    </w:p>
    <w:p w14:paraId="6EADF808" w14:textId="77777777" w:rsidR="009B5C2C" w:rsidRPr="00D674C0" w:rsidRDefault="009B5C2C" w:rsidP="009B5C2C">
      <w:pPr>
        <w:autoSpaceDE w:val="0"/>
        <w:autoSpaceDN w:val="0"/>
        <w:adjustRightInd w:val="0"/>
        <w:spacing w:after="0" w:line="360" w:lineRule="auto"/>
        <w:rPr>
          <w:rFonts w:ascii="Cambria" w:hAnsi="Cambria" w:cs="WylvwlAdvTT3713a231"/>
          <w:color w:val="131413"/>
          <w:lang w:val="en-US"/>
        </w:rPr>
      </w:pPr>
      <w:proofErr w:type="gramStart"/>
      <w:r w:rsidRPr="00D674C0">
        <w:rPr>
          <w:rFonts w:ascii="Cambria" w:hAnsi="Cambria" w:cs="WylvwlAdvTT3713a231"/>
          <w:color w:val="131413"/>
          <w:vertAlign w:val="superscript"/>
          <w:lang w:val="en-US"/>
        </w:rPr>
        <w:t>5</w:t>
      </w:r>
      <w:proofErr w:type="gramEnd"/>
      <w:r w:rsidRPr="00D674C0">
        <w:rPr>
          <w:rFonts w:ascii="Cambria" w:hAnsi="Cambria" w:cs="WylvwlAdvTT3713a231"/>
          <w:color w:val="131413"/>
          <w:vertAlign w:val="superscript"/>
          <w:lang w:val="en-US"/>
        </w:rPr>
        <w:t xml:space="preserve"> </w:t>
      </w:r>
      <w:r w:rsidRPr="00D674C0">
        <w:rPr>
          <w:rFonts w:ascii="Cambria" w:hAnsi="Cambria" w:cs="Segoe UI"/>
          <w:color w:val="212121"/>
          <w:shd w:val="clear" w:color="auto" w:fill="FFFFFF"/>
          <w:lang w:val="en-US"/>
        </w:rPr>
        <w:t>Department of Medical Biochemistry and Hematology, Faculty of Pharmacy and Biochemistry, Zagreb University, Zagreb, Croatia.</w:t>
      </w:r>
    </w:p>
    <w:p w14:paraId="367D930F" w14:textId="25D82A1A" w:rsidR="009B5C2C" w:rsidRPr="00D674C0" w:rsidRDefault="009B5C2C" w:rsidP="009B5C2C">
      <w:pPr>
        <w:spacing w:after="0" w:line="360" w:lineRule="auto"/>
        <w:rPr>
          <w:rFonts w:ascii="Cambria" w:hAnsi="Cambria"/>
          <w:lang w:val="en-US"/>
        </w:rPr>
      </w:pPr>
    </w:p>
    <w:p w14:paraId="70D3E6D5" w14:textId="77777777" w:rsidR="00D674C0" w:rsidRPr="00D674C0" w:rsidRDefault="00D674C0" w:rsidP="009B5C2C">
      <w:pPr>
        <w:spacing w:after="0" w:line="360" w:lineRule="auto"/>
        <w:rPr>
          <w:rFonts w:ascii="Cambria" w:hAnsi="Cambria"/>
          <w:lang w:val="en-US"/>
        </w:rPr>
      </w:pPr>
    </w:p>
    <w:p w14:paraId="69E87E01" w14:textId="3BDD5E75" w:rsidR="009B5C2C" w:rsidRPr="00D674C0" w:rsidRDefault="009B5C2C" w:rsidP="009B5C2C">
      <w:pPr>
        <w:spacing w:after="0" w:line="360" w:lineRule="auto"/>
        <w:rPr>
          <w:rFonts w:ascii="Cambria" w:hAnsi="Cambria"/>
          <w:lang w:val="en-US"/>
        </w:rPr>
      </w:pPr>
      <w:r w:rsidRPr="00D674C0">
        <w:rPr>
          <w:rFonts w:ascii="Cambria" w:hAnsi="Cambria"/>
          <w:lang w:val="en-US"/>
        </w:rPr>
        <w:t>Corresponding author:</w:t>
      </w:r>
      <w:r w:rsidRPr="00D674C0">
        <w:rPr>
          <w:rFonts w:ascii="Cambria" w:hAnsi="Cambria"/>
          <w:lang w:val="en-US"/>
        </w:rPr>
        <w:tab/>
        <w:t>Vladimir Trkulja</w:t>
      </w:r>
    </w:p>
    <w:p w14:paraId="1736C994" w14:textId="77777777" w:rsidR="009B5C2C" w:rsidRPr="00D674C0" w:rsidRDefault="009B5C2C" w:rsidP="009B5C2C">
      <w:pPr>
        <w:spacing w:after="0" w:line="360" w:lineRule="auto"/>
        <w:rPr>
          <w:rFonts w:ascii="Cambria" w:hAnsi="Cambria"/>
          <w:lang w:val="en-US"/>
        </w:rPr>
      </w:pPr>
      <w:r w:rsidRPr="00D674C0">
        <w:rPr>
          <w:rFonts w:ascii="Cambria" w:hAnsi="Cambria"/>
          <w:lang w:val="en-US"/>
        </w:rPr>
        <w:tab/>
      </w:r>
      <w:r w:rsidRPr="00D674C0">
        <w:rPr>
          <w:rFonts w:ascii="Cambria" w:hAnsi="Cambria"/>
          <w:lang w:val="en-US"/>
        </w:rPr>
        <w:tab/>
      </w:r>
      <w:r w:rsidRPr="00D674C0">
        <w:rPr>
          <w:rFonts w:ascii="Cambria" w:hAnsi="Cambria"/>
          <w:lang w:val="en-US"/>
        </w:rPr>
        <w:tab/>
      </w:r>
      <w:r w:rsidRPr="00D674C0">
        <w:rPr>
          <w:rFonts w:ascii="Cambria" w:hAnsi="Cambria"/>
          <w:lang w:val="en-US"/>
        </w:rPr>
        <w:tab/>
        <w:t>Department of Pharmacology</w:t>
      </w:r>
    </w:p>
    <w:p w14:paraId="2BDFE4BF" w14:textId="77777777" w:rsidR="009B5C2C" w:rsidRPr="00D674C0" w:rsidRDefault="009B5C2C" w:rsidP="009B5C2C">
      <w:pPr>
        <w:spacing w:after="0" w:line="360" w:lineRule="auto"/>
        <w:rPr>
          <w:rFonts w:ascii="Cambria" w:hAnsi="Cambria"/>
          <w:lang w:val="en-US"/>
        </w:rPr>
      </w:pPr>
      <w:r w:rsidRPr="00D674C0">
        <w:rPr>
          <w:rFonts w:ascii="Cambria" w:hAnsi="Cambria"/>
          <w:lang w:val="en-US"/>
        </w:rPr>
        <w:tab/>
      </w:r>
      <w:r w:rsidRPr="00D674C0">
        <w:rPr>
          <w:rFonts w:ascii="Cambria" w:hAnsi="Cambria"/>
          <w:lang w:val="en-US"/>
        </w:rPr>
        <w:tab/>
      </w:r>
      <w:r w:rsidRPr="00D674C0">
        <w:rPr>
          <w:rFonts w:ascii="Cambria" w:hAnsi="Cambria"/>
          <w:lang w:val="en-US"/>
        </w:rPr>
        <w:tab/>
      </w:r>
      <w:r w:rsidRPr="00D674C0">
        <w:rPr>
          <w:rFonts w:ascii="Cambria" w:hAnsi="Cambria"/>
          <w:lang w:val="en-US"/>
        </w:rPr>
        <w:tab/>
        <w:t>Zagreb University School of Medicine</w:t>
      </w:r>
    </w:p>
    <w:p w14:paraId="47572CC8" w14:textId="77777777" w:rsidR="009B5C2C" w:rsidRPr="00D674C0" w:rsidRDefault="009B5C2C" w:rsidP="009B5C2C">
      <w:pPr>
        <w:spacing w:after="0" w:line="360" w:lineRule="auto"/>
        <w:rPr>
          <w:rFonts w:ascii="Cambria" w:hAnsi="Cambria"/>
          <w:lang w:val="en-US"/>
        </w:rPr>
      </w:pPr>
      <w:r w:rsidRPr="00D674C0">
        <w:rPr>
          <w:rFonts w:ascii="Cambria" w:hAnsi="Cambria"/>
          <w:lang w:val="en-US"/>
        </w:rPr>
        <w:tab/>
      </w:r>
      <w:r w:rsidRPr="00D674C0">
        <w:rPr>
          <w:rFonts w:ascii="Cambria" w:hAnsi="Cambria"/>
          <w:lang w:val="en-US"/>
        </w:rPr>
        <w:tab/>
      </w:r>
      <w:r w:rsidRPr="00D674C0">
        <w:rPr>
          <w:rFonts w:ascii="Cambria" w:hAnsi="Cambria"/>
          <w:lang w:val="en-US"/>
        </w:rPr>
        <w:tab/>
      </w:r>
      <w:r w:rsidRPr="00D674C0">
        <w:rPr>
          <w:rFonts w:ascii="Cambria" w:hAnsi="Cambria"/>
          <w:lang w:val="en-US"/>
        </w:rPr>
        <w:tab/>
      </w:r>
      <w:proofErr w:type="spellStart"/>
      <w:r w:rsidRPr="00D674C0">
        <w:rPr>
          <w:rFonts w:ascii="Cambria" w:hAnsi="Cambria"/>
          <w:lang w:val="en-US"/>
        </w:rPr>
        <w:t>Šalata</w:t>
      </w:r>
      <w:proofErr w:type="spellEnd"/>
      <w:r w:rsidRPr="00D674C0">
        <w:rPr>
          <w:rFonts w:ascii="Cambria" w:hAnsi="Cambria"/>
          <w:lang w:val="en-US"/>
        </w:rPr>
        <w:t xml:space="preserve"> 11, 10000 Zagreb, Croatia</w:t>
      </w:r>
    </w:p>
    <w:p w14:paraId="765DD3BD" w14:textId="77777777" w:rsidR="009B5C2C" w:rsidRPr="00D674C0" w:rsidRDefault="009B5C2C" w:rsidP="009B5C2C">
      <w:pPr>
        <w:spacing w:after="0" w:line="360" w:lineRule="auto"/>
        <w:rPr>
          <w:rFonts w:ascii="Cambria" w:hAnsi="Cambria"/>
          <w:lang w:val="en-US"/>
        </w:rPr>
      </w:pPr>
      <w:r w:rsidRPr="00D674C0">
        <w:rPr>
          <w:rFonts w:ascii="Cambria" w:hAnsi="Cambria"/>
          <w:lang w:val="en-US"/>
        </w:rPr>
        <w:tab/>
      </w:r>
      <w:r w:rsidRPr="00D674C0">
        <w:rPr>
          <w:rFonts w:ascii="Cambria" w:hAnsi="Cambria"/>
          <w:lang w:val="en-US"/>
        </w:rPr>
        <w:tab/>
      </w:r>
      <w:r w:rsidRPr="00D674C0">
        <w:rPr>
          <w:rFonts w:ascii="Cambria" w:hAnsi="Cambria"/>
          <w:lang w:val="en-US"/>
        </w:rPr>
        <w:tab/>
      </w:r>
      <w:r w:rsidRPr="00D674C0">
        <w:rPr>
          <w:rFonts w:ascii="Cambria" w:hAnsi="Cambria"/>
          <w:lang w:val="en-US"/>
        </w:rPr>
        <w:tab/>
      </w:r>
      <w:proofErr w:type="gramStart"/>
      <w:r w:rsidRPr="00D674C0">
        <w:rPr>
          <w:rFonts w:ascii="Cambria" w:hAnsi="Cambria"/>
          <w:lang w:val="en-US"/>
        </w:rPr>
        <w:t>e-mail</w:t>
      </w:r>
      <w:proofErr w:type="gramEnd"/>
      <w:r w:rsidRPr="00D674C0">
        <w:rPr>
          <w:rFonts w:ascii="Cambria" w:hAnsi="Cambria"/>
          <w:lang w:val="en-US"/>
        </w:rPr>
        <w:t>: vladimir.trkulja@mef.hr</w:t>
      </w:r>
    </w:p>
    <w:p w14:paraId="41D6C3A1" w14:textId="30278682" w:rsidR="00A93CA1" w:rsidRPr="00D674C0" w:rsidRDefault="00A93CA1" w:rsidP="009B5C2C">
      <w:pPr>
        <w:pStyle w:val="BodyText"/>
        <w:spacing w:before="0" w:after="120" w:line="360" w:lineRule="auto"/>
        <w:jc w:val="left"/>
        <w:rPr>
          <w:rFonts w:ascii="Cambria" w:hAnsi="Cambria"/>
          <w:b/>
          <w:color w:val="000000" w:themeColor="text1"/>
          <w:sz w:val="24"/>
          <w:szCs w:val="24"/>
        </w:rPr>
      </w:pPr>
    </w:p>
    <w:p w14:paraId="776005AF" w14:textId="77777777" w:rsidR="00D674C0" w:rsidRPr="00D674C0" w:rsidRDefault="00D674C0" w:rsidP="009B5C2C">
      <w:pPr>
        <w:pStyle w:val="BodyText"/>
        <w:spacing w:before="0" w:after="120" w:line="360" w:lineRule="auto"/>
        <w:jc w:val="left"/>
        <w:rPr>
          <w:rFonts w:ascii="Cambria" w:hAnsi="Cambria"/>
          <w:b/>
          <w:color w:val="000000" w:themeColor="text1"/>
          <w:sz w:val="24"/>
          <w:szCs w:val="24"/>
        </w:rPr>
      </w:pPr>
    </w:p>
    <w:p w14:paraId="24484DC2" w14:textId="3C1D0F0A" w:rsidR="009B5C2C" w:rsidRPr="00D674C0" w:rsidRDefault="009B5C2C" w:rsidP="009B5C2C">
      <w:pPr>
        <w:pStyle w:val="BodyText"/>
        <w:spacing w:before="0" w:after="120" w:line="360" w:lineRule="auto"/>
        <w:jc w:val="left"/>
        <w:rPr>
          <w:rFonts w:ascii="Cambria" w:hAnsi="Cambria"/>
          <w:b/>
          <w:color w:val="000000" w:themeColor="text1"/>
          <w:sz w:val="24"/>
          <w:szCs w:val="24"/>
        </w:rPr>
      </w:pPr>
      <w:r w:rsidRPr="00D674C0">
        <w:rPr>
          <w:rFonts w:ascii="Cambria" w:hAnsi="Cambria"/>
          <w:b/>
          <w:color w:val="000000" w:themeColor="text1"/>
          <w:sz w:val="24"/>
          <w:szCs w:val="24"/>
        </w:rPr>
        <w:t>Content</w:t>
      </w:r>
    </w:p>
    <w:p w14:paraId="138A238C" w14:textId="19FD7172" w:rsidR="009B5C2C" w:rsidRPr="00D674C0" w:rsidRDefault="009B5C2C" w:rsidP="009B5C2C">
      <w:pPr>
        <w:pStyle w:val="BodyText"/>
        <w:spacing w:before="0" w:after="0" w:line="360" w:lineRule="auto"/>
        <w:jc w:val="left"/>
        <w:rPr>
          <w:rFonts w:ascii="Cambria" w:hAnsi="Cambria"/>
          <w:color w:val="000000" w:themeColor="text1"/>
        </w:rPr>
      </w:pPr>
      <w:r w:rsidRPr="00D674C0">
        <w:rPr>
          <w:rFonts w:ascii="Cambria" w:hAnsi="Cambria"/>
          <w:b/>
          <w:color w:val="00B0F0"/>
        </w:rPr>
        <w:t>Supplemental Methods</w:t>
      </w:r>
      <w:r w:rsidR="00A93CA1" w:rsidRPr="00D674C0">
        <w:rPr>
          <w:rFonts w:ascii="Cambria" w:hAnsi="Cambria"/>
          <w:b/>
          <w:color w:val="00B0F0"/>
        </w:rPr>
        <w:t xml:space="preserve"> A</w:t>
      </w:r>
      <w:r w:rsidR="00A93CA1" w:rsidRPr="00D674C0">
        <w:rPr>
          <w:rFonts w:ascii="Cambria" w:hAnsi="Cambria"/>
          <w:color w:val="00B0F0"/>
        </w:rPr>
        <w:t xml:space="preserve"> </w:t>
      </w:r>
      <w:r w:rsidR="00A93CA1" w:rsidRPr="00D674C0">
        <w:rPr>
          <w:rFonts w:ascii="Cambria" w:hAnsi="Cambria"/>
          <w:color w:val="000000" w:themeColor="text1"/>
        </w:rPr>
        <w:t>– Methods to achieve conditi</w:t>
      </w:r>
      <w:r w:rsidR="00E50E42">
        <w:rPr>
          <w:rFonts w:ascii="Cambria" w:hAnsi="Cambria"/>
          <w:color w:val="000000" w:themeColor="text1"/>
        </w:rPr>
        <w:t>onal exchangeability, Figure S1</w:t>
      </w:r>
    </w:p>
    <w:p w14:paraId="41569283" w14:textId="4A1FEE2D" w:rsidR="00A93CA1" w:rsidRPr="00D674C0" w:rsidRDefault="00A93CA1" w:rsidP="009B5C2C">
      <w:pPr>
        <w:pStyle w:val="BodyText"/>
        <w:spacing w:before="0" w:after="0" w:line="360" w:lineRule="auto"/>
        <w:jc w:val="left"/>
        <w:rPr>
          <w:rFonts w:ascii="Cambria" w:hAnsi="Cambria"/>
          <w:color w:val="000000" w:themeColor="text1"/>
        </w:rPr>
      </w:pPr>
      <w:r w:rsidRPr="00D674C0">
        <w:rPr>
          <w:rFonts w:ascii="Cambria" w:hAnsi="Cambria"/>
          <w:b/>
          <w:color w:val="00B0F0"/>
        </w:rPr>
        <w:t>Supplemental methods B</w:t>
      </w:r>
      <w:r w:rsidRPr="00D674C0">
        <w:rPr>
          <w:rFonts w:ascii="Cambria" w:hAnsi="Cambria"/>
          <w:color w:val="00B0F0"/>
        </w:rPr>
        <w:t xml:space="preserve"> </w:t>
      </w:r>
      <w:r w:rsidR="00E50E42">
        <w:rPr>
          <w:rFonts w:ascii="Cambria" w:hAnsi="Cambria"/>
          <w:color w:val="000000" w:themeColor="text1"/>
        </w:rPr>
        <w:t>– Matching</w:t>
      </w:r>
    </w:p>
    <w:p w14:paraId="71ADEFBC" w14:textId="11E8B7ED" w:rsidR="00A93CA1" w:rsidRDefault="00A93CA1" w:rsidP="009B5C2C">
      <w:pPr>
        <w:pStyle w:val="BodyText"/>
        <w:spacing w:before="0" w:after="0" w:line="360" w:lineRule="auto"/>
        <w:jc w:val="left"/>
        <w:rPr>
          <w:rFonts w:ascii="Cambria" w:hAnsi="Cambria"/>
          <w:color w:val="000000" w:themeColor="text1"/>
        </w:rPr>
      </w:pPr>
      <w:r w:rsidRPr="00D674C0">
        <w:rPr>
          <w:rFonts w:ascii="Cambria" w:hAnsi="Cambria"/>
          <w:b/>
          <w:color w:val="00B0F0"/>
        </w:rPr>
        <w:t>Supplemental methods C</w:t>
      </w:r>
      <w:r w:rsidRPr="00D674C0">
        <w:rPr>
          <w:rFonts w:ascii="Cambria" w:hAnsi="Cambria"/>
          <w:color w:val="00B0F0"/>
        </w:rPr>
        <w:t xml:space="preserve"> </w:t>
      </w:r>
      <w:r w:rsidRPr="00D674C0">
        <w:rPr>
          <w:rFonts w:ascii="Cambria" w:hAnsi="Cambria"/>
          <w:color w:val="000000" w:themeColor="text1"/>
        </w:rPr>
        <w:t>– Sensitivity to un</w:t>
      </w:r>
      <w:r w:rsidR="00E50E42">
        <w:rPr>
          <w:rFonts w:ascii="Cambria" w:hAnsi="Cambria"/>
          <w:color w:val="000000" w:themeColor="text1"/>
        </w:rPr>
        <w:t>measured confounding</w:t>
      </w:r>
    </w:p>
    <w:p w14:paraId="27E4B63F" w14:textId="724E201E" w:rsidR="00DC42C9" w:rsidRPr="00D674C0" w:rsidRDefault="00DC42C9" w:rsidP="009B5C2C">
      <w:pPr>
        <w:pStyle w:val="BodyText"/>
        <w:spacing w:before="0" w:after="0" w:line="360" w:lineRule="auto"/>
        <w:jc w:val="left"/>
        <w:rPr>
          <w:rFonts w:ascii="Cambria" w:hAnsi="Cambria"/>
          <w:color w:val="000000" w:themeColor="text1"/>
        </w:rPr>
      </w:pPr>
      <w:r w:rsidRPr="00DC42C9">
        <w:rPr>
          <w:rFonts w:ascii="Cambria" w:hAnsi="Cambria"/>
          <w:b/>
          <w:color w:val="00B0F0"/>
        </w:rPr>
        <w:t>Supplemental results</w:t>
      </w:r>
      <w:r w:rsidRPr="00DC42C9">
        <w:rPr>
          <w:rFonts w:ascii="Cambria" w:hAnsi="Cambria"/>
          <w:color w:val="00B0F0"/>
        </w:rPr>
        <w:t xml:space="preserve"> </w:t>
      </w:r>
      <w:r>
        <w:rPr>
          <w:rFonts w:ascii="Cambria" w:hAnsi="Cambria"/>
          <w:color w:val="000000" w:themeColor="text1"/>
        </w:rPr>
        <w:t xml:space="preserve">– </w:t>
      </w:r>
      <w:r w:rsidR="00BB57C2">
        <w:rPr>
          <w:rFonts w:ascii="Cambria" w:hAnsi="Cambria"/>
          <w:color w:val="000000" w:themeColor="text1"/>
        </w:rPr>
        <w:t>Sensitivity analysis (</w:t>
      </w:r>
      <w:r>
        <w:rPr>
          <w:rFonts w:ascii="Cambria" w:hAnsi="Cambria"/>
          <w:color w:val="000000" w:themeColor="text1"/>
        </w:rPr>
        <w:t>Figure</w:t>
      </w:r>
      <w:r w:rsidR="00BB57C2">
        <w:rPr>
          <w:rFonts w:ascii="Cambria" w:hAnsi="Cambria"/>
          <w:color w:val="000000" w:themeColor="text1"/>
        </w:rPr>
        <w:t>s</w:t>
      </w:r>
      <w:r>
        <w:rPr>
          <w:rFonts w:ascii="Cambria" w:hAnsi="Cambria"/>
          <w:color w:val="000000" w:themeColor="text1"/>
        </w:rPr>
        <w:t xml:space="preserve"> S2</w:t>
      </w:r>
      <w:r w:rsidR="00BB57C2">
        <w:rPr>
          <w:rFonts w:ascii="Cambria" w:hAnsi="Cambria"/>
          <w:color w:val="000000" w:themeColor="text1"/>
        </w:rPr>
        <w:t>-</w:t>
      </w:r>
      <w:r w:rsidR="00B22C13">
        <w:rPr>
          <w:rFonts w:ascii="Cambria" w:hAnsi="Cambria"/>
          <w:color w:val="000000" w:themeColor="text1"/>
        </w:rPr>
        <w:t>S4</w:t>
      </w:r>
      <w:r w:rsidR="00BB57C2">
        <w:rPr>
          <w:rFonts w:ascii="Cambria" w:hAnsi="Cambria"/>
          <w:color w:val="000000" w:themeColor="text1"/>
        </w:rPr>
        <w:t>, Table S1 and S2)</w:t>
      </w:r>
    </w:p>
    <w:p w14:paraId="019C734E" w14:textId="77777777" w:rsidR="00A93CA1" w:rsidRPr="00D674C0" w:rsidRDefault="00A93CA1" w:rsidP="009B5C2C">
      <w:pPr>
        <w:pStyle w:val="BodyText"/>
        <w:spacing w:before="0" w:after="0" w:line="360" w:lineRule="auto"/>
        <w:jc w:val="left"/>
        <w:rPr>
          <w:rFonts w:ascii="Cambria" w:hAnsi="Cambria"/>
          <w:color w:val="000000" w:themeColor="text1"/>
        </w:rPr>
      </w:pPr>
    </w:p>
    <w:p w14:paraId="40BE8F5D" w14:textId="4C238430" w:rsidR="009B5C2C" w:rsidRPr="00D674C0" w:rsidRDefault="009B5C2C" w:rsidP="009B5C2C">
      <w:pPr>
        <w:pStyle w:val="BodyText"/>
        <w:spacing w:before="0" w:after="0" w:line="360" w:lineRule="auto"/>
        <w:jc w:val="left"/>
        <w:rPr>
          <w:rFonts w:ascii="Cambria" w:hAnsi="Cambria"/>
          <w:color w:val="000000" w:themeColor="text1"/>
        </w:rPr>
      </w:pPr>
    </w:p>
    <w:p w14:paraId="0992FC6F" w14:textId="61A6FAE5" w:rsidR="00C9490A" w:rsidRPr="00D674C0" w:rsidRDefault="00C9490A" w:rsidP="009B5C2C">
      <w:pPr>
        <w:pStyle w:val="BodyText"/>
        <w:spacing w:before="0" w:after="0" w:line="360" w:lineRule="auto"/>
        <w:jc w:val="left"/>
        <w:rPr>
          <w:rFonts w:ascii="Cambria" w:hAnsi="Cambria"/>
          <w:color w:val="000000" w:themeColor="text1"/>
        </w:rPr>
      </w:pPr>
    </w:p>
    <w:p w14:paraId="5DF4129C" w14:textId="1F38BD59" w:rsidR="00C9490A" w:rsidRPr="00D674C0" w:rsidRDefault="00C9490A" w:rsidP="009B5C2C">
      <w:pPr>
        <w:pStyle w:val="BodyText"/>
        <w:spacing w:before="0" w:after="0" w:line="360" w:lineRule="auto"/>
        <w:jc w:val="left"/>
        <w:rPr>
          <w:rFonts w:ascii="Cambria" w:hAnsi="Cambria"/>
          <w:color w:val="000000" w:themeColor="text1"/>
        </w:rPr>
      </w:pPr>
    </w:p>
    <w:p w14:paraId="5EC4C4CA" w14:textId="0327591E" w:rsidR="00C9490A" w:rsidRPr="00D674C0" w:rsidRDefault="00C9490A" w:rsidP="009B5C2C">
      <w:pPr>
        <w:pStyle w:val="BodyText"/>
        <w:spacing w:before="0" w:after="0" w:line="360" w:lineRule="auto"/>
        <w:jc w:val="left"/>
        <w:rPr>
          <w:rFonts w:ascii="Cambria" w:hAnsi="Cambria"/>
          <w:color w:val="000000" w:themeColor="text1"/>
        </w:rPr>
      </w:pPr>
    </w:p>
    <w:p w14:paraId="17927D09" w14:textId="02F73ED9" w:rsidR="00C9490A" w:rsidRPr="00D674C0" w:rsidRDefault="00C9490A" w:rsidP="009B5C2C">
      <w:pPr>
        <w:pStyle w:val="BodyText"/>
        <w:spacing w:before="0" w:after="0" w:line="360" w:lineRule="auto"/>
        <w:jc w:val="left"/>
        <w:rPr>
          <w:rFonts w:ascii="Cambria" w:hAnsi="Cambria"/>
          <w:color w:val="000000" w:themeColor="text1"/>
        </w:rPr>
      </w:pPr>
    </w:p>
    <w:p w14:paraId="00D24B7E" w14:textId="374DBFA7" w:rsidR="00C9490A" w:rsidRPr="00D674C0" w:rsidRDefault="00C9490A" w:rsidP="00C9490A">
      <w:pPr>
        <w:pStyle w:val="BodyText"/>
        <w:spacing w:before="0" w:after="240" w:line="360" w:lineRule="auto"/>
        <w:jc w:val="left"/>
        <w:rPr>
          <w:rFonts w:ascii="Cambria" w:hAnsi="Cambria"/>
          <w:b/>
          <w:color w:val="000000" w:themeColor="text1"/>
          <w:sz w:val="24"/>
          <w:szCs w:val="24"/>
        </w:rPr>
      </w:pPr>
      <w:r w:rsidRPr="00D674C0">
        <w:rPr>
          <w:rFonts w:ascii="Cambria" w:hAnsi="Cambria"/>
          <w:b/>
          <w:color w:val="00B0F0"/>
          <w:sz w:val="24"/>
          <w:szCs w:val="24"/>
        </w:rPr>
        <w:lastRenderedPageBreak/>
        <w:t xml:space="preserve">Supplemental Methods A </w:t>
      </w:r>
      <w:r w:rsidRPr="00D674C0">
        <w:rPr>
          <w:rFonts w:ascii="Cambria" w:hAnsi="Cambria"/>
          <w:b/>
          <w:color w:val="000000" w:themeColor="text1"/>
          <w:sz w:val="24"/>
          <w:szCs w:val="24"/>
        </w:rPr>
        <w:t>– Methods to achieve conditional exchangeability</w:t>
      </w:r>
    </w:p>
    <w:p w14:paraId="0D0ECE42" w14:textId="01671D36" w:rsidR="00384749" w:rsidRPr="00D674C0" w:rsidRDefault="00EE2836" w:rsidP="00D674C0">
      <w:pPr>
        <w:pStyle w:val="BodyText"/>
        <w:spacing w:before="0" w:after="0" w:line="360" w:lineRule="auto"/>
        <w:jc w:val="left"/>
        <w:rPr>
          <w:rFonts w:ascii="Cambria" w:hAnsi="Cambria"/>
          <w:color w:val="000000" w:themeColor="text1"/>
        </w:rPr>
      </w:pPr>
      <w:r>
        <w:rPr>
          <w:rFonts w:ascii="Cambria" w:hAnsi="Cambria"/>
          <w:color w:val="000000" w:themeColor="text1"/>
        </w:rPr>
        <w:t xml:space="preserve">Currently, </w:t>
      </w:r>
      <w:r w:rsidR="006A5E72" w:rsidRPr="00D674C0">
        <w:rPr>
          <w:rFonts w:ascii="Cambria" w:hAnsi="Cambria"/>
          <w:color w:val="000000" w:themeColor="text1"/>
        </w:rPr>
        <w:t xml:space="preserve">ABCG2 </w:t>
      </w:r>
      <w:proofErr w:type="gramStart"/>
      <w:r w:rsidR="006A5E72" w:rsidRPr="00D674C0">
        <w:rPr>
          <w:rFonts w:ascii="Cambria" w:hAnsi="Cambria"/>
          <w:color w:val="000000" w:themeColor="text1"/>
        </w:rPr>
        <w:t>is not considered</w:t>
      </w:r>
      <w:proofErr w:type="gramEnd"/>
      <w:r w:rsidR="006A5E72" w:rsidRPr="00D674C0">
        <w:rPr>
          <w:rFonts w:ascii="Cambria" w:hAnsi="Cambria"/>
          <w:color w:val="000000" w:themeColor="text1"/>
        </w:rPr>
        <w:t xml:space="preserve"> in the context of MPA (or MPAG) pharmacokinetics [1] and there </w:t>
      </w:r>
      <w:r w:rsidR="00D11F40">
        <w:rPr>
          <w:rFonts w:ascii="Cambria" w:hAnsi="Cambria"/>
          <w:color w:val="000000" w:themeColor="text1"/>
        </w:rPr>
        <w:t>is</w:t>
      </w:r>
      <w:r w:rsidR="006A5E72" w:rsidRPr="00D674C0">
        <w:rPr>
          <w:rFonts w:ascii="Cambria" w:hAnsi="Cambria"/>
          <w:color w:val="000000" w:themeColor="text1"/>
        </w:rPr>
        <w:t xml:space="preserve"> no explicit evidence that either MPA or MPAG are ABCG2 substrates – but there is also no explicit evidence that they are not [2].</w:t>
      </w:r>
      <w:r w:rsidR="00384749" w:rsidRPr="00D674C0">
        <w:rPr>
          <w:rFonts w:ascii="Cambria" w:hAnsi="Cambria"/>
          <w:color w:val="000000" w:themeColor="text1"/>
        </w:rPr>
        <w:t xml:space="preserve"> </w:t>
      </w:r>
      <w:r w:rsidR="00EF401D">
        <w:rPr>
          <w:rFonts w:ascii="Cambria" w:hAnsi="Cambria"/>
          <w:color w:val="000000" w:themeColor="text1"/>
        </w:rPr>
        <w:t>W</w:t>
      </w:r>
      <w:r w:rsidR="00384749" w:rsidRPr="00D674C0">
        <w:rPr>
          <w:rFonts w:ascii="Cambria" w:hAnsi="Cambria"/>
          <w:color w:val="000000" w:themeColor="text1"/>
        </w:rPr>
        <w:t xml:space="preserve">e </w:t>
      </w:r>
      <w:r w:rsidR="00B96941" w:rsidRPr="00D674C0">
        <w:rPr>
          <w:rFonts w:ascii="Cambria" w:hAnsi="Cambria"/>
          <w:color w:val="000000" w:themeColor="text1"/>
        </w:rPr>
        <w:t xml:space="preserve">aimed to estimate effect of the </w:t>
      </w:r>
      <w:r w:rsidR="00B96941" w:rsidRPr="00D674C0">
        <w:rPr>
          <w:rFonts w:ascii="Cambria" w:hAnsi="Cambria"/>
          <w:i/>
          <w:color w:val="000000" w:themeColor="text1"/>
        </w:rPr>
        <w:t>ABCG2 c.421C&gt;A</w:t>
      </w:r>
      <w:r w:rsidR="00B96941" w:rsidRPr="00D674C0">
        <w:rPr>
          <w:rFonts w:ascii="Cambria" w:hAnsi="Cambria"/>
          <w:color w:val="000000" w:themeColor="text1"/>
        </w:rPr>
        <w:t xml:space="preserve"> (rs</w:t>
      </w:r>
      <w:r w:rsidR="00527461" w:rsidRPr="00D674C0">
        <w:rPr>
          <w:rFonts w:ascii="Cambria" w:hAnsi="Cambria"/>
          <w:color w:val="000000" w:themeColor="text1"/>
        </w:rPr>
        <w:t xml:space="preserve">2231142) SNP (results in reduced transporter numbers and function), i.e., of carrying a variant allele, on steady-state exposure </w:t>
      </w:r>
      <w:r w:rsidR="001C07DB">
        <w:rPr>
          <w:rFonts w:ascii="Cambria" w:hAnsi="Cambria"/>
          <w:color w:val="000000" w:themeColor="text1"/>
        </w:rPr>
        <w:t>to</w:t>
      </w:r>
      <w:r w:rsidR="00527461" w:rsidRPr="00D674C0">
        <w:rPr>
          <w:rFonts w:ascii="Cambria" w:hAnsi="Cambria"/>
          <w:color w:val="000000" w:themeColor="text1"/>
        </w:rPr>
        <w:t xml:space="preserve"> MPA. </w:t>
      </w:r>
      <w:r w:rsidR="00D549D3" w:rsidRPr="00D674C0">
        <w:rPr>
          <w:rFonts w:ascii="Cambria" w:hAnsi="Cambria"/>
          <w:color w:val="000000" w:themeColor="text1"/>
        </w:rPr>
        <w:t>As reviewed, studies (so far) have failed to detect association between</w:t>
      </w:r>
      <w:r w:rsidR="005A1AE9" w:rsidRPr="00D674C0">
        <w:rPr>
          <w:rFonts w:ascii="Cambria" w:hAnsi="Cambria"/>
          <w:color w:val="000000" w:themeColor="text1"/>
        </w:rPr>
        <w:t xml:space="preserve"> this SNP and exposure to MPA (as AUC</w:t>
      </w:r>
      <w:r w:rsidR="00EF401D" w:rsidRPr="00EF401D">
        <w:rPr>
          <w:rFonts w:ascii="Cambria" w:hAnsi="Cambria"/>
          <w:color w:val="000000" w:themeColor="text1"/>
          <w:vertAlign w:val="subscript"/>
        </w:rPr>
        <w:sym w:font="Symbol" w:char="F074"/>
      </w:r>
      <w:r w:rsidR="005A1AE9" w:rsidRPr="00D674C0">
        <w:rPr>
          <w:rFonts w:ascii="Cambria" w:hAnsi="Cambria"/>
          <w:color w:val="000000" w:themeColor="text1"/>
        </w:rPr>
        <w:t xml:space="preserve"> or as trough concentrations) [3]. However, in </w:t>
      </w:r>
      <w:r w:rsidR="00527461" w:rsidRPr="00D674C0">
        <w:rPr>
          <w:rFonts w:ascii="Cambria" w:hAnsi="Cambria"/>
          <w:color w:val="000000" w:themeColor="text1"/>
        </w:rPr>
        <w:t>one study in Japanese renal transplant recipients, variant carriers (n=44) had higher (adjusted for MMF dose; expressed per 1000 mg) MPAG AUC</w:t>
      </w:r>
      <w:r w:rsidR="00527461" w:rsidRPr="00D674C0">
        <w:rPr>
          <w:rFonts w:ascii="Cambria" w:hAnsi="Cambria"/>
          <w:color w:val="000000" w:themeColor="text1"/>
          <w:vertAlign w:val="subscript"/>
        </w:rPr>
        <w:t xml:space="preserve">0-12 </w:t>
      </w:r>
      <w:r w:rsidR="00527461" w:rsidRPr="00D674C0">
        <w:rPr>
          <w:rFonts w:ascii="Cambria" w:hAnsi="Cambria"/>
          <w:color w:val="000000" w:themeColor="text1"/>
        </w:rPr>
        <w:t xml:space="preserve">than 36 </w:t>
      </w:r>
      <w:proofErr w:type="spellStart"/>
      <w:r w:rsidR="00527461" w:rsidRPr="00D674C0">
        <w:rPr>
          <w:rFonts w:ascii="Cambria" w:hAnsi="Cambria"/>
          <w:color w:val="000000" w:themeColor="text1"/>
        </w:rPr>
        <w:t>wt</w:t>
      </w:r>
      <w:proofErr w:type="spellEnd"/>
      <w:r w:rsidR="00527461" w:rsidRPr="00D674C0">
        <w:rPr>
          <w:rFonts w:ascii="Cambria" w:hAnsi="Cambria"/>
          <w:color w:val="000000" w:themeColor="text1"/>
        </w:rPr>
        <w:t xml:space="preserve"> controls (median 1540 vs. 1195 mg </w:t>
      </w:r>
      <w:r w:rsidR="00527461" w:rsidRPr="00D674C0">
        <w:rPr>
          <w:rFonts w:ascii="Cambria" w:hAnsi="Cambria"/>
          <w:color w:val="000000" w:themeColor="text1"/>
        </w:rPr>
        <w:sym w:font="Symbol" w:char="F0B4"/>
      </w:r>
      <w:r w:rsidR="00527461" w:rsidRPr="00D674C0">
        <w:rPr>
          <w:rFonts w:ascii="Cambria" w:hAnsi="Cambria"/>
          <w:color w:val="000000" w:themeColor="text1"/>
        </w:rPr>
        <w:t xml:space="preserve"> h/L; P=0.029) [</w:t>
      </w:r>
      <w:r w:rsidR="0021202D">
        <w:rPr>
          <w:rFonts w:ascii="Cambria" w:hAnsi="Cambria"/>
          <w:color w:val="000000" w:themeColor="text1"/>
        </w:rPr>
        <w:t>4</w:t>
      </w:r>
      <w:r w:rsidR="00527461" w:rsidRPr="00D674C0">
        <w:rPr>
          <w:rFonts w:ascii="Cambria" w:hAnsi="Cambria"/>
          <w:color w:val="000000" w:themeColor="text1"/>
        </w:rPr>
        <w:t>]. Authors suggested that ABCG2 might be included in biliary excretion of MPAG [</w:t>
      </w:r>
      <w:r w:rsidR="005A1AE9" w:rsidRPr="00D674C0">
        <w:rPr>
          <w:rFonts w:ascii="Cambria" w:hAnsi="Cambria"/>
          <w:color w:val="000000" w:themeColor="text1"/>
        </w:rPr>
        <w:t>4</w:t>
      </w:r>
      <w:r w:rsidR="00527461" w:rsidRPr="00D674C0">
        <w:rPr>
          <w:rFonts w:ascii="Cambria" w:hAnsi="Cambria"/>
          <w:color w:val="000000" w:themeColor="text1"/>
        </w:rPr>
        <w:t>]. By analogy with reports of association between OATP1B1 and OATP1B3 polymorphisms (MPAG is a substrate, MPA is not) [1] and systemic bioavailability of M</w:t>
      </w:r>
      <w:r w:rsidR="00E21EB9">
        <w:rPr>
          <w:rFonts w:ascii="Cambria" w:hAnsi="Cambria"/>
          <w:color w:val="000000" w:themeColor="text1"/>
        </w:rPr>
        <w:t>PA</w:t>
      </w:r>
      <w:r w:rsidR="001C07DB">
        <w:rPr>
          <w:rFonts w:ascii="Cambria" w:hAnsi="Cambria"/>
          <w:color w:val="000000" w:themeColor="text1"/>
        </w:rPr>
        <w:t xml:space="preserve"> </w:t>
      </w:r>
      <w:r w:rsidR="00817B5D">
        <w:rPr>
          <w:rFonts w:ascii="Cambria" w:hAnsi="Cambria"/>
          <w:color w:val="000000" w:themeColor="text1"/>
        </w:rPr>
        <w:t>(</w:t>
      </w:r>
      <w:r w:rsidR="001C07DB">
        <w:rPr>
          <w:rFonts w:ascii="Cambria" w:hAnsi="Cambria"/>
          <w:color w:val="000000" w:themeColor="text1"/>
        </w:rPr>
        <w:t xml:space="preserve">reviewed in </w:t>
      </w:r>
      <w:r w:rsidR="00817B5D">
        <w:rPr>
          <w:rFonts w:ascii="Cambria" w:hAnsi="Cambria"/>
          <w:color w:val="000000" w:themeColor="text1"/>
        </w:rPr>
        <w:t>[</w:t>
      </w:r>
      <w:r w:rsidR="001C07DB">
        <w:rPr>
          <w:rFonts w:ascii="Cambria" w:hAnsi="Cambria"/>
          <w:color w:val="000000" w:themeColor="text1"/>
        </w:rPr>
        <w:t>3]</w:t>
      </w:r>
      <w:r w:rsidR="00817B5D">
        <w:rPr>
          <w:rFonts w:ascii="Cambria" w:hAnsi="Cambria"/>
          <w:color w:val="000000" w:themeColor="text1"/>
        </w:rPr>
        <w:t>)</w:t>
      </w:r>
      <w:r w:rsidR="00E21EB9">
        <w:rPr>
          <w:rFonts w:ascii="Cambria" w:hAnsi="Cambria"/>
          <w:color w:val="000000" w:themeColor="text1"/>
        </w:rPr>
        <w:t>,</w:t>
      </w:r>
      <w:r w:rsidR="00527461" w:rsidRPr="00D674C0">
        <w:rPr>
          <w:rFonts w:ascii="Cambria" w:hAnsi="Cambria"/>
          <w:color w:val="000000" w:themeColor="text1"/>
        </w:rPr>
        <w:t xml:space="preserve"> the </w:t>
      </w:r>
      <w:r w:rsidR="00527461" w:rsidRPr="00D674C0">
        <w:rPr>
          <w:rFonts w:ascii="Cambria" w:hAnsi="Cambria"/>
          <w:i/>
          <w:color w:val="000000" w:themeColor="text1"/>
        </w:rPr>
        <w:t>ABCG2 c.421</w:t>
      </w:r>
      <w:r w:rsidR="005A1AE9" w:rsidRPr="00D674C0">
        <w:rPr>
          <w:rFonts w:ascii="Cambria" w:hAnsi="Cambria"/>
          <w:color w:val="000000" w:themeColor="text1"/>
        </w:rPr>
        <w:t xml:space="preserve"> SNP might (as well) reflect on the systemic exposure to MPA. Current “failures” in this respect might be due to methodological study characteristics, and/or could indicate that even if it existed, the effect was mild-moderate, i.e., not robust enough as to be spotted under certain methodological circumstances.</w:t>
      </w:r>
    </w:p>
    <w:p w14:paraId="68062E6F" w14:textId="4CBEE4BA" w:rsidR="00D9384A" w:rsidRDefault="00D674C0" w:rsidP="00D674C0">
      <w:pPr>
        <w:spacing w:after="0" w:line="360" w:lineRule="auto"/>
        <w:rPr>
          <w:rFonts w:ascii="Cambria" w:hAnsi="Cambria"/>
          <w:lang w:val="en-US"/>
        </w:rPr>
      </w:pPr>
      <w:r w:rsidRPr="00D674C0">
        <w:rPr>
          <w:rFonts w:ascii="Cambria" w:hAnsi="Cambria"/>
          <w:lang w:val="en-US"/>
        </w:rPr>
        <w:t>Figure</w:t>
      </w:r>
      <w:r w:rsidR="00A97055">
        <w:rPr>
          <w:rFonts w:ascii="Cambria" w:hAnsi="Cambria"/>
          <w:lang w:val="en-US"/>
        </w:rPr>
        <w:t>s</w:t>
      </w:r>
      <w:r w:rsidRPr="00D674C0">
        <w:rPr>
          <w:rFonts w:ascii="Cambria" w:hAnsi="Cambria"/>
          <w:lang w:val="en-US"/>
        </w:rPr>
        <w:t xml:space="preserve"> S1</w:t>
      </w:r>
      <w:r w:rsidR="00A97055">
        <w:rPr>
          <w:rFonts w:ascii="Cambria" w:hAnsi="Cambria"/>
          <w:lang w:val="en-US"/>
        </w:rPr>
        <w:t>A</w:t>
      </w:r>
      <w:r w:rsidRPr="00D674C0">
        <w:rPr>
          <w:rFonts w:ascii="Cambria" w:hAnsi="Cambria"/>
          <w:lang w:val="en-US"/>
        </w:rPr>
        <w:t xml:space="preserve"> </w:t>
      </w:r>
      <w:r w:rsidR="00A97055">
        <w:rPr>
          <w:rFonts w:ascii="Cambria" w:hAnsi="Cambria"/>
          <w:lang w:val="en-US"/>
        </w:rPr>
        <w:t xml:space="preserve">and S1B </w:t>
      </w:r>
      <w:r w:rsidRPr="00D674C0">
        <w:rPr>
          <w:rFonts w:ascii="Cambria" w:hAnsi="Cambria"/>
          <w:lang w:val="en-US"/>
        </w:rPr>
        <w:t xml:space="preserve">schematically represent the </w:t>
      </w:r>
      <w:r w:rsidR="001C07DB">
        <w:rPr>
          <w:rFonts w:ascii="Cambria" w:hAnsi="Cambria"/>
          <w:lang w:val="en-US"/>
        </w:rPr>
        <w:t>setting</w:t>
      </w:r>
      <w:r w:rsidRPr="00D674C0">
        <w:rPr>
          <w:rFonts w:ascii="Cambria" w:hAnsi="Cambria"/>
          <w:lang w:val="en-US"/>
        </w:rPr>
        <w:t xml:space="preserve"> in which the effect of variant </w:t>
      </w:r>
      <w:r w:rsidRPr="00D674C0">
        <w:rPr>
          <w:rFonts w:ascii="Cambria" w:hAnsi="Cambria"/>
          <w:i/>
          <w:lang w:val="en-US"/>
        </w:rPr>
        <w:t>c.421C&gt;</w:t>
      </w:r>
      <w:proofErr w:type="gramStart"/>
      <w:r w:rsidRPr="00D674C0">
        <w:rPr>
          <w:rFonts w:ascii="Cambria" w:hAnsi="Cambria"/>
          <w:i/>
          <w:lang w:val="en-US"/>
        </w:rPr>
        <w:t>A</w:t>
      </w:r>
      <w:proofErr w:type="gramEnd"/>
      <w:r w:rsidRPr="00D674C0">
        <w:rPr>
          <w:rFonts w:ascii="Cambria" w:hAnsi="Cambria"/>
          <w:lang w:val="en-US"/>
        </w:rPr>
        <w:t xml:space="preserve"> allele was to be assessed and measures undertaken to control for confounding. We followed the concepts developed and presented by Pearl </w:t>
      </w:r>
      <w:r>
        <w:rPr>
          <w:rFonts w:ascii="Cambria" w:hAnsi="Cambria"/>
          <w:lang w:val="en-US"/>
        </w:rPr>
        <w:t>[5]</w:t>
      </w:r>
      <w:r w:rsidRPr="00D674C0">
        <w:rPr>
          <w:rFonts w:ascii="Cambria" w:hAnsi="Cambria"/>
          <w:lang w:val="en-US"/>
        </w:rPr>
        <w:t xml:space="preserve"> and further elaborated by </w:t>
      </w:r>
      <w:proofErr w:type="spellStart"/>
      <w:r w:rsidRPr="00D674C0">
        <w:rPr>
          <w:rFonts w:ascii="Cambria" w:hAnsi="Cambria"/>
          <w:lang w:val="en-US"/>
        </w:rPr>
        <w:t>VanderWeele</w:t>
      </w:r>
      <w:proofErr w:type="spellEnd"/>
      <w:r w:rsidRPr="00D674C0">
        <w:rPr>
          <w:rFonts w:ascii="Cambria" w:hAnsi="Cambria"/>
          <w:lang w:val="en-US"/>
        </w:rPr>
        <w:t xml:space="preserve"> </w:t>
      </w:r>
      <w:r>
        <w:rPr>
          <w:rFonts w:ascii="Cambria" w:hAnsi="Cambria"/>
          <w:lang w:val="en-US"/>
        </w:rPr>
        <w:t>[6, 7]</w:t>
      </w:r>
      <w:r w:rsidRPr="00D674C0">
        <w:rPr>
          <w:rFonts w:ascii="Cambria" w:hAnsi="Cambria"/>
          <w:lang w:val="en-US"/>
        </w:rPr>
        <w:t xml:space="preserve">, and implemented in R package </w:t>
      </w:r>
      <w:proofErr w:type="spellStart"/>
      <w:r w:rsidRPr="00D674C0">
        <w:rPr>
          <w:rFonts w:ascii="Cambria" w:hAnsi="Cambria"/>
          <w:i/>
          <w:lang w:val="en-US"/>
        </w:rPr>
        <w:t>dagitt</w:t>
      </w:r>
      <w:r>
        <w:rPr>
          <w:rFonts w:ascii="Cambria" w:hAnsi="Cambria"/>
          <w:i/>
          <w:lang w:val="en-US"/>
        </w:rPr>
        <w:t>y</w:t>
      </w:r>
      <w:proofErr w:type="spellEnd"/>
      <w:r>
        <w:rPr>
          <w:rFonts w:ascii="Cambria" w:hAnsi="Cambria"/>
          <w:lang w:val="en-US"/>
        </w:rPr>
        <w:t xml:space="preserve"> [8</w:t>
      </w:r>
      <w:r w:rsidR="00DA34D6">
        <w:rPr>
          <w:rFonts w:ascii="Cambria" w:hAnsi="Cambria"/>
          <w:lang w:val="en-US"/>
        </w:rPr>
        <w:t>].</w:t>
      </w:r>
      <w:r w:rsidR="00E21EB9">
        <w:rPr>
          <w:rFonts w:ascii="Cambria" w:hAnsi="Cambria"/>
          <w:lang w:val="en-US"/>
        </w:rPr>
        <w:t xml:space="preserve"> </w:t>
      </w:r>
      <w:r w:rsidRPr="00D674C0">
        <w:rPr>
          <w:rFonts w:ascii="Cambria" w:hAnsi="Cambria"/>
          <w:lang w:val="en-US"/>
        </w:rPr>
        <w:t>Major elements</w:t>
      </w:r>
      <w:r w:rsidR="00DA34D6">
        <w:rPr>
          <w:rFonts w:ascii="Cambria" w:hAnsi="Cambria"/>
          <w:lang w:val="en-US"/>
        </w:rPr>
        <w:t xml:space="preserve"> </w:t>
      </w:r>
      <w:r w:rsidR="00E24583">
        <w:rPr>
          <w:rFonts w:ascii="Cambria" w:hAnsi="Cambria"/>
          <w:lang w:val="en-US"/>
        </w:rPr>
        <w:t>are depicted in Figure S1A</w:t>
      </w:r>
      <w:r w:rsidR="00AD5A29">
        <w:rPr>
          <w:rFonts w:ascii="Cambria" w:hAnsi="Cambria"/>
          <w:lang w:val="en-US"/>
        </w:rPr>
        <w:t xml:space="preserve"> (some are based on explicit </w:t>
      </w:r>
      <w:r w:rsidR="00AD5A29" w:rsidRPr="00AD5A29">
        <w:rPr>
          <w:rFonts w:ascii="Cambria" w:hAnsi="Cambria"/>
          <w:i/>
          <w:lang w:val="en-US"/>
        </w:rPr>
        <w:t>in vitro</w:t>
      </w:r>
      <w:r w:rsidR="00AD5A29">
        <w:rPr>
          <w:rFonts w:ascii="Cambria" w:hAnsi="Cambria"/>
          <w:lang w:val="en-US"/>
        </w:rPr>
        <w:t xml:space="preserve"> and/or </w:t>
      </w:r>
      <w:r w:rsidR="00AD5A29" w:rsidRPr="00AD5A29">
        <w:rPr>
          <w:rFonts w:ascii="Cambria" w:hAnsi="Cambria"/>
          <w:i/>
          <w:lang w:val="en-US"/>
        </w:rPr>
        <w:t>in vivo</w:t>
      </w:r>
      <w:r w:rsidR="00AD5A29">
        <w:rPr>
          <w:rFonts w:ascii="Cambria" w:hAnsi="Cambria"/>
          <w:lang w:val="en-US"/>
        </w:rPr>
        <w:t xml:space="preserve"> evidence, some are implied based on circumstantial evidence and are partly hypothetical)</w:t>
      </w:r>
      <w:r w:rsidRPr="00D674C0">
        <w:rPr>
          <w:rFonts w:ascii="Cambria" w:hAnsi="Cambria"/>
          <w:lang w:val="en-US"/>
        </w:rPr>
        <w:t>:</w:t>
      </w:r>
      <w:r w:rsidR="00DA34D6">
        <w:rPr>
          <w:rFonts w:ascii="Cambria" w:hAnsi="Cambria"/>
          <w:lang w:val="en-US"/>
        </w:rPr>
        <w:t xml:space="preserve"> 1. For simplicity, </w:t>
      </w:r>
      <w:r w:rsidR="00E21EB9">
        <w:rPr>
          <w:rFonts w:ascii="Cambria" w:hAnsi="Cambria"/>
          <w:lang w:val="en-US"/>
        </w:rPr>
        <w:t>in the main text</w:t>
      </w:r>
      <w:r w:rsidR="00DA34D6">
        <w:rPr>
          <w:rFonts w:ascii="Cambria" w:hAnsi="Cambria"/>
          <w:lang w:val="en-US"/>
        </w:rPr>
        <w:t xml:space="preserve"> </w:t>
      </w:r>
      <w:r w:rsidR="00DA34D6" w:rsidRPr="00DA34D6">
        <w:rPr>
          <w:rFonts w:ascii="Cambria" w:hAnsi="Cambria"/>
          <w:i/>
          <w:lang w:val="en-US"/>
        </w:rPr>
        <w:t>ABCG2 c.421C&gt;A</w:t>
      </w:r>
      <w:r w:rsidR="00DA34D6">
        <w:rPr>
          <w:rFonts w:ascii="Cambria" w:hAnsi="Cambria"/>
          <w:lang w:val="en-US"/>
        </w:rPr>
        <w:t xml:space="preserve"> SNP is designated as </w:t>
      </w:r>
      <w:r w:rsidR="00E24583">
        <w:rPr>
          <w:rFonts w:ascii="Cambria" w:hAnsi="Cambria"/>
          <w:lang w:val="en-US"/>
        </w:rPr>
        <w:t xml:space="preserve">a </w:t>
      </w:r>
      <w:r w:rsidR="00DA34D6" w:rsidRPr="00E24583">
        <w:rPr>
          <w:rFonts w:ascii="Cambria" w:hAnsi="Cambria"/>
          <w:i/>
          <w:lang w:val="en-US"/>
        </w:rPr>
        <w:t>binary treatment</w:t>
      </w:r>
      <w:r w:rsidR="00DA34D6">
        <w:rPr>
          <w:rFonts w:ascii="Cambria" w:hAnsi="Cambria"/>
          <w:lang w:val="en-US"/>
        </w:rPr>
        <w:t xml:space="preserve"> (variant allele=1, treated; </w:t>
      </w:r>
      <w:proofErr w:type="spellStart"/>
      <w:r w:rsidR="00DA34D6">
        <w:rPr>
          <w:rFonts w:ascii="Cambria" w:hAnsi="Cambria"/>
          <w:lang w:val="en-US"/>
        </w:rPr>
        <w:t>wt</w:t>
      </w:r>
      <w:proofErr w:type="spellEnd"/>
      <w:r w:rsidR="00DA34D6">
        <w:rPr>
          <w:rFonts w:ascii="Cambria" w:hAnsi="Cambria"/>
          <w:lang w:val="en-US"/>
        </w:rPr>
        <w:t xml:space="preserve"> homozygous=0, control)</w:t>
      </w:r>
      <w:r w:rsidR="00E24583">
        <w:rPr>
          <w:rFonts w:ascii="Cambria" w:hAnsi="Cambria"/>
          <w:lang w:val="en-US"/>
        </w:rPr>
        <w:t xml:space="preserve">. Its immediate consequence is reduced number </w:t>
      </w:r>
      <w:r w:rsidR="001C07DB">
        <w:rPr>
          <w:rFonts w:ascii="Cambria" w:hAnsi="Cambria"/>
          <w:lang w:val="en-US"/>
        </w:rPr>
        <w:t>(</w:t>
      </w:r>
      <w:r w:rsidR="00E24583">
        <w:rPr>
          <w:rFonts w:ascii="Cambria" w:hAnsi="Cambria"/>
          <w:lang w:val="en-US"/>
        </w:rPr>
        <w:t>and activity</w:t>
      </w:r>
      <w:r w:rsidR="001C07DB">
        <w:rPr>
          <w:rFonts w:ascii="Cambria" w:hAnsi="Cambria"/>
          <w:lang w:val="en-US"/>
        </w:rPr>
        <w:t>)</w:t>
      </w:r>
      <w:r w:rsidR="00E24583">
        <w:rPr>
          <w:rFonts w:ascii="Cambria" w:hAnsi="Cambria"/>
          <w:lang w:val="en-US"/>
        </w:rPr>
        <w:t xml:space="preserve"> of ABCG2 (increased degradation). Hence, the actual treatment (or exposure) is </w:t>
      </w:r>
      <w:r w:rsidR="00E24583" w:rsidRPr="00E24583">
        <w:rPr>
          <w:rFonts w:ascii="Cambria" w:hAnsi="Cambria"/>
          <w:i/>
          <w:lang w:val="en-US"/>
        </w:rPr>
        <w:t>ABCG2 activity</w:t>
      </w:r>
      <w:r w:rsidR="00E24583">
        <w:rPr>
          <w:rFonts w:ascii="Cambria" w:hAnsi="Cambria"/>
          <w:lang w:val="en-US"/>
        </w:rPr>
        <w:t xml:space="preserve"> (may be dichotomized as “reduced” [variant allele</w:t>
      </w:r>
      <w:proofErr w:type="gramStart"/>
      <w:r w:rsidR="00E24583">
        <w:rPr>
          <w:rFonts w:ascii="Cambria" w:hAnsi="Cambria"/>
          <w:lang w:val="en-US"/>
        </w:rPr>
        <w:t>]=</w:t>
      </w:r>
      <w:proofErr w:type="gramEnd"/>
      <w:r w:rsidR="00E24583">
        <w:rPr>
          <w:rFonts w:ascii="Cambria" w:hAnsi="Cambria"/>
          <w:lang w:val="en-US"/>
        </w:rPr>
        <w:t>treatment; and “preserved” [</w:t>
      </w:r>
      <w:proofErr w:type="spellStart"/>
      <w:r w:rsidR="00E24583">
        <w:rPr>
          <w:rFonts w:ascii="Cambria" w:hAnsi="Cambria"/>
          <w:lang w:val="en-US"/>
        </w:rPr>
        <w:t>wt</w:t>
      </w:r>
      <w:proofErr w:type="spellEnd"/>
      <w:r w:rsidR="00E24583">
        <w:rPr>
          <w:rFonts w:ascii="Cambria" w:hAnsi="Cambria"/>
          <w:lang w:val="en-US"/>
        </w:rPr>
        <w:t xml:space="preserve"> homozygous]= control). However, </w:t>
      </w:r>
      <w:r w:rsidR="00E24583" w:rsidRPr="006D6B5D">
        <w:rPr>
          <w:rFonts w:ascii="Cambria" w:hAnsi="Cambria"/>
          <w:i/>
          <w:lang w:val="en-US"/>
        </w:rPr>
        <w:t>in vivo</w:t>
      </w:r>
      <w:r w:rsidR="00E24583">
        <w:rPr>
          <w:rFonts w:ascii="Cambria" w:hAnsi="Cambria"/>
          <w:lang w:val="en-US"/>
        </w:rPr>
        <w:t xml:space="preserve"> ABCG2 activity</w:t>
      </w:r>
      <w:r w:rsidR="00EF401D">
        <w:rPr>
          <w:rFonts w:ascii="Cambria" w:hAnsi="Cambria"/>
          <w:lang w:val="en-US"/>
        </w:rPr>
        <w:t xml:space="preserve"> cannot be measured, hence the </w:t>
      </w:r>
      <w:r w:rsidR="00E24583">
        <w:rPr>
          <w:rFonts w:ascii="Cambria" w:hAnsi="Cambria"/>
          <w:lang w:val="en-US"/>
        </w:rPr>
        <w:t xml:space="preserve">true exposure remains unobserved, and we use </w:t>
      </w:r>
      <w:r w:rsidR="00E24583" w:rsidRPr="00E24583">
        <w:rPr>
          <w:rFonts w:ascii="Cambria" w:hAnsi="Cambria"/>
          <w:i/>
          <w:lang w:val="en-US"/>
        </w:rPr>
        <w:t>ABCG2 c.421</w:t>
      </w:r>
      <w:r w:rsidR="00E24583">
        <w:rPr>
          <w:rFonts w:ascii="Cambria" w:hAnsi="Cambria"/>
          <w:lang w:val="en-US"/>
        </w:rPr>
        <w:t xml:space="preserve"> genotype as an instrumental variable</w:t>
      </w:r>
      <w:r w:rsidR="00E21EB9">
        <w:rPr>
          <w:rFonts w:ascii="Cambria" w:hAnsi="Cambria"/>
          <w:lang w:val="en-US"/>
        </w:rPr>
        <w:t xml:space="preserve"> </w:t>
      </w:r>
      <w:r w:rsidR="00E24583">
        <w:rPr>
          <w:rFonts w:ascii="Cambria" w:hAnsi="Cambria"/>
          <w:lang w:val="en-US"/>
        </w:rPr>
        <w:t xml:space="preserve">– it has no other effect on the outcome or on </w:t>
      </w:r>
      <w:r w:rsidR="006D6B5D">
        <w:rPr>
          <w:rFonts w:ascii="Cambria" w:hAnsi="Cambria"/>
          <w:lang w:val="en-US"/>
        </w:rPr>
        <w:t>any other variable (</w:t>
      </w:r>
      <w:r w:rsidR="006D6B5D" w:rsidRPr="0065062A">
        <w:rPr>
          <w:rFonts w:ascii="Cambria" w:hAnsi="Cambria"/>
          <w:i/>
          <w:lang w:val="en-US"/>
        </w:rPr>
        <w:t>in vitro</w:t>
      </w:r>
      <w:r w:rsidR="006D6B5D">
        <w:rPr>
          <w:rFonts w:ascii="Cambria" w:hAnsi="Cambria"/>
          <w:lang w:val="en-US"/>
        </w:rPr>
        <w:t xml:space="preserve">, both </w:t>
      </w:r>
      <w:proofErr w:type="spellStart"/>
      <w:r w:rsidR="006D6B5D">
        <w:rPr>
          <w:rFonts w:ascii="Cambria" w:hAnsi="Cambria"/>
          <w:lang w:val="en-US"/>
        </w:rPr>
        <w:t>CsA</w:t>
      </w:r>
      <w:proofErr w:type="spellEnd"/>
      <w:r w:rsidR="006D6B5D">
        <w:rPr>
          <w:rFonts w:ascii="Cambria" w:hAnsi="Cambria"/>
          <w:lang w:val="en-US"/>
        </w:rPr>
        <w:t xml:space="preserve"> and tacrolimus are potent ABCG2 inhibitors [9], but neither is an ABCG2 substrate [10, 11])</w:t>
      </w:r>
      <w:r w:rsidR="001C07DB">
        <w:rPr>
          <w:rFonts w:ascii="Cambria" w:hAnsi="Cambria"/>
          <w:lang w:val="en-US"/>
        </w:rPr>
        <w:t xml:space="preserve"> beyond that conveyed through reduced transporter function</w:t>
      </w:r>
      <w:r w:rsidR="006D6B5D">
        <w:rPr>
          <w:rFonts w:ascii="Cambria" w:hAnsi="Cambria"/>
          <w:lang w:val="en-US"/>
        </w:rPr>
        <w:t xml:space="preserve">; 2. </w:t>
      </w:r>
      <w:proofErr w:type="gramStart"/>
      <w:r w:rsidR="0065062A">
        <w:rPr>
          <w:rFonts w:ascii="Cambria" w:hAnsi="Cambria"/>
          <w:lang w:val="en-US"/>
        </w:rPr>
        <w:t>Steady-state</w:t>
      </w:r>
      <w:proofErr w:type="gramEnd"/>
      <w:r w:rsidR="0065062A">
        <w:rPr>
          <w:rFonts w:ascii="Cambria" w:hAnsi="Cambria"/>
          <w:lang w:val="en-US"/>
        </w:rPr>
        <w:t xml:space="preserve"> MPA pharmacokinetic indicators (MPA PK) are continuous outcomes; 3. The connection between the exposure (ABCG2 activity, </w:t>
      </w:r>
      <w:r w:rsidR="0065062A" w:rsidRPr="0021202D">
        <w:rPr>
          <w:rFonts w:ascii="Cambria" w:hAnsi="Cambria"/>
          <w:i/>
          <w:lang w:val="en-US"/>
        </w:rPr>
        <w:t>c.421</w:t>
      </w:r>
      <w:r w:rsidR="0065062A">
        <w:rPr>
          <w:rFonts w:ascii="Cambria" w:hAnsi="Cambria"/>
          <w:lang w:val="en-US"/>
        </w:rPr>
        <w:t xml:space="preserve"> SNP) and the outcome might be a direct one (</w:t>
      </w:r>
      <w:r w:rsidR="00E21EB9">
        <w:rPr>
          <w:rFonts w:ascii="Cambria" w:hAnsi="Cambria"/>
          <w:lang w:val="en-US"/>
        </w:rPr>
        <w:t xml:space="preserve">assumes that </w:t>
      </w:r>
      <w:r w:rsidR="0065062A">
        <w:rPr>
          <w:rFonts w:ascii="Cambria" w:hAnsi="Cambria"/>
          <w:lang w:val="en-US"/>
        </w:rPr>
        <w:t xml:space="preserve">MPA is </w:t>
      </w:r>
      <w:r w:rsidR="00E21EB9">
        <w:rPr>
          <w:rFonts w:ascii="Cambria" w:hAnsi="Cambria"/>
          <w:lang w:val="en-US"/>
        </w:rPr>
        <w:t>a</w:t>
      </w:r>
      <w:r w:rsidR="0065062A">
        <w:rPr>
          <w:rFonts w:ascii="Cambria" w:hAnsi="Cambria"/>
          <w:lang w:val="en-US"/>
        </w:rPr>
        <w:t xml:space="preserve">n ABCG2 substrate), </w:t>
      </w:r>
      <w:r w:rsidR="006B7DD4">
        <w:rPr>
          <w:rFonts w:ascii="Cambria" w:hAnsi="Cambria"/>
          <w:lang w:val="en-US"/>
        </w:rPr>
        <w:t>and/</w:t>
      </w:r>
      <w:r w:rsidR="0065062A">
        <w:rPr>
          <w:rFonts w:ascii="Cambria" w:hAnsi="Cambria"/>
          <w:lang w:val="en-US"/>
        </w:rPr>
        <w:t>or an indirect one</w:t>
      </w:r>
      <w:r w:rsidR="00E21EB9">
        <w:rPr>
          <w:rFonts w:ascii="Cambria" w:hAnsi="Cambria"/>
          <w:lang w:val="en-US"/>
        </w:rPr>
        <w:t xml:space="preserve"> (</w:t>
      </w:r>
      <w:r w:rsidR="0065062A">
        <w:rPr>
          <w:rFonts w:ascii="Cambria" w:hAnsi="Cambria"/>
          <w:lang w:val="en-US"/>
        </w:rPr>
        <w:t>as suggested in the Japanese study [</w:t>
      </w:r>
      <w:r w:rsidR="006B7DD4">
        <w:rPr>
          <w:rFonts w:ascii="Cambria" w:hAnsi="Cambria"/>
          <w:lang w:val="en-US"/>
        </w:rPr>
        <w:t xml:space="preserve">4]) </w:t>
      </w:r>
      <w:r w:rsidR="00E21EB9">
        <w:rPr>
          <w:rFonts w:ascii="Cambria" w:hAnsi="Cambria"/>
          <w:lang w:val="en-US"/>
        </w:rPr>
        <w:t>with MPAG as</w:t>
      </w:r>
      <w:r w:rsidR="006B7DD4">
        <w:rPr>
          <w:rFonts w:ascii="Cambria" w:hAnsi="Cambria"/>
          <w:lang w:val="en-US"/>
        </w:rPr>
        <w:t xml:space="preserve"> a hypothetical mediator</w:t>
      </w:r>
      <w:r w:rsidR="00E21EB9">
        <w:rPr>
          <w:rFonts w:ascii="Cambria" w:hAnsi="Cambria"/>
          <w:lang w:val="en-US"/>
        </w:rPr>
        <w:t xml:space="preserve"> (</w:t>
      </w:r>
      <w:r w:rsidR="006B7DD4">
        <w:rPr>
          <w:rFonts w:ascii="Cambria" w:hAnsi="Cambria"/>
          <w:lang w:val="en-US"/>
        </w:rPr>
        <w:t>unmeasured in the present study</w:t>
      </w:r>
      <w:r w:rsidR="00E21EB9">
        <w:rPr>
          <w:rFonts w:ascii="Cambria" w:hAnsi="Cambria"/>
          <w:lang w:val="en-US"/>
        </w:rPr>
        <w:t>)</w:t>
      </w:r>
      <w:r w:rsidR="006B7DD4">
        <w:rPr>
          <w:rFonts w:ascii="Cambria" w:hAnsi="Cambria"/>
          <w:lang w:val="en-US"/>
        </w:rPr>
        <w:t xml:space="preserve">. </w:t>
      </w:r>
      <w:r w:rsidR="00E21EB9">
        <w:rPr>
          <w:rFonts w:ascii="Cambria" w:hAnsi="Cambria"/>
          <w:lang w:val="en-US"/>
        </w:rPr>
        <w:t>T</w:t>
      </w:r>
      <w:r w:rsidR="006B7DD4">
        <w:rPr>
          <w:rFonts w:ascii="Cambria" w:hAnsi="Cambria"/>
          <w:lang w:val="en-US"/>
        </w:rPr>
        <w:t>he setting is such that it can estimate the total effect of expos</w:t>
      </w:r>
      <w:r w:rsidR="00EF401D">
        <w:rPr>
          <w:rFonts w:ascii="Cambria" w:hAnsi="Cambria"/>
          <w:lang w:val="en-US"/>
        </w:rPr>
        <w:t>ure (instrument) on the outcome.</w:t>
      </w:r>
    </w:p>
    <w:p w14:paraId="7187CAD3" w14:textId="472FAEEB" w:rsidR="00D9384A" w:rsidRDefault="00217A4D" w:rsidP="00D674C0">
      <w:pPr>
        <w:spacing w:after="0" w:line="360" w:lineRule="auto"/>
        <w:rPr>
          <w:rFonts w:ascii="Cambria" w:hAnsi="Cambria"/>
          <w:lang w:val="en-US"/>
        </w:rPr>
      </w:pPr>
      <w:r>
        <w:rPr>
          <w:rFonts w:ascii="Cambria" w:hAnsi="Cambria"/>
          <w:noProof/>
          <w:lang w:val="en-US"/>
        </w:rPr>
        <w:lastRenderedPageBreak/>
        <w:drawing>
          <wp:inline distT="0" distB="0" distL="0" distR="0" wp14:anchorId="0B5647F7" wp14:editId="50FBF1AF">
            <wp:extent cx="5760720" cy="3907155"/>
            <wp:effectExtent l="0" t="0" r="0" b="0"/>
            <wp:docPr id="8" name="Picture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 name="Borić FigS1A.TIF"/>
                    <pic:cNvPicPr/>
                  </pic:nvPicPr>
                  <pic:blipFill>
                    <a:blip r:embed="rId8" cstate="print">
                      <a:extLst>
                        <a:ext uri="{28A0092B-C50C-407E-A947-70E740481C1C}">
                          <a14:useLocalDpi xmlns:a14="http://schemas.microsoft.com/office/drawing/2010/main" val="0"/>
                        </a:ext>
                      </a:extLst>
                    </a:blip>
                    <a:stretch>
                      <a:fillRect/>
                    </a:stretch>
                  </pic:blipFill>
                  <pic:spPr>
                    <a:xfrm>
                      <a:off x="0" y="0"/>
                      <a:ext cx="5760720" cy="3907155"/>
                    </a:xfrm>
                    <a:prstGeom prst="rect">
                      <a:avLst/>
                    </a:prstGeom>
                  </pic:spPr>
                </pic:pic>
              </a:graphicData>
            </a:graphic>
          </wp:inline>
        </w:drawing>
      </w:r>
    </w:p>
    <w:p w14:paraId="2231A254" w14:textId="2F14BB85" w:rsidR="00D9384A" w:rsidRDefault="00C97FCE" w:rsidP="00D674C0">
      <w:pPr>
        <w:spacing w:after="0" w:line="360" w:lineRule="auto"/>
        <w:rPr>
          <w:rFonts w:ascii="Cambria" w:hAnsi="Cambria"/>
          <w:lang w:val="en-US"/>
        </w:rPr>
      </w:pPr>
      <w:r w:rsidRPr="00C97FCE">
        <w:rPr>
          <w:rFonts w:ascii="Cambria" w:hAnsi="Cambria"/>
          <w:b/>
          <w:lang w:val="en-US"/>
        </w:rPr>
        <w:t>Figure S1A</w:t>
      </w:r>
      <w:r>
        <w:rPr>
          <w:rFonts w:ascii="Cambria" w:hAnsi="Cambria"/>
          <w:lang w:val="en-US"/>
        </w:rPr>
        <w:t xml:space="preserve">. </w:t>
      </w:r>
      <w:r w:rsidR="00B5526B">
        <w:rPr>
          <w:rFonts w:ascii="Cambria" w:hAnsi="Cambria"/>
          <w:lang w:val="en-US"/>
        </w:rPr>
        <w:t xml:space="preserve">Directed acyclic graph (DAG) representing the setting to estimate the effect of </w:t>
      </w:r>
      <w:r w:rsidR="00B5526B" w:rsidRPr="00B5526B">
        <w:rPr>
          <w:rFonts w:ascii="Cambria" w:hAnsi="Cambria"/>
          <w:i/>
          <w:lang w:val="en-US"/>
        </w:rPr>
        <w:t>ABCG2 c.421</w:t>
      </w:r>
      <w:r w:rsidR="00B5526B">
        <w:rPr>
          <w:rFonts w:ascii="Cambria" w:hAnsi="Cambria"/>
          <w:lang w:val="en-US"/>
        </w:rPr>
        <w:t xml:space="preserve"> SNP, i.e., reduced (vs. preserved) ABCG2 function resulting from variant allele carriage (vs. </w:t>
      </w:r>
      <w:proofErr w:type="spellStart"/>
      <w:r w:rsidR="00B5526B">
        <w:rPr>
          <w:rFonts w:ascii="Cambria" w:hAnsi="Cambria"/>
          <w:lang w:val="en-US"/>
        </w:rPr>
        <w:t>wt</w:t>
      </w:r>
      <w:proofErr w:type="spellEnd"/>
      <w:r w:rsidR="00B5526B">
        <w:rPr>
          <w:rFonts w:ascii="Cambria" w:hAnsi="Cambria"/>
          <w:lang w:val="en-US"/>
        </w:rPr>
        <w:t xml:space="preserve"> homozygosity)</w:t>
      </w:r>
      <w:r w:rsidR="00FF4F84">
        <w:rPr>
          <w:rFonts w:ascii="Cambria" w:hAnsi="Cambria"/>
          <w:lang w:val="en-US"/>
        </w:rPr>
        <w:t xml:space="preserve"> on steady-state pharmacokinetics of MPA (MPA PK – outcome, O)</w:t>
      </w:r>
      <w:r w:rsidR="00B5526B">
        <w:rPr>
          <w:rFonts w:ascii="Cambria" w:hAnsi="Cambria"/>
          <w:lang w:val="en-US"/>
        </w:rPr>
        <w:t>.</w:t>
      </w:r>
      <w:r w:rsidR="00FF4F84">
        <w:rPr>
          <w:rFonts w:ascii="Cambria" w:hAnsi="Cambria"/>
          <w:lang w:val="en-US"/>
        </w:rPr>
        <w:t xml:space="preserve"> </w:t>
      </w:r>
      <w:r w:rsidR="00B5526B">
        <w:rPr>
          <w:rFonts w:ascii="Cambria" w:hAnsi="Cambria"/>
          <w:lang w:val="en-US"/>
        </w:rPr>
        <w:t xml:space="preserve">The measured “treatment” – </w:t>
      </w:r>
      <w:r w:rsidR="00B5526B" w:rsidRPr="00B5526B">
        <w:rPr>
          <w:rFonts w:ascii="Cambria" w:hAnsi="Cambria"/>
          <w:i/>
          <w:lang w:val="en-US"/>
        </w:rPr>
        <w:t>ABCG2 c.421C&gt;A</w:t>
      </w:r>
      <w:r w:rsidR="00B5526B">
        <w:rPr>
          <w:rFonts w:ascii="Cambria" w:hAnsi="Cambria"/>
          <w:lang w:val="en-US"/>
        </w:rPr>
        <w:t xml:space="preserve"> genotype - is an instrument (black circle)</w:t>
      </w:r>
      <w:r w:rsidR="00FF4F84">
        <w:rPr>
          <w:rFonts w:ascii="Cambria" w:hAnsi="Cambria"/>
          <w:lang w:val="en-US"/>
        </w:rPr>
        <w:t>, since ABCG2 activity (actual exposure) is not measured. The causal path (thick black arrow) might be a direct one and/or mediated (dashed black arrow) through an unmeasured (hypothetical) mediator, i.e., MPAG levels. Pale red circles represent confounders (ancestors of both the treatment i.e., actual exposure</w:t>
      </w:r>
      <w:r w:rsidR="001C07DB">
        <w:rPr>
          <w:rFonts w:ascii="Cambria" w:hAnsi="Cambria"/>
          <w:lang w:val="en-US"/>
        </w:rPr>
        <w:t>,</w:t>
      </w:r>
      <w:r w:rsidR="00FF4F84">
        <w:rPr>
          <w:rFonts w:ascii="Cambria" w:hAnsi="Cambria"/>
          <w:lang w:val="en-US"/>
        </w:rPr>
        <w:t xml:space="preserve"> and the outcome), blue circles represent ancestor of the outcome and green circles represent ancestors of (actual, but unmeasured) exposure (ABCG2 activity). Gray arrows depict biasing paths. Gray filled/outlined circles represent unmeasured variables - one is a suggested but unmeasured confounder – </w:t>
      </w:r>
      <w:r w:rsidR="00FF4F84" w:rsidRPr="001C07DB">
        <w:rPr>
          <w:rFonts w:ascii="Cambria" w:hAnsi="Cambria"/>
          <w:i/>
          <w:lang w:val="en-US"/>
        </w:rPr>
        <w:t>SLCO1B3 c.334</w:t>
      </w:r>
      <w:r w:rsidR="00D11F40">
        <w:rPr>
          <w:rFonts w:ascii="Cambria" w:hAnsi="Cambria"/>
          <w:lang w:val="en-US"/>
        </w:rPr>
        <w:t xml:space="preserve"> SNP</w:t>
      </w:r>
      <w:r w:rsidR="001B0410">
        <w:rPr>
          <w:rFonts w:ascii="Cambria" w:hAnsi="Cambria"/>
          <w:lang w:val="en-US"/>
        </w:rPr>
        <w:t xml:space="preserve">, and one is unmeasured ancestor of the outcome- </w:t>
      </w:r>
      <w:r w:rsidR="001B0410" w:rsidRPr="001B0410">
        <w:rPr>
          <w:rFonts w:ascii="Cambria" w:hAnsi="Cambria"/>
          <w:i/>
          <w:lang w:val="en-US"/>
        </w:rPr>
        <w:t>UGT1A9 c.98</w:t>
      </w:r>
      <w:r w:rsidR="001B0410">
        <w:rPr>
          <w:rFonts w:ascii="Cambria" w:hAnsi="Cambria"/>
          <w:lang w:val="en-US"/>
        </w:rPr>
        <w:t xml:space="preserve"> SNP</w:t>
      </w:r>
      <w:r w:rsidR="00D11F40">
        <w:rPr>
          <w:rFonts w:ascii="Cambria" w:hAnsi="Cambria"/>
          <w:lang w:val="en-US"/>
        </w:rPr>
        <w:t>; the others indicate</w:t>
      </w:r>
      <w:r w:rsidR="00FF4F84">
        <w:rPr>
          <w:rFonts w:ascii="Cambria" w:hAnsi="Cambria"/>
          <w:lang w:val="en-US"/>
        </w:rPr>
        <w:t xml:space="preserve"> transporter/enzyme activities (presumably) affected by exposure/outcome ancestors</w:t>
      </w:r>
      <w:r w:rsidR="00DB5F0E">
        <w:rPr>
          <w:rFonts w:ascii="Cambria" w:hAnsi="Cambria"/>
          <w:lang w:val="en-US"/>
        </w:rPr>
        <w:t xml:space="preserve"> (see text for details)</w:t>
      </w:r>
      <w:r w:rsidR="00FF4F84">
        <w:rPr>
          <w:rFonts w:ascii="Cambria" w:hAnsi="Cambria"/>
          <w:lang w:val="en-US"/>
        </w:rPr>
        <w:t>.</w:t>
      </w:r>
    </w:p>
    <w:p w14:paraId="02A9D23C" w14:textId="599AF3F4" w:rsidR="00EE2836" w:rsidRDefault="00EE2836" w:rsidP="00D674C0">
      <w:pPr>
        <w:spacing w:after="0" w:line="360" w:lineRule="auto"/>
        <w:rPr>
          <w:rFonts w:ascii="Cambria" w:hAnsi="Cambria"/>
          <w:lang w:val="en-US"/>
        </w:rPr>
      </w:pPr>
    </w:p>
    <w:p w14:paraId="288DC69C" w14:textId="77777777" w:rsidR="00EE2836" w:rsidRDefault="00EE2836" w:rsidP="00D674C0">
      <w:pPr>
        <w:spacing w:after="0" w:line="360" w:lineRule="auto"/>
        <w:rPr>
          <w:rFonts w:ascii="Cambria" w:hAnsi="Cambria"/>
          <w:lang w:val="en-US"/>
        </w:rPr>
      </w:pPr>
    </w:p>
    <w:p w14:paraId="41425548" w14:textId="650C5C5D" w:rsidR="00D27038" w:rsidRDefault="00EF401D" w:rsidP="00D674C0">
      <w:pPr>
        <w:spacing w:after="0" w:line="360" w:lineRule="auto"/>
        <w:rPr>
          <w:rFonts w:ascii="Cambria" w:hAnsi="Cambria"/>
          <w:lang w:val="en-US"/>
        </w:rPr>
      </w:pPr>
      <w:r>
        <w:rPr>
          <w:rFonts w:ascii="Cambria" w:hAnsi="Cambria"/>
          <w:lang w:val="en-US"/>
        </w:rPr>
        <w:t xml:space="preserve">4. </w:t>
      </w:r>
      <w:r w:rsidR="00817B5D">
        <w:rPr>
          <w:rFonts w:ascii="Cambria" w:hAnsi="Cambria"/>
          <w:lang w:val="en-US"/>
        </w:rPr>
        <w:t>N</w:t>
      </w:r>
      <w:r>
        <w:rPr>
          <w:rFonts w:ascii="Cambria" w:hAnsi="Cambria"/>
          <w:lang w:val="en-US"/>
        </w:rPr>
        <w:t xml:space="preserve">umber of baseline covariates that can </w:t>
      </w:r>
      <w:r w:rsidR="006B7DD4">
        <w:rPr>
          <w:rFonts w:ascii="Cambria" w:hAnsi="Cambria"/>
          <w:lang w:val="en-US"/>
        </w:rPr>
        <w:t xml:space="preserve">interfere with the (tested) </w:t>
      </w:r>
      <w:r w:rsidR="006B7DD4" w:rsidRPr="006B7DD4">
        <w:rPr>
          <w:rFonts w:ascii="Cambria" w:hAnsi="Cambria"/>
          <w:i/>
          <w:lang w:val="en-US"/>
        </w:rPr>
        <w:t>ABCG2 c.421</w:t>
      </w:r>
      <w:r w:rsidR="006B7DD4">
        <w:rPr>
          <w:rFonts w:ascii="Cambria" w:hAnsi="Cambria"/>
          <w:lang w:val="en-US"/>
        </w:rPr>
        <w:t xml:space="preserve"> (ABCG2 activity) effect is high (although Figure S1</w:t>
      </w:r>
      <w:r w:rsidR="00A97055">
        <w:rPr>
          <w:rFonts w:ascii="Cambria" w:hAnsi="Cambria"/>
          <w:lang w:val="en-US"/>
        </w:rPr>
        <w:t>A</w:t>
      </w:r>
      <w:r w:rsidR="006B7DD4">
        <w:rPr>
          <w:rFonts w:ascii="Cambria" w:hAnsi="Cambria"/>
          <w:lang w:val="en-US"/>
        </w:rPr>
        <w:t xml:space="preserve"> is somewhat simplified). In a scenario in which the </w:t>
      </w:r>
      <w:r w:rsidR="006B7DD4" w:rsidRPr="006B7DD4">
        <w:rPr>
          <w:rFonts w:ascii="Cambria" w:hAnsi="Cambria"/>
          <w:i/>
          <w:lang w:val="en-US"/>
        </w:rPr>
        <w:t>ABCG2 c.421</w:t>
      </w:r>
      <w:r w:rsidR="006B7DD4">
        <w:rPr>
          <w:rFonts w:ascii="Cambria" w:hAnsi="Cambria"/>
          <w:lang w:val="en-US"/>
        </w:rPr>
        <w:t xml:space="preserve"> </w:t>
      </w:r>
      <w:r w:rsidR="00817B5D">
        <w:rPr>
          <w:rFonts w:ascii="Cambria" w:hAnsi="Cambria"/>
          <w:lang w:val="en-US"/>
        </w:rPr>
        <w:t xml:space="preserve">variant </w:t>
      </w:r>
      <w:r w:rsidR="006B7DD4">
        <w:rPr>
          <w:rFonts w:ascii="Cambria" w:hAnsi="Cambria"/>
          <w:lang w:val="en-US"/>
        </w:rPr>
        <w:t xml:space="preserve">would be “treatment”, none of them would meet the “classical” definition of a confounder, since “treatment” </w:t>
      </w:r>
      <w:proofErr w:type="gramStart"/>
      <w:r w:rsidR="006B7DD4">
        <w:rPr>
          <w:rFonts w:ascii="Cambria" w:hAnsi="Cambria"/>
          <w:lang w:val="en-US"/>
        </w:rPr>
        <w:t>is defined</w:t>
      </w:r>
      <w:proofErr w:type="gramEnd"/>
      <w:r w:rsidR="006B7DD4">
        <w:rPr>
          <w:rFonts w:ascii="Cambria" w:hAnsi="Cambria"/>
          <w:lang w:val="en-US"/>
        </w:rPr>
        <w:t xml:space="preserve"> at conception, and </w:t>
      </w:r>
      <w:r w:rsidR="00F84CB9">
        <w:rPr>
          <w:rFonts w:ascii="Cambria" w:hAnsi="Cambria"/>
          <w:lang w:val="en-US"/>
        </w:rPr>
        <w:t xml:space="preserve">the current knowledge about possible epigenetic regulation of </w:t>
      </w:r>
      <w:r w:rsidR="00F84CB9" w:rsidRPr="00F84CB9">
        <w:rPr>
          <w:rFonts w:ascii="Cambria" w:hAnsi="Cambria"/>
          <w:i/>
          <w:lang w:val="en-US"/>
        </w:rPr>
        <w:t>ABCG2</w:t>
      </w:r>
      <w:r w:rsidR="00F84CB9">
        <w:rPr>
          <w:rFonts w:ascii="Cambria" w:hAnsi="Cambria"/>
          <w:lang w:val="en-US"/>
        </w:rPr>
        <w:t xml:space="preserve"> is virtually non-existing. In such a case, they would </w:t>
      </w:r>
      <w:r w:rsidR="00F84CB9">
        <w:rPr>
          <w:rFonts w:ascii="Cambria" w:hAnsi="Cambria"/>
          <w:lang w:val="en-US"/>
        </w:rPr>
        <w:lastRenderedPageBreak/>
        <w:t xml:space="preserve">qualify as “ancestors of the outcome” (i.e., factors known or suspected to affect MPA PK, thorough different mechanisms [paths]). As illustrated in Figure S1A, when ABCG2 activity is considered as an actual but unobserved “treatment” (but adequately represented by an instrument), then </w:t>
      </w:r>
      <w:r w:rsidR="00276763">
        <w:rPr>
          <w:rFonts w:ascii="Cambria" w:hAnsi="Cambria"/>
          <w:lang w:val="en-US"/>
        </w:rPr>
        <w:t xml:space="preserve">some of these variables should justifiably be considered ancestors of both the “treatment” (may affect ABCG2 activity) and the outcome (may affect MPA PK, by different mechanisms); 5. </w:t>
      </w:r>
      <w:r w:rsidR="00742CC0">
        <w:rPr>
          <w:rFonts w:ascii="Cambria" w:hAnsi="Cambria"/>
          <w:lang w:val="en-US"/>
        </w:rPr>
        <w:t xml:space="preserve">Variables that may be considered ancestors of both the “treatment” and the “outcome” (depicted in pale red in Figure S1A) include: </w:t>
      </w:r>
      <w:proofErr w:type="spellStart"/>
      <w:r w:rsidR="00742CC0">
        <w:rPr>
          <w:rFonts w:ascii="Cambria" w:hAnsi="Cambria"/>
          <w:lang w:val="en-US"/>
        </w:rPr>
        <w:t>i</w:t>
      </w:r>
      <w:proofErr w:type="spellEnd"/>
      <w:r w:rsidR="00742CC0">
        <w:rPr>
          <w:rFonts w:ascii="Cambria" w:hAnsi="Cambria"/>
          <w:lang w:val="en-US"/>
        </w:rPr>
        <w:t>) type of CNI (</w:t>
      </w:r>
      <w:proofErr w:type="spellStart"/>
      <w:r w:rsidR="00742CC0">
        <w:rPr>
          <w:rFonts w:ascii="Cambria" w:hAnsi="Cambria"/>
          <w:lang w:val="en-US"/>
        </w:rPr>
        <w:t>CsA</w:t>
      </w:r>
      <w:proofErr w:type="spellEnd"/>
      <w:r w:rsidR="00742CC0">
        <w:rPr>
          <w:rFonts w:ascii="Cambria" w:hAnsi="Cambria"/>
          <w:lang w:val="en-US"/>
        </w:rPr>
        <w:t xml:space="preserve"> or tacrolimus). They are both (</w:t>
      </w:r>
      <w:r w:rsidR="00742CC0" w:rsidRPr="00742CC0">
        <w:rPr>
          <w:rFonts w:ascii="Cambria" w:hAnsi="Cambria"/>
          <w:i/>
          <w:lang w:val="en-US"/>
        </w:rPr>
        <w:t>in vitro</w:t>
      </w:r>
      <w:r w:rsidR="00742CC0">
        <w:rPr>
          <w:rFonts w:ascii="Cambria" w:hAnsi="Cambria"/>
          <w:lang w:val="en-US"/>
        </w:rPr>
        <w:t xml:space="preserve">) </w:t>
      </w:r>
      <w:r w:rsidR="00D0169E">
        <w:rPr>
          <w:rFonts w:ascii="Cambria" w:hAnsi="Cambria"/>
          <w:lang w:val="en-US"/>
        </w:rPr>
        <w:t xml:space="preserve">potent </w:t>
      </w:r>
      <w:r w:rsidR="00742CC0">
        <w:rPr>
          <w:rFonts w:ascii="Cambria" w:hAnsi="Cambria"/>
          <w:lang w:val="en-US"/>
        </w:rPr>
        <w:t>ABCG2 inhibitors</w:t>
      </w:r>
      <w:r w:rsidR="00D0169E">
        <w:rPr>
          <w:rFonts w:ascii="Cambria" w:hAnsi="Cambria"/>
          <w:lang w:val="en-US"/>
        </w:rPr>
        <w:t xml:space="preserve">, but it is possible that </w:t>
      </w:r>
      <w:r w:rsidR="00D0169E" w:rsidRPr="00D0169E">
        <w:rPr>
          <w:rFonts w:ascii="Cambria" w:hAnsi="Cambria"/>
          <w:i/>
          <w:lang w:val="en-US"/>
        </w:rPr>
        <w:t>in vivo</w:t>
      </w:r>
      <w:r w:rsidR="00D0169E">
        <w:rPr>
          <w:rFonts w:ascii="Cambria" w:hAnsi="Cambria"/>
          <w:lang w:val="en-US"/>
        </w:rPr>
        <w:t xml:space="preserve"> (at therapeutic doses) they differ in their inhibitory</w:t>
      </w:r>
      <w:r w:rsidR="00A97055">
        <w:rPr>
          <w:rFonts w:ascii="Cambria" w:hAnsi="Cambria"/>
          <w:lang w:val="en-US"/>
        </w:rPr>
        <w:t xml:space="preserve"> effect</w:t>
      </w:r>
      <w:r w:rsidR="00D0169E">
        <w:rPr>
          <w:rFonts w:ascii="Cambria" w:hAnsi="Cambria"/>
          <w:lang w:val="en-US"/>
        </w:rPr>
        <w:t xml:space="preserve"> – </w:t>
      </w:r>
      <w:r w:rsidR="00D0169E" w:rsidRPr="00D0169E">
        <w:rPr>
          <w:rFonts w:ascii="Cambria" w:hAnsi="Cambria"/>
          <w:i/>
          <w:lang w:val="en-US"/>
        </w:rPr>
        <w:t>in vitro</w:t>
      </w:r>
      <w:r w:rsidR="00D0169E">
        <w:rPr>
          <w:rFonts w:ascii="Cambria" w:hAnsi="Cambria"/>
          <w:lang w:val="en-US"/>
        </w:rPr>
        <w:t xml:space="preserve">, </w:t>
      </w:r>
      <w:proofErr w:type="spellStart"/>
      <w:r w:rsidR="00D0169E">
        <w:rPr>
          <w:rFonts w:ascii="Cambria" w:hAnsi="Cambria"/>
          <w:lang w:val="en-US"/>
        </w:rPr>
        <w:t>CsA</w:t>
      </w:r>
      <w:proofErr w:type="spellEnd"/>
      <w:r w:rsidR="00D0169E">
        <w:rPr>
          <w:rFonts w:ascii="Cambria" w:hAnsi="Cambria"/>
          <w:lang w:val="en-US"/>
        </w:rPr>
        <w:t xml:space="preserve"> is particularly (and more) potent when the number of transporter is reduced [1</w:t>
      </w:r>
      <w:r w:rsidR="00E8694E">
        <w:rPr>
          <w:rFonts w:ascii="Cambria" w:hAnsi="Cambria"/>
          <w:lang w:val="en-US"/>
        </w:rPr>
        <w:t>2</w:t>
      </w:r>
      <w:r w:rsidR="00D0169E">
        <w:rPr>
          <w:rFonts w:ascii="Cambria" w:hAnsi="Cambria"/>
          <w:lang w:val="en-US"/>
        </w:rPr>
        <w:t xml:space="preserve">] (as in the case of the </w:t>
      </w:r>
      <w:r w:rsidR="00D0169E" w:rsidRPr="00D0169E">
        <w:rPr>
          <w:rFonts w:ascii="Cambria" w:hAnsi="Cambria"/>
          <w:i/>
          <w:lang w:val="en-US"/>
        </w:rPr>
        <w:t>ABCG2</w:t>
      </w:r>
      <w:r w:rsidR="00D0169E">
        <w:rPr>
          <w:rFonts w:ascii="Cambria" w:hAnsi="Cambria"/>
          <w:lang w:val="en-US"/>
        </w:rPr>
        <w:t xml:space="preserve"> </w:t>
      </w:r>
      <w:r w:rsidR="00D0169E" w:rsidRPr="00D0169E">
        <w:rPr>
          <w:rFonts w:ascii="Cambria" w:hAnsi="Cambria"/>
          <w:i/>
          <w:lang w:val="en-US"/>
        </w:rPr>
        <w:t>c.421</w:t>
      </w:r>
      <w:r w:rsidR="00D0169E">
        <w:rPr>
          <w:rFonts w:ascii="Cambria" w:hAnsi="Cambria"/>
          <w:lang w:val="en-US"/>
        </w:rPr>
        <w:t xml:space="preserve"> SNP). Next, </w:t>
      </w:r>
      <w:proofErr w:type="spellStart"/>
      <w:r w:rsidR="00D0169E">
        <w:rPr>
          <w:rFonts w:ascii="Cambria" w:hAnsi="Cambria"/>
          <w:lang w:val="en-US"/>
        </w:rPr>
        <w:t>CsA</w:t>
      </w:r>
      <w:proofErr w:type="spellEnd"/>
      <w:r w:rsidR="00D0169E">
        <w:rPr>
          <w:rFonts w:ascii="Cambria" w:hAnsi="Cambria"/>
          <w:lang w:val="en-US"/>
        </w:rPr>
        <w:t xml:space="preserve"> inhibits ABCC2 (ABCC2 activity is another unmeasured variable in this setting)</w:t>
      </w:r>
      <w:r w:rsidR="00E8694E">
        <w:rPr>
          <w:rFonts w:ascii="Cambria" w:hAnsi="Cambria"/>
          <w:lang w:val="en-US"/>
        </w:rPr>
        <w:t xml:space="preserve"> and affects MPAG/MPA recirculation and exposure, while tacrolimus does not [13]</w:t>
      </w:r>
      <w:r w:rsidR="008D1676">
        <w:rPr>
          <w:rFonts w:ascii="Cambria" w:hAnsi="Cambria"/>
          <w:lang w:val="en-US"/>
        </w:rPr>
        <w:t xml:space="preserve">. Also, both </w:t>
      </w:r>
      <w:proofErr w:type="spellStart"/>
      <w:r w:rsidR="008D1676">
        <w:rPr>
          <w:rFonts w:ascii="Cambria" w:hAnsi="Cambria"/>
          <w:lang w:val="en-US"/>
        </w:rPr>
        <w:t>CsA</w:t>
      </w:r>
      <w:proofErr w:type="spellEnd"/>
      <w:r w:rsidR="008D1676">
        <w:rPr>
          <w:rFonts w:ascii="Cambria" w:hAnsi="Cambria"/>
          <w:lang w:val="en-US"/>
        </w:rPr>
        <w:t xml:space="preserve"> and tacrolimus may both inhibit and induce ABCB1 activity (a further unmeasured variable) [14], and may differ in this respect, and MPA is a substrate of ABCB1 [15]. Also, </w:t>
      </w:r>
      <w:proofErr w:type="spellStart"/>
      <w:r w:rsidR="008D1676">
        <w:rPr>
          <w:rFonts w:ascii="Cambria" w:hAnsi="Cambria"/>
          <w:lang w:val="en-US"/>
        </w:rPr>
        <w:t>CsA</w:t>
      </w:r>
      <w:proofErr w:type="spellEnd"/>
      <w:r w:rsidR="008D1676">
        <w:rPr>
          <w:rFonts w:ascii="Cambria" w:hAnsi="Cambria"/>
          <w:lang w:val="en-US"/>
        </w:rPr>
        <w:t>, but not tacrolimus, is listed among SLCO inhibitors [1</w:t>
      </w:r>
      <w:r w:rsidR="0021202D">
        <w:rPr>
          <w:rFonts w:ascii="Cambria" w:hAnsi="Cambria"/>
          <w:lang w:val="en-US"/>
        </w:rPr>
        <w:t>5</w:t>
      </w:r>
      <w:r w:rsidR="008D1676">
        <w:rPr>
          <w:rFonts w:ascii="Cambria" w:hAnsi="Cambria"/>
          <w:lang w:val="en-US"/>
        </w:rPr>
        <w:t xml:space="preserve">] – thus, it can affect SLCO1B1 and/or 1B3 activity (further unmeasured variables), and MPAG is </w:t>
      </w:r>
      <w:r w:rsidR="003F10A7">
        <w:rPr>
          <w:rFonts w:ascii="Cambria" w:hAnsi="Cambria"/>
          <w:lang w:val="en-US"/>
        </w:rPr>
        <w:t xml:space="preserve">a </w:t>
      </w:r>
      <w:r w:rsidR="008D1676">
        <w:rPr>
          <w:rFonts w:ascii="Cambria" w:hAnsi="Cambria"/>
          <w:lang w:val="en-US"/>
        </w:rPr>
        <w:t xml:space="preserve">substrate </w:t>
      </w:r>
      <w:r w:rsidR="00A516A6">
        <w:rPr>
          <w:rFonts w:ascii="Cambria" w:hAnsi="Cambria"/>
          <w:lang w:val="en-US"/>
        </w:rPr>
        <w:t>of</w:t>
      </w:r>
      <w:r w:rsidR="008D1676">
        <w:rPr>
          <w:rFonts w:ascii="Cambria" w:hAnsi="Cambria"/>
          <w:lang w:val="en-US"/>
        </w:rPr>
        <w:t xml:space="preserve"> both [1]</w:t>
      </w:r>
      <w:r w:rsidR="00E034E8">
        <w:rPr>
          <w:rFonts w:ascii="Cambria" w:hAnsi="Cambria"/>
          <w:lang w:val="en-US"/>
        </w:rPr>
        <w:t xml:space="preserve">; ii) </w:t>
      </w:r>
      <w:r w:rsidR="00E034E8" w:rsidRPr="00E034E8">
        <w:rPr>
          <w:rFonts w:ascii="Cambria" w:hAnsi="Cambria"/>
          <w:i/>
          <w:lang w:val="en-US"/>
        </w:rPr>
        <w:t>ABCB1 2677/345/1236</w:t>
      </w:r>
      <w:r w:rsidR="00E034E8">
        <w:rPr>
          <w:rFonts w:ascii="Cambria" w:hAnsi="Cambria"/>
          <w:lang w:val="en-US"/>
        </w:rPr>
        <w:t xml:space="preserve"> SNPs (as </w:t>
      </w:r>
      <w:proofErr w:type="spellStart"/>
      <w:r w:rsidR="00E034E8">
        <w:rPr>
          <w:rFonts w:ascii="Cambria" w:hAnsi="Cambria"/>
          <w:lang w:val="en-US"/>
        </w:rPr>
        <w:t>diplotypes</w:t>
      </w:r>
      <w:proofErr w:type="spellEnd"/>
      <w:r w:rsidR="00A516A6">
        <w:rPr>
          <w:rFonts w:ascii="Cambria" w:hAnsi="Cambria"/>
          <w:lang w:val="en-US"/>
        </w:rPr>
        <w:t>, since in LD</w:t>
      </w:r>
      <w:r w:rsidR="00E034E8">
        <w:rPr>
          <w:rFonts w:ascii="Cambria" w:hAnsi="Cambria"/>
          <w:lang w:val="en-US"/>
        </w:rPr>
        <w:t>) reflect on ABCB1 activity</w:t>
      </w:r>
      <w:r w:rsidR="00A516A6">
        <w:rPr>
          <w:rFonts w:ascii="Cambria" w:hAnsi="Cambria"/>
          <w:lang w:val="en-US"/>
        </w:rPr>
        <w:t xml:space="preserve"> (not measured)</w:t>
      </w:r>
      <w:r w:rsidR="00E034E8">
        <w:rPr>
          <w:rFonts w:ascii="Cambria" w:hAnsi="Cambria"/>
          <w:lang w:val="en-US"/>
        </w:rPr>
        <w:t xml:space="preserve">, hence they affect MPA (outcome), and also the exposure: both </w:t>
      </w:r>
      <w:proofErr w:type="spellStart"/>
      <w:r w:rsidR="00E034E8">
        <w:rPr>
          <w:rFonts w:ascii="Cambria" w:hAnsi="Cambria"/>
          <w:lang w:val="en-US"/>
        </w:rPr>
        <w:t>CsA</w:t>
      </w:r>
      <w:proofErr w:type="spellEnd"/>
      <w:r w:rsidR="00E034E8">
        <w:rPr>
          <w:rFonts w:ascii="Cambria" w:hAnsi="Cambria"/>
          <w:lang w:val="en-US"/>
        </w:rPr>
        <w:t xml:space="preserve"> and tacrolimus are also ABCB1 substrates [14], hence altered ABCB1 activity may reflect on their trough concentrations, and this may result in </w:t>
      </w:r>
      <w:r w:rsidR="00A97055">
        <w:rPr>
          <w:rFonts w:ascii="Cambria" w:hAnsi="Cambria"/>
          <w:lang w:val="en-US"/>
        </w:rPr>
        <w:t xml:space="preserve">a </w:t>
      </w:r>
      <w:r w:rsidR="00E034E8">
        <w:rPr>
          <w:rFonts w:ascii="Cambria" w:hAnsi="Cambria"/>
          <w:lang w:val="en-US"/>
        </w:rPr>
        <w:t xml:space="preserve">variable effect on ABCG2 activity (exposure); </w:t>
      </w:r>
      <w:r w:rsidR="00EF468E">
        <w:rPr>
          <w:rFonts w:ascii="Cambria" w:hAnsi="Cambria"/>
          <w:lang w:val="en-US"/>
        </w:rPr>
        <w:t>iii)</w:t>
      </w:r>
      <w:r w:rsidR="003F10A7">
        <w:rPr>
          <w:rFonts w:ascii="Cambria" w:hAnsi="Cambria"/>
          <w:lang w:val="en-US"/>
        </w:rPr>
        <w:t xml:space="preserve"> </w:t>
      </w:r>
      <w:r w:rsidR="003F10A7" w:rsidRPr="003F10A7">
        <w:rPr>
          <w:rFonts w:ascii="Cambria" w:hAnsi="Cambria"/>
          <w:i/>
          <w:lang w:val="en-US"/>
        </w:rPr>
        <w:t>ABCC2 -24 or/and 1249</w:t>
      </w:r>
      <w:r w:rsidR="003F10A7">
        <w:rPr>
          <w:rFonts w:ascii="Cambria" w:hAnsi="Cambria"/>
          <w:lang w:val="en-US"/>
        </w:rPr>
        <w:t xml:space="preserve"> SNPs may reflect on ABCC2 activity and MPAG is an ABCC2 substrate. Also, although ABCC2 is not considered relevant in </w:t>
      </w:r>
      <w:proofErr w:type="spellStart"/>
      <w:r w:rsidR="003F10A7">
        <w:rPr>
          <w:rFonts w:ascii="Cambria" w:hAnsi="Cambria"/>
          <w:lang w:val="en-US"/>
        </w:rPr>
        <w:t>CsA</w:t>
      </w:r>
      <w:proofErr w:type="spellEnd"/>
      <w:r w:rsidR="003F10A7">
        <w:rPr>
          <w:rFonts w:ascii="Cambria" w:hAnsi="Cambria"/>
          <w:lang w:val="en-US"/>
        </w:rPr>
        <w:t xml:space="preserve"> and tacrolimus pharmacokinetic pathways [10], </w:t>
      </w:r>
      <w:r w:rsidR="000939FE">
        <w:rPr>
          <w:rFonts w:ascii="Cambria" w:hAnsi="Cambria"/>
          <w:lang w:val="en-US"/>
        </w:rPr>
        <w:t xml:space="preserve">ABCC2 (and -24/1249 SNPs) may affect </w:t>
      </w:r>
      <w:r w:rsidR="003F10A7">
        <w:rPr>
          <w:rFonts w:ascii="Cambria" w:hAnsi="Cambria"/>
          <w:lang w:val="en-US"/>
        </w:rPr>
        <w:t>tacrolimus</w:t>
      </w:r>
      <w:r w:rsidR="00633EBC">
        <w:rPr>
          <w:rFonts w:ascii="Cambria" w:hAnsi="Cambria"/>
          <w:lang w:val="en-US"/>
        </w:rPr>
        <w:t xml:space="preserve"> [1</w:t>
      </w:r>
      <w:r w:rsidR="0021202D">
        <w:rPr>
          <w:rFonts w:ascii="Cambria" w:hAnsi="Cambria"/>
          <w:lang w:val="en-US"/>
        </w:rPr>
        <w:t>6</w:t>
      </w:r>
      <w:r w:rsidR="00633EBC">
        <w:rPr>
          <w:rFonts w:ascii="Cambria" w:hAnsi="Cambria"/>
          <w:lang w:val="en-US"/>
        </w:rPr>
        <w:t>]</w:t>
      </w:r>
      <w:r w:rsidR="003F10A7">
        <w:rPr>
          <w:rFonts w:ascii="Cambria" w:hAnsi="Cambria"/>
          <w:lang w:val="en-US"/>
        </w:rPr>
        <w:t xml:space="preserve"> – hence, affect its concentrations which might reflect on its effect on ABCG2 activity; iv) </w:t>
      </w:r>
      <w:r w:rsidR="002A585A">
        <w:rPr>
          <w:rFonts w:ascii="Cambria" w:hAnsi="Cambria"/>
          <w:lang w:val="en-US"/>
        </w:rPr>
        <w:t>d</w:t>
      </w:r>
      <w:r w:rsidR="003F10A7">
        <w:rPr>
          <w:rFonts w:ascii="Cambria" w:hAnsi="Cambria"/>
          <w:lang w:val="en-US"/>
        </w:rPr>
        <w:t xml:space="preserve">onor’s </w:t>
      </w:r>
      <w:r w:rsidR="003F10A7" w:rsidRPr="003F10A7">
        <w:rPr>
          <w:rFonts w:ascii="Cambria" w:hAnsi="Cambria"/>
          <w:i/>
          <w:lang w:val="en-US"/>
        </w:rPr>
        <w:t>ABCC2 1249</w:t>
      </w:r>
      <w:r w:rsidR="003F10A7">
        <w:rPr>
          <w:rFonts w:ascii="Cambria" w:hAnsi="Cambria"/>
          <w:lang w:val="en-US"/>
        </w:rPr>
        <w:t xml:space="preserve"> SNP </w:t>
      </w:r>
      <w:r w:rsidR="00633EBC">
        <w:rPr>
          <w:rFonts w:ascii="Cambria" w:hAnsi="Cambria"/>
          <w:lang w:val="en-US"/>
        </w:rPr>
        <w:t>might reflect on MPA (presumably, by affecting MPAG in the kidney) [1</w:t>
      </w:r>
      <w:r w:rsidR="0021202D">
        <w:rPr>
          <w:rFonts w:ascii="Cambria" w:hAnsi="Cambria"/>
          <w:lang w:val="en-US"/>
        </w:rPr>
        <w:t>7</w:t>
      </w:r>
      <w:r w:rsidR="00633EBC">
        <w:rPr>
          <w:rFonts w:ascii="Cambria" w:hAnsi="Cambria"/>
          <w:lang w:val="en-US"/>
        </w:rPr>
        <w:t>], and, at least theoretically, on tacrolimus [1</w:t>
      </w:r>
      <w:r w:rsidR="0021202D">
        <w:rPr>
          <w:rFonts w:ascii="Cambria" w:hAnsi="Cambria"/>
          <w:lang w:val="en-US"/>
        </w:rPr>
        <w:t>6</w:t>
      </w:r>
      <w:r w:rsidR="00633EBC">
        <w:rPr>
          <w:rFonts w:ascii="Cambria" w:hAnsi="Cambria"/>
          <w:lang w:val="en-US"/>
        </w:rPr>
        <w:t xml:space="preserve">] (although renal excretion is of minor relevance for tacrolimus [10]), and thus contribute to the variability of tacrolimus effect on ABCG2 activity; </w:t>
      </w:r>
      <w:r w:rsidR="00492C8E">
        <w:rPr>
          <w:rFonts w:ascii="Cambria" w:hAnsi="Cambria"/>
          <w:lang w:val="en-US"/>
        </w:rPr>
        <w:t xml:space="preserve"> v) </w:t>
      </w:r>
      <w:r w:rsidR="00492C8E" w:rsidRPr="000939FE">
        <w:rPr>
          <w:rFonts w:ascii="Cambria" w:hAnsi="Cambria"/>
          <w:i/>
          <w:lang w:val="en-US"/>
        </w:rPr>
        <w:t>UGT2B7 -161</w:t>
      </w:r>
      <w:r w:rsidR="00492C8E">
        <w:rPr>
          <w:rFonts w:ascii="Cambria" w:hAnsi="Cambria"/>
          <w:lang w:val="en-US"/>
        </w:rPr>
        <w:t xml:space="preserve"> SNP is in a complete LD with </w:t>
      </w:r>
      <w:r w:rsidR="000939FE">
        <w:rPr>
          <w:rFonts w:ascii="Cambria" w:hAnsi="Cambria"/>
          <w:lang w:val="en-US"/>
        </w:rPr>
        <w:t xml:space="preserve"> the </w:t>
      </w:r>
      <w:r w:rsidR="00492C8E" w:rsidRPr="00D373DF">
        <w:rPr>
          <w:rFonts w:ascii="Cambria" w:hAnsi="Cambria"/>
          <w:i/>
          <w:lang w:val="en-US"/>
        </w:rPr>
        <w:t>UGT1B7 802</w:t>
      </w:r>
      <w:r w:rsidR="000939FE">
        <w:rPr>
          <w:rFonts w:ascii="Cambria" w:hAnsi="Cambria"/>
          <w:lang w:val="en-US"/>
        </w:rPr>
        <w:t xml:space="preserve"> SNP [1</w:t>
      </w:r>
      <w:r w:rsidR="0021202D">
        <w:rPr>
          <w:rFonts w:ascii="Cambria" w:hAnsi="Cambria"/>
          <w:lang w:val="en-US"/>
        </w:rPr>
        <w:t>8</w:t>
      </w:r>
      <w:r w:rsidR="000939FE">
        <w:rPr>
          <w:rFonts w:ascii="Cambria" w:hAnsi="Cambria"/>
          <w:lang w:val="en-US"/>
        </w:rPr>
        <w:t>], hence it “represent</w:t>
      </w:r>
      <w:r w:rsidR="00AD5A29">
        <w:rPr>
          <w:rFonts w:ascii="Cambria" w:hAnsi="Cambria"/>
          <w:lang w:val="en-US"/>
        </w:rPr>
        <w:t>s</w:t>
      </w:r>
      <w:r w:rsidR="000939FE">
        <w:rPr>
          <w:rFonts w:ascii="Cambria" w:hAnsi="Cambria"/>
          <w:lang w:val="en-US"/>
        </w:rPr>
        <w:t>” the 802 SNP. By affecting UGT2B7 activity</w:t>
      </w:r>
      <w:r w:rsidR="003673F6">
        <w:rPr>
          <w:rFonts w:ascii="Cambria" w:hAnsi="Cambria"/>
          <w:lang w:val="en-US"/>
        </w:rPr>
        <w:t xml:space="preserve"> (not measured)</w:t>
      </w:r>
      <w:r w:rsidR="000939FE">
        <w:rPr>
          <w:rFonts w:ascii="Cambria" w:hAnsi="Cambria"/>
          <w:lang w:val="en-US"/>
        </w:rPr>
        <w:t xml:space="preserve">, it </w:t>
      </w:r>
      <w:r w:rsidR="00D373DF">
        <w:rPr>
          <w:rFonts w:ascii="Cambria" w:hAnsi="Cambria"/>
          <w:lang w:val="en-US"/>
        </w:rPr>
        <w:t>would affect</w:t>
      </w:r>
      <w:r w:rsidR="00A679EB">
        <w:rPr>
          <w:rFonts w:ascii="Cambria" w:hAnsi="Cambria"/>
          <w:lang w:val="en-US"/>
        </w:rPr>
        <w:t xml:space="preserve"> MPA </w:t>
      </w:r>
      <w:proofErr w:type="spellStart"/>
      <w:r w:rsidR="00A679EB">
        <w:rPr>
          <w:rFonts w:ascii="Cambria" w:hAnsi="Cambria"/>
          <w:lang w:val="en-US"/>
        </w:rPr>
        <w:t>glucuronid</w:t>
      </w:r>
      <w:r w:rsidR="00AD5A29">
        <w:rPr>
          <w:rFonts w:ascii="Cambria" w:hAnsi="Cambria"/>
          <w:lang w:val="en-US"/>
        </w:rPr>
        <w:t>ation</w:t>
      </w:r>
      <w:proofErr w:type="spellEnd"/>
      <w:r w:rsidR="00AD5A29">
        <w:rPr>
          <w:rFonts w:ascii="Cambria" w:hAnsi="Cambria"/>
          <w:lang w:val="en-US"/>
        </w:rPr>
        <w:t xml:space="preserve">. On the other hand, </w:t>
      </w:r>
      <w:r w:rsidR="00DA4605">
        <w:rPr>
          <w:rFonts w:ascii="Cambria" w:hAnsi="Cambria"/>
          <w:lang w:val="en-US"/>
        </w:rPr>
        <w:t xml:space="preserve">one study demonstrated </w:t>
      </w:r>
      <w:r w:rsidR="00D373DF">
        <w:rPr>
          <w:rFonts w:ascii="Cambria" w:hAnsi="Cambria"/>
          <w:lang w:val="en-US"/>
        </w:rPr>
        <w:t xml:space="preserve">direct </w:t>
      </w:r>
      <w:proofErr w:type="spellStart"/>
      <w:r w:rsidR="00D373DF">
        <w:rPr>
          <w:rFonts w:ascii="Cambria" w:hAnsi="Cambria"/>
          <w:lang w:val="en-US"/>
        </w:rPr>
        <w:t>glucuronidation</w:t>
      </w:r>
      <w:proofErr w:type="spellEnd"/>
      <w:r w:rsidR="00D373DF">
        <w:rPr>
          <w:rFonts w:ascii="Cambria" w:hAnsi="Cambria"/>
          <w:lang w:val="en-US"/>
        </w:rPr>
        <w:t xml:space="preserve"> of </w:t>
      </w:r>
      <w:proofErr w:type="spellStart"/>
      <w:r w:rsidR="00D373DF">
        <w:rPr>
          <w:rFonts w:ascii="Cambria" w:hAnsi="Cambria"/>
          <w:lang w:val="en-US"/>
        </w:rPr>
        <w:t>CsA</w:t>
      </w:r>
      <w:proofErr w:type="spellEnd"/>
      <w:r w:rsidR="00D373DF">
        <w:rPr>
          <w:rFonts w:ascii="Cambria" w:hAnsi="Cambria"/>
          <w:lang w:val="en-US"/>
        </w:rPr>
        <w:t xml:space="preserve"> and tacrolimus in human gut and liver by </w:t>
      </w:r>
      <w:r w:rsidR="00DA4605">
        <w:rPr>
          <w:rFonts w:ascii="Cambria" w:hAnsi="Cambria"/>
          <w:lang w:val="en-US"/>
        </w:rPr>
        <w:t>UGT2B7</w:t>
      </w:r>
      <w:r w:rsidR="00D373DF">
        <w:rPr>
          <w:rFonts w:ascii="Cambria" w:hAnsi="Cambria"/>
          <w:lang w:val="en-US"/>
        </w:rPr>
        <w:t xml:space="preserve"> [</w:t>
      </w:r>
      <w:r w:rsidR="0021202D">
        <w:rPr>
          <w:rFonts w:ascii="Cambria" w:hAnsi="Cambria"/>
          <w:lang w:val="en-US"/>
        </w:rPr>
        <w:t>19</w:t>
      </w:r>
      <w:r w:rsidR="00D373DF">
        <w:rPr>
          <w:rFonts w:ascii="Cambria" w:hAnsi="Cambria"/>
          <w:lang w:val="en-US"/>
        </w:rPr>
        <w:t xml:space="preserve">] </w:t>
      </w:r>
      <w:r w:rsidR="00DA4605">
        <w:rPr>
          <w:rFonts w:ascii="Cambria" w:hAnsi="Cambria"/>
          <w:lang w:val="en-US"/>
        </w:rPr>
        <w:t>– hence, it might affect CNI concentrations, and, consequently, their effect on ABCG2 activity;</w:t>
      </w:r>
      <w:r w:rsidR="00D373DF">
        <w:rPr>
          <w:rFonts w:ascii="Cambria" w:hAnsi="Cambria"/>
          <w:lang w:val="en-US"/>
        </w:rPr>
        <w:t xml:space="preserve"> </w:t>
      </w:r>
      <w:proofErr w:type="gramStart"/>
      <w:r w:rsidR="00D373DF">
        <w:rPr>
          <w:rFonts w:ascii="Cambria" w:hAnsi="Cambria"/>
          <w:lang w:val="en-US"/>
        </w:rPr>
        <w:t>vi</w:t>
      </w:r>
      <w:proofErr w:type="gramEnd"/>
      <w:r w:rsidR="00D373DF">
        <w:rPr>
          <w:rFonts w:ascii="Cambria" w:hAnsi="Cambria"/>
          <w:lang w:val="en-US"/>
        </w:rPr>
        <w:t>)</w:t>
      </w:r>
      <w:r w:rsidR="00CB0A1F">
        <w:rPr>
          <w:rFonts w:ascii="Cambria" w:hAnsi="Cambria"/>
          <w:lang w:val="en-US"/>
        </w:rPr>
        <w:t xml:space="preserve"> </w:t>
      </w:r>
      <w:r w:rsidR="008561F5" w:rsidRPr="008561F5">
        <w:rPr>
          <w:rFonts w:ascii="Cambria" w:hAnsi="Cambria"/>
          <w:i/>
          <w:lang w:val="en-US"/>
        </w:rPr>
        <w:t>SCLO1B1 521</w:t>
      </w:r>
      <w:r w:rsidR="008561F5">
        <w:rPr>
          <w:rFonts w:ascii="Cambria" w:hAnsi="Cambria"/>
          <w:lang w:val="en-US"/>
        </w:rPr>
        <w:t xml:space="preserve"> SNP (and linked SNPs) – may affect SLCO1B1 activity (not measured) and MPAG is a substrate to SLCO1B1. However, SLCO1B1 may also transport tacrolimus [2</w:t>
      </w:r>
      <w:r w:rsidR="00FA31F9">
        <w:rPr>
          <w:rFonts w:ascii="Cambria" w:hAnsi="Cambria"/>
          <w:lang w:val="en-US"/>
        </w:rPr>
        <w:t>0</w:t>
      </w:r>
      <w:r w:rsidR="008561F5">
        <w:rPr>
          <w:rFonts w:ascii="Cambria" w:hAnsi="Cambria"/>
          <w:lang w:val="en-US"/>
        </w:rPr>
        <w:t xml:space="preserve">], hence affect its concentrations and the effect on ABCG2; vii) </w:t>
      </w:r>
      <w:r w:rsidR="002A585A">
        <w:rPr>
          <w:rFonts w:ascii="Cambria" w:hAnsi="Cambria"/>
          <w:lang w:val="en-US"/>
        </w:rPr>
        <w:t>s</w:t>
      </w:r>
      <w:r w:rsidR="008561F5">
        <w:rPr>
          <w:rFonts w:ascii="Cambria" w:hAnsi="Cambria"/>
          <w:lang w:val="en-US"/>
        </w:rPr>
        <w:t xml:space="preserve">erum albumin levels and diseases that might interfere with pharmacokinetics of MPA and of CNI – Figure S1A is simplified in that these factors were considered jointly (since also possibly inter-related): hypoalbuminemia is known factor affecting exposure to MPA, and </w:t>
      </w:r>
      <w:r w:rsidR="008561F5">
        <w:rPr>
          <w:rFonts w:ascii="Cambria" w:hAnsi="Cambria"/>
          <w:lang w:val="en-US"/>
        </w:rPr>
        <w:lastRenderedPageBreak/>
        <w:t xml:space="preserve">various systemic conditions in the early post-transplant stage can be reasonably considered as factors that could affect both exposure to MPA and CNI levels (and, thus, CNI effects on ABCG2 activity); viii) Food (concomitant) may interfere with absorption of both MPA and CNIs (and their concentrations); ix) </w:t>
      </w:r>
      <w:r w:rsidR="0015750B">
        <w:rPr>
          <w:rFonts w:ascii="Cambria" w:hAnsi="Cambria"/>
          <w:lang w:val="en-US"/>
        </w:rPr>
        <w:t>Renal function and its commonly measurable “prox</w:t>
      </w:r>
      <w:r>
        <w:rPr>
          <w:rFonts w:ascii="Cambria" w:hAnsi="Cambria"/>
          <w:lang w:val="en-US"/>
        </w:rPr>
        <w:t>y</w:t>
      </w:r>
      <w:r w:rsidR="0015750B">
        <w:rPr>
          <w:rFonts w:ascii="Cambria" w:hAnsi="Cambria"/>
          <w:lang w:val="en-US"/>
        </w:rPr>
        <w:t>” – estimated creatinine clearance (</w:t>
      </w:r>
      <w:proofErr w:type="spellStart"/>
      <w:r w:rsidR="0015750B">
        <w:rPr>
          <w:rFonts w:ascii="Cambria" w:hAnsi="Cambria"/>
          <w:lang w:val="en-US"/>
        </w:rPr>
        <w:t>eCrCl</w:t>
      </w:r>
      <w:proofErr w:type="spellEnd"/>
      <w:r w:rsidR="0015750B">
        <w:rPr>
          <w:rFonts w:ascii="Cambria" w:hAnsi="Cambria"/>
          <w:lang w:val="en-US"/>
        </w:rPr>
        <w:t xml:space="preserve">) – may reflect on bioavailability of MPA and of CNI (although, this is a minor pathway for CNIs [10]), hence on both “exposure” and the “outcome”; </w:t>
      </w:r>
      <w:r w:rsidR="002A585A">
        <w:rPr>
          <w:rFonts w:ascii="Cambria" w:hAnsi="Cambria"/>
          <w:lang w:val="en-US"/>
        </w:rPr>
        <w:t xml:space="preserve">x) age, body mass index (Figure S1B is simplified in that it combines these two demographic factors and omits all possible interconnections between demographics, concomitant morbidity, liver and renal function) – have been found related to bioavailability of all </w:t>
      </w:r>
      <w:proofErr w:type="spellStart"/>
      <w:r w:rsidR="002A585A">
        <w:rPr>
          <w:rFonts w:ascii="Cambria" w:hAnsi="Cambria"/>
          <w:lang w:val="en-US"/>
        </w:rPr>
        <w:t>immunosuppressants</w:t>
      </w:r>
      <w:proofErr w:type="spellEnd"/>
      <w:r w:rsidR="002A585A">
        <w:rPr>
          <w:rFonts w:ascii="Cambria" w:hAnsi="Cambria"/>
          <w:lang w:val="en-US"/>
        </w:rPr>
        <w:t xml:space="preserve"> (at least to some extent; e.g., by reflecting on renal function, liver function, or in any other way), hence they affect both the “exposure” and the “outcome”. </w:t>
      </w:r>
      <w:r w:rsidR="00DB0B3F">
        <w:rPr>
          <w:rFonts w:ascii="Cambria" w:hAnsi="Cambria"/>
          <w:lang w:val="en-US"/>
        </w:rPr>
        <w:t xml:space="preserve">6. </w:t>
      </w:r>
      <w:r w:rsidR="00DB0B3F" w:rsidRPr="00DB0B3F">
        <w:rPr>
          <w:rFonts w:ascii="Cambria" w:hAnsi="Cambria"/>
          <w:b/>
          <w:lang w:val="en-US"/>
        </w:rPr>
        <w:t>Unobserved (known) confounder</w:t>
      </w:r>
      <w:r w:rsidR="00DB0B3F">
        <w:rPr>
          <w:rFonts w:ascii="Cambria" w:hAnsi="Cambria"/>
          <w:lang w:val="en-US"/>
        </w:rPr>
        <w:t xml:space="preserve"> – </w:t>
      </w:r>
      <w:r w:rsidR="00DB0B3F" w:rsidRPr="00DB0B3F">
        <w:rPr>
          <w:rFonts w:ascii="Cambria" w:hAnsi="Cambria"/>
          <w:i/>
          <w:lang w:val="en-US"/>
        </w:rPr>
        <w:t>SLCO1B3 c.334</w:t>
      </w:r>
      <w:r w:rsidR="00DB0B3F">
        <w:rPr>
          <w:rFonts w:ascii="Cambria" w:hAnsi="Cambria"/>
          <w:lang w:val="en-US"/>
        </w:rPr>
        <w:t xml:space="preserve"> SNP (and linked SNPs). In complex </w:t>
      </w:r>
      <w:proofErr w:type="spellStart"/>
      <w:r w:rsidR="00DB0B3F">
        <w:rPr>
          <w:rFonts w:ascii="Cambria" w:hAnsi="Cambria"/>
          <w:lang w:val="en-US"/>
        </w:rPr>
        <w:t>pharmacogenetic</w:t>
      </w:r>
      <w:proofErr w:type="spellEnd"/>
      <w:r w:rsidR="00DB0B3F">
        <w:rPr>
          <w:rFonts w:ascii="Cambria" w:hAnsi="Cambria"/>
          <w:lang w:val="en-US"/>
        </w:rPr>
        <w:t xml:space="preserve"> settings, a number of unmeasured/unknown confounders are possible. </w:t>
      </w:r>
      <w:r w:rsidR="005F6BA8" w:rsidRPr="005F6BA8">
        <w:rPr>
          <w:rFonts w:ascii="Cambria" w:hAnsi="Cambria"/>
          <w:i/>
          <w:lang w:val="en-US"/>
        </w:rPr>
        <w:t>SLCO1B3 c.334</w:t>
      </w:r>
      <w:r w:rsidR="005F6BA8">
        <w:rPr>
          <w:rFonts w:ascii="Cambria" w:hAnsi="Cambria"/>
          <w:lang w:val="en-US"/>
        </w:rPr>
        <w:t xml:space="preserve"> SNP would qualify as a known (although </w:t>
      </w:r>
      <w:r w:rsidR="00FA31F9">
        <w:rPr>
          <w:rFonts w:ascii="Cambria" w:hAnsi="Cambria"/>
          <w:lang w:val="en-US"/>
        </w:rPr>
        <w:t xml:space="preserve">not </w:t>
      </w:r>
      <w:r w:rsidR="005F6BA8">
        <w:rPr>
          <w:rFonts w:ascii="Cambria" w:hAnsi="Cambria"/>
          <w:lang w:val="en-US"/>
        </w:rPr>
        <w:t>unambiguously) possible confounder which however remained unobserved (patients were not genotyped for this SNP). By (presumably) affecting SLCO1B3 activity it would reflect on MPAG (MPAG is a substrate), but it may also reflect on tacrolimu</w:t>
      </w:r>
      <w:r w:rsidR="00FA31F9">
        <w:rPr>
          <w:rFonts w:ascii="Cambria" w:hAnsi="Cambria"/>
          <w:lang w:val="en-US"/>
        </w:rPr>
        <w:t>s concentrations [20</w:t>
      </w:r>
      <w:r w:rsidR="005F6BA8">
        <w:rPr>
          <w:rFonts w:ascii="Cambria" w:hAnsi="Cambria"/>
          <w:lang w:val="en-US"/>
        </w:rPr>
        <w:t xml:space="preserve">], and thus on its effect on ABCG2 activity. 7. Ancestors of the outcome (depicted in blue in Figure S1A). A number of covariates qualified as ancestors of the outcome (they can be plausibly related to MPA PK, but not to “exposure”, i.e., ABCG2 activity): </w:t>
      </w:r>
      <w:proofErr w:type="spellStart"/>
      <w:r w:rsidR="005F6BA8">
        <w:rPr>
          <w:rFonts w:ascii="Cambria" w:hAnsi="Cambria"/>
          <w:lang w:val="en-US"/>
        </w:rPr>
        <w:t>i</w:t>
      </w:r>
      <w:proofErr w:type="spellEnd"/>
      <w:r w:rsidR="005F6BA8">
        <w:rPr>
          <w:rFonts w:ascii="Cambria" w:hAnsi="Cambria"/>
          <w:lang w:val="en-US"/>
        </w:rPr>
        <w:t>) drugs affecting MPA PK (by effects on UGTs, transporters or by any other mechanism) – Figure S1A is simplified in that it consider</w:t>
      </w:r>
      <w:r w:rsidR="00A97055">
        <w:rPr>
          <w:rFonts w:ascii="Cambria" w:hAnsi="Cambria"/>
          <w:lang w:val="en-US"/>
        </w:rPr>
        <w:t>s</w:t>
      </w:r>
      <w:r w:rsidR="005F6BA8">
        <w:rPr>
          <w:rFonts w:ascii="Cambria" w:hAnsi="Cambria"/>
          <w:lang w:val="en-US"/>
        </w:rPr>
        <w:t xml:space="preserve"> a</w:t>
      </w:r>
      <w:r w:rsidR="00A97055">
        <w:rPr>
          <w:rFonts w:ascii="Cambria" w:hAnsi="Cambria"/>
          <w:lang w:val="en-US"/>
        </w:rPr>
        <w:t>ll such drugs jointly and omits</w:t>
      </w:r>
      <w:r w:rsidR="005F6BA8">
        <w:rPr>
          <w:rFonts w:ascii="Cambria" w:hAnsi="Cambria"/>
          <w:lang w:val="en-US"/>
        </w:rPr>
        <w:t xml:space="preserve"> their relationship to “effector molecules”, e.g., UGT enzymes, ABCB1, ABCC2, SLCO1B1/B3 or others; ii) MPA formulation and MPA dose – IR MMF and EC-MPA formulations are not bioequivalent</w:t>
      </w:r>
      <w:r w:rsidR="00500981">
        <w:rPr>
          <w:rFonts w:ascii="Cambria" w:hAnsi="Cambria"/>
          <w:lang w:val="en-US"/>
        </w:rPr>
        <w:t>; they deliver different molar doses and MPA concentration-time</w:t>
      </w:r>
      <w:r w:rsidR="00FA31F9">
        <w:rPr>
          <w:rFonts w:ascii="Cambria" w:hAnsi="Cambria"/>
          <w:lang w:val="en-US"/>
        </w:rPr>
        <w:t xml:space="preserve"> profiles are not equivalent [21</w:t>
      </w:r>
      <w:r w:rsidR="00500981">
        <w:rPr>
          <w:rFonts w:ascii="Cambria" w:hAnsi="Cambria"/>
          <w:lang w:val="en-US"/>
        </w:rPr>
        <w:t>]</w:t>
      </w:r>
      <w:r w:rsidR="00FA31F9">
        <w:rPr>
          <w:rFonts w:ascii="Cambria" w:hAnsi="Cambria"/>
          <w:lang w:val="en-US"/>
        </w:rPr>
        <w:t>.</w:t>
      </w:r>
      <w:r w:rsidR="00500981">
        <w:rPr>
          <w:rFonts w:ascii="Cambria" w:hAnsi="Cambria"/>
          <w:lang w:val="en-US"/>
        </w:rPr>
        <w:t xml:space="preserve"> Clearly, choice of formulation (</w:t>
      </w:r>
      <w:r w:rsidR="00A516A6">
        <w:rPr>
          <w:rFonts w:ascii="Cambria" w:hAnsi="Cambria"/>
          <w:lang w:val="en-US"/>
        </w:rPr>
        <w:t>specific molar dose and release particulars</w:t>
      </w:r>
      <w:r w:rsidR="00500981">
        <w:rPr>
          <w:rFonts w:ascii="Cambria" w:hAnsi="Cambria"/>
          <w:lang w:val="en-US"/>
        </w:rPr>
        <w:t xml:space="preserve">) affects bioavailability of MPA; iii) </w:t>
      </w:r>
      <w:r w:rsidR="00500981" w:rsidRPr="00500981">
        <w:rPr>
          <w:rFonts w:ascii="Cambria" w:hAnsi="Cambria"/>
          <w:i/>
          <w:lang w:val="en-US"/>
        </w:rPr>
        <w:t>UGT1A9 -215</w:t>
      </w:r>
      <w:r w:rsidR="00DD5579">
        <w:rPr>
          <w:rFonts w:ascii="Cambria" w:hAnsi="Cambria"/>
          <w:i/>
          <w:lang w:val="en-US"/>
        </w:rPr>
        <w:t>2</w:t>
      </w:r>
      <w:r w:rsidR="00500981" w:rsidRPr="00500981">
        <w:rPr>
          <w:rFonts w:ascii="Cambria" w:hAnsi="Cambria"/>
          <w:i/>
          <w:lang w:val="en-US"/>
        </w:rPr>
        <w:t>/-275</w:t>
      </w:r>
      <w:r w:rsidR="00500981">
        <w:rPr>
          <w:rFonts w:ascii="Cambria" w:hAnsi="Cambria"/>
          <w:lang w:val="en-US"/>
        </w:rPr>
        <w:t xml:space="preserve"> SNPs (as </w:t>
      </w:r>
      <w:proofErr w:type="spellStart"/>
      <w:r w:rsidR="00500981">
        <w:rPr>
          <w:rFonts w:ascii="Cambria" w:hAnsi="Cambria"/>
          <w:lang w:val="en-US"/>
        </w:rPr>
        <w:t>diplotypes</w:t>
      </w:r>
      <w:proofErr w:type="spellEnd"/>
      <w:r w:rsidR="00500981">
        <w:rPr>
          <w:rFonts w:ascii="Cambria" w:hAnsi="Cambria"/>
          <w:lang w:val="en-US"/>
        </w:rPr>
        <w:t xml:space="preserve">, since in complete LD) reflect on the enzyme activity (unmeasured), and thus on MPA PK; </w:t>
      </w:r>
      <w:proofErr w:type="gramStart"/>
      <w:r w:rsidR="001B0410">
        <w:rPr>
          <w:rFonts w:ascii="Cambria" w:hAnsi="Cambria"/>
          <w:lang w:val="en-US"/>
        </w:rPr>
        <w:t>8</w:t>
      </w:r>
      <w:proofErr w:type="gramEnd"/>
      <w:r w:rsidR="001B0410">
        <w:rPr>
          <w:rFonts w:ascii="Cambria" w:hAnsi="Cambria"/>
          <w:lang w:val="en-US"/>
        </w:rPr>
        <w:t xml:space="preserve">. </w:t>
      </w:r>
      <w:r w:rsidR="001B0410" w:rsidRPr="001B0410">
        <w:rPr>
          <w:rFonts w:ascii="Cambria" w:hAnsi="Cambria"/>
          <w:b/>
          <w:lang w:val="en-US"/>
        </w:rPr>
        <w:t>Unobserved (known) ancestor of the outcome</w:t>
      </w:r>
      <w:r w:rsidR="001B0410">
        <w:rPr>
          <w:rFonts w:ascii="Cambria" w:hAnsi="Cambria"/>
          <w:lang w:val="en-US"/>
        </w:rPr>
        <w:t xml:space="preserve"> – </w:t>
      </w:r>
      <w:r w:rsidR="001B0410" w:rsidRPr="001B0410">
        <w:rPr>
          <w:rFonts w:ascii="Cambria" w:hAnsi="Cambria"/>
          <w:i/>
          <w:lang w:val="en-US"/>
        </w:rPr>
        <w:t>UGT1A9 c.98T&gt;C</w:t>
      </w:r>
      <w:r w:rsidR="001B0410">
        <w:rPr>
          <w:rFonts w:ascii="Cambria" w:hAnsi="Cambria"/>
          <w:lang w:val="en-US"/>
        </w:rPr>
        <w:t>: variant allele carriage has been suggested (although with high uncertainty) associated with higher exposure to MPA, but its prevalence is very low. 9</w:t>
      </w:r>
      <w:r w:rsidR="00500981">
        <w:rPr>
          <w:rFonts w:ascii="Cambria" w:hAnsi="Cambria"/>
          <w:lang w:val="en-US"/>
        </w:rPr>
        <w:t xml:space="preserve">. Ancestors of exposure (depicted in Figure S1A in green). </w:t>
      </w:r>
      <w:r w:rsidR="00DD0F78">
        <w:rPr>
          <w:rFonts w:ascii="Cambria" w:hAnsi="Cambria"/>
          <w:lang w:val="en-US"/>
        </w:rPr>
        <w:t>Variables that affect exposure and have no effect on the outcome (apart that executed through their effect on exposure) are instrumental variables. When actual exposure is quantified, adjustment for instruments worsens or introduces bias, does not remove it [5-7]. In the present study, actual exposure is unobserved, and we use an instrument (</w:t>
      </w:r>
      <w:r w:rsidR="00DD0F78" w:rsidRPr="00DD0F78">
        <w:rPr>
          <w:rFonts w:ascii="Cambria" w:hAnsi="Cambria"/>
          <w:i/>
          <w:lang w:val="en-US"/>
        </w:rPr>
        <w:t>ABCG2 c.421C&gt;A</w:t>
      </w:r>
      <w:r w:rsidR="00DD0F78">
        <w:rPr>
          <w:rFonts w:ascii="Cambria" w:hAnsi="Cambria"/>
          <w:lang w:val="en-US"/>
        </w:rPr>
        <w:t xml:space="preserve"> genotype)</w:t>
      </w:r>
      <w:r w:rsidR="00A97055">
        <w:rPr>
          <w:rFonts w:ascii="Cambria" w:hAnsi="Cambria"/>
          <w:lang w:val="en-US"/>
        </w:rPr>
        <w:t xml:space="preserve">. In such a setting, </w:t>
      </w:r>
      <w:r w:rsidR="00DD0F78">
        <w:rPr>
          <w:rFonts w:ascii="Cambria" w:hAnsi="Cambria"/>
          <w:lang w:val="en-US"/>
        </w:rPr>
        <w:t xml:space="preserve">accounting for other instrumental or near-instrumental variables (affect “exposure”, while effect on the outcome is minor) </w:t>
      </w:r>
      <w:proofErr w:type="gramStart"/>
      <w:r w:rsidR="00DD0F78">
        <w:rPr>
          <w:rFonts w:ascii="Cambria" w:hAnsi="Cambria"/>
          <w:lang w:val="en-US"/>
        </w:rPr>
        <w:t>is needed</w:t>
      </w:r>
      <w:proofErr w:type="gramEnd"/>
      <w:r w:rsidR="00DD0F78">
        <w:rPr>
          <w:rFonts w:ascii="Cambria" w:hAnsi="Cambria"/>
          <w:lang w:val="en-US"/>
        </w:rPr>
        <w:t xml:space="preserve"> in order for the instrument to adequately represent the (actual) exposure: </w:t>
      </w:r>
      <w:proofErr w:type="spellStart"/>
      <w:r w:rsidR="00DD0F78">
        <w:rPr>
          <w:rFonts w:ascii="Cambria" w:hAnsi="Cambria"/>
          <w:lang w:val="en-US"/>
        </w:rPr>
        <w:t>i</w:t>
      </w:r>
      <w:proofErr w:type="spellEnd"/>
      <w:r w:rsidR="00DD0F78">
        <w:rPr>
          <w:rFonts w:ascii="Cambria" w:hAnsi="Cambria"/>
          <w:lang w:val="en-US"/>
        </w:rPr>
        <w:t xml:space="preserve">) drugs that interfere with ABCG2 activity (beyond </w:t>
      </w:r>
      <w:r w:rsidR="00DD0F78">
        <w:rPr>
          <w:rFonts w:ascii="Cambria" w:hAnsi="Cambria"/>
          <w:lang w:val="en-US"/>
        </w:rPr>
        <w:lastRenderedPageBreak/>
        <w:t xml:space="preserve">CNIs). Figure S1A is simplified in that it considers all such drugs jointly. It also allows for a possibility that these drugs could (by any mechanism) affect CNI concentrations (which could also reflect on ABCG2 activity); ii) </w:t>
      </w:r>
      <w:r w:rsidR="00D27038">
        <w:rPr>
          <w:rFonts w:ascii="Cambria" w:hAnsi="Cambria"/>
          <w:lang w:val="en-US"/>
        </w:rPr>
        <w:t>CNI concentration</w:t>
      </w:r>
      <w:r w:rsidR="00E931BA">
        <w:rPr>
          <w:rFonts w:ascii="Cambria" w:hAnsi="Cambria"/>
          <w:lang w:val="en-US"/>
        </w:rPr>
        <w:t xml:space="preserve"> </w:t>
      </w:r>
      <w:r w:rsidR="00794F05">
        <w:rPr>
          <w:rFonts w:ascii="Cambria" w:hAnsi="Cambria"/>
          <w:lang w:val="en-US"/>
        </w:rPr>
        <w:t xml:space="preserve">(morning trough at the beginning of the 12-hour MPA sampling period) </w:t>
      </w:r>
      <w:r w:rsidR="00D27038">
        <w:rPr>
          <w:rFonts w:ascii="Cambria" w:hAnsi="Cambria"/>
          <w:lang w:val="en-US"/>
        </w:rPr>
        <w:t xml:space="preserve">regardless </w:t>
      </w:r>
      <w:r w:rsidR="00794F05">
        <w:rPr>
          <w:rFonts w:ascii="Cambria" w:hAnsi="Cambria"/>
          <w:lang w:val="en-US"/>
        </w:rPr>
        <w:t>of the CNI type [</w:t>
      </w:r>
      <w:proofErr w:type="gramStart"/>
      <w:r w:rsidR="00794F05">
        <w:rPr>
          <w:rFonts w:ascii="Cambria" w:hAnsi="Cambria"/>
          <w:lang w:val="en-US"/>
        </w:rPr>
        <w:t>ln(</w:t>
      </w:r>
      <w:proofErr w:type="gramEnd"/>
      <w:r w:rsidR="00794F05">
        <w:rPr>
          <w:rFonts w:ascii="Cambria" w:hAnsi="Cambria"/>
          <w:lang w:val="en-US"/>
        </w:rPr>
        <w:t>tacrolimus) troughs rescaled to ln(</w:t>
      </w:r>
      <w:proofErr w:type="spellStart"/>
      <w:r w:rsidR="00794F05">
        <w:rPr>
          <w:rFonts w:ascii="Cambria" w:hAnsi="Cambria"/>
          <w:lang w:val="en-US"/>
        </w:rPr>
        <w:t>CsA</w:t>
      </w:r>
      <w:proofErr w:type="spellEnd"/>
      <w:r w:rsidR="00794F05">
        <w:rPr>
          <w:rFonts w:ascii="Cambria" w:hAnsi="Cambria"/>
          <w:lang w:val="en-US"/>
        </w:rPr>
        <w:t xml:space="preserve"> troughs) scale by linear transformation]. CNI concentration is a descendant of several variables that may affect it. Putting both “CNI type” and “CNI concentration” into the network is reasonable: in some aspects, tacrolimus and </w:t>
      </w:r>
      <w:proofErr w:type="spellStart"/>
      <w:r w:rsidR="00794F05">
        <w:rPr>
          <w:rFonts w:ascii="Cambria" w:hAnsi="Cambria"/>
          <w:lang w:val="en-US"/>
        </w:rPr>
        <w:t>CsA</w:t>
      </w:r>
      <w:proofErr w:type="spellEnd"/>
      <w:r w:rsidR="00794F05">
        <w:rPr>
          <w:rFonts w:ascii="Cambria" w:hAnsi="Cambria"/>
          <w:lang w:val="en-US"/>
        </w:rPr>
        <w:t xml:space="preserve"> differ qualitat</w:t>
      </w:r>
      <w:r w:rsidR="00CB798F">
        <w:rPr>
          <w:rFonts w:ascii="Cambria" w:hAnsi="Cambria"/>
          <w:lang w:val="en-US"/>
        </w:rPr>
        <w:t xml:space="preserve">ively (e.g., </w:t>
      </w:r>
      <w:proofErr w:type="spellStart"/>
      <w:r w:rsidR="00CB798F">
        <w:rPr>
          <w:rFonts w:ascii="Cambria" w:hAnsi="Cambria"/>
          <w:lang w:val="en-US"/>
        </w:rPr>
        <w:t>CsA</w:t>
      </w:r>
      <w:proofErr w:type="spellEnd"/>
      <w:r w:rsidR="00CB798F">
        <w:rPr>
          <w:rFonts w:ascii="Cambria" w:hAnsi="Cambria"/>
          <w:lang w:val="en-US"/>
        </w:rPr>
        <w:t xml:space="preserve"> inhibits ABCC2 and SLCO1B1,</w:t>
      </w:r>
      <w:r w:rsidR="00794F05">
        <w:rPr>
          <w:rFonts w:ascii="Cambria" w:hAnsi="Cambria"/>
          <w:lang w:val="en-US"/>
        </w:rPr>
        <w:t xml:space="preserve"> tacrolimus does not), while the effect on “exposure” (ABCG2 activity) might be concentration-dependent (along with a possibility of a qualitative difference between the two</w:t>
      </w:r>
      <w:r w:rsidR="00FF415A">
        <w:rPr>
          <w:rFonts w:ascii="Cambria" w:hAnsi="Cambria"/>
          <w:lang w:val="en-US"/>
        </w:rPr>
        <w:t>); iii) CNI dose directly affect</w:t>
      </w:r>
      <w:r w:rsidR="00CB798F">
        <w:rPr>
          <w:rFonts w:ascii="Cambria" w:hAnsi="Cambria"/>
          <w:lang w:val="en-US"/>
        </w:rPr>
        <w:t>s</w:t>
      </w:r>
      <w:r w:rsidR="00FF415A">
        <w:rPr>
          <w:rFonts w:ascii="Cambria" w:hAnsi="Cambria"/>
          <w:lang w:val="en-US"/>
        </w:rPr>
        <w:t xml:space="preserve"> CNI concentrations; iv) </w:t>
      </w:r>
      <w:r w:rsidR="00FF415A" w:rsidRPr="00A516A6">
        <w:rPr>
          <w:rFonts w:ascii="Cambria" w:hAnsi="Cambria"/>
          <w:i/>
          <w:lang w:val="en-US"/>
        </w:rPr>
        <w:t>CYP3A4/5</w:t>
      </w:r>
      <w:r w:rsidR="00FF415A">
        <w:rPr>
          <w:rFonts w:ascii="Cambria" w:hAnsi="Cambria"/>
          <w:lang w:val="en-US"/>
        </w:rPr>
        <w:t xml:space="preserve"> SNPs (those genotype</w:t>
      </w:r>
      <w:r w:rsidR="00CB798F">
        <w:rPr>
          <w:rFonts w:ascii="Cambria" w:hAnsi="Cambria"/>
          <w:lang w:val="en-US"/>
        </w:rPr>
        <w:t>d</w:t>
      </w:r>
      <w:r w:rsidR="00FF415A">
        <w:rPr>
          <w:rFonts w:ascii="Cambria" w:hAnsi="Cambria"/>
          <w:lang w:val="en-US"/>
        </w:rPr>
        <w:t xml:space="preserve"> in the present sample and other potentially relevant [10]) may affect CNI concentrations; v) drugs affecting pharmacokinetics of CNIs – Figure S1A is simplified in that it considers all such drugs jointly and omits their mechanisms (e.g., effects on CYPs, transporters or any other “effector”).</w:t>
      </w:r>
    </w:p>
    <w:p w14:paraId="0B46CDDF" w14:textId="77777777" w:rsidR="00D27038" w:rsidRDefault="00D27038" w:rsidP="00D674C0">
      <w:pPr>
        <w:spacing w:after="0" w:line="360" w:lineRule="auto"/>
        <w:rPr>
          <w:rFonts w:ascii="Cambria" w:hAnsi="Cambria"/>
          <w:lang w:val="en-US"/>
        </w:rPr>
      </w:pPr>
    </w:p>
    <w:p w14:paraId="6B14864B" w14:textId="0CA8E01C" w:rsidR="00224EA9" w:rsidRDefault="00DB5F0E" w:rsidP="00B45153">
      <w:pPr>
        <w:pStyle w:val="BodyText"/>
        <w:spacing w:before="0" w:after="0" w:line="360" w:lineRule="auto"/>
        <w:jc w:val="left"/>
        <w:rPr>
          <w:rFonts w:ascii="Cambria" w:hAnsi="Cambria"/>
          <w:color w:val="000000" w:themeColor="text1"/>
        </w:rPr>
      </w:pPr>
      <w:r>
        <w:rPr>
          <w:rFonts w:ascii="Cambria" w:hAnsi="Cambria"/>
          <w:color w:val="000000" w:themeColor="text1"/>
        </w:rPr>
        <w:t xml:space="preserve">Figure </w:t>
      </w:r>
      <w:r w:rsidR="0017058D">
        <w:rPr>
          <w:rFonts w:ascii="Cambria" w:hAnsi="Cambria"/>
          <w:color w:val="000000" w:themeColor="text1"/>
        </w:rPr>
        <w:t>S</w:t>
      </w:r>
      <w:r>
        <w:rPr>
          <w:rFonts w:ascii="Cambria" w:hAnsi="Cambria"/>
          <w:color w:val="000000" w:themeColor="text1"/>
        </w:rPr>
        <w:t xml:space="preserve">1B contains all the same elements </w:t>
      </w:r>
      <w:r w:rsidR="00676D52">
        <w:rPr>
          <w:rFonts w:ascii="Cambria" w:hAnsi="Cambria"/>
          <w:color w:val="000000" w:themeColor="text1"/>
        </w:rPr>
        <w:t xml:space="preserve">as </w:t>
      </w:r>
      <w:r w:rsidR="0017058D">
        <w:rPr>
          <w:rFonts w:ascii="Cambria" w:hAnsi="Cambria"/>
          <w:color w:val="000000" w:themeColor="text1"/>
        </w:rPr>
        <w:t xml:space="preserve">Figure S1A, but depicts </w:t>
      </w:r>
      <w:r w:rsidR="00AA5200">
        <w:rPr>
          <w:rFonts w:ascii="Cambria" w:hAnsi="Cambria"/>
          <w:color w:val="000000" w:themeColor="text1"/>
        </w:rPr>
        <w:t>the minimal adjustment set required (and sufficient) to block biasing paths</w:t>
      </w:r>
      <w:r w:rsidR="0017058D">
        <w:rPr>
          <w:rFonts w:ascii="Cambria" w:hAnsi="Cambria"/>
          <w:color w:val="000000" w:themeColor="text1"/>
        </w:rPr>
        <w:t xml:space="preserve">, as to </w:t>
      </w:r>
      <w:r w:rsidR="00AA5200">
        <w:rPr>
          <w:rFonts w:ascii="Cambria" w:hAnsi="Cambria"/>
          <w:color w:val="000000" w:themeColor="text1"/>
        </w:rPr>
        <w:t>(</w:t>
      </w:r>
      <w:r w:rsidR="0017058D">
        <w:rPr>
          <w:rFonts w:ascii="Cambria" w:hAnsi="Cambria"/>
          <w:color w:val="000000" w:themeColor="text1"/>
        </w:rPr>
        <w:t>unbiasedly</w:t>
      </w:r>
      <w:r w:rsidR="00AA5200">
        <w:rPr>
          <w:rFonts w:ascii="Cambria" w:hAnsi="Cambria"/>
          <w:color w:val="000000" w:themeColor="text1"/>
        </w:rPr>
        <w:t>)</w:t>
      </w:r>
      <w:r w:rsidR="0017058D">
        <w:rPr>
          <w:rFonts w:ascii="Cambria" w:hAnsi="Cambria"/>
          <w:color w:val="000000" w:themeColor="text1"/>
        </w:rPr>
        <w:t xml:space="preserve"> estimate the causal effect of treatment (</w:t>
      </w:r>
      <w:r w:rsidR="0017058D" w:rsidRPr="00E167FF">
        <w:rPr>
          <w:rFonts w:ascii="Cambria" w:hAnsi="Cambria"/>
          <w:i/>
          <w:color w:val="000000" w:themeColor="text1"/>
        </w:rPr>
        <w:t>ABCG2 c.421C&gt;A</w:t>
      </w:r>
      <w:r w:rsidR="0017058D">
        <w:rPr>
          <w:rFonts w:ascii="Cambria" w:hAnsi="Cambria"/>
          <w:color w:val="000000" w:themeColor="text1"/>
        </w:rPr>
        <w:t xml:space="preserve"> variant allele – reduced </w:t>
      </w:r>
      <w:r w:rsidR="00E167FF">
        <w:rPr>
          <w:rFonts w:ascii="Cambria" w:hAnsi="Cambria"/>
          <w:color w:val="000000" w:themeColor="text1"/>
        </w:rPr>
        <w:t xml:space="preserve">transporter function) on the outcome (MPA PK): adjustment (by different means) for </w:t>
      </w:r>
      <w:r w:rsidR="00122501">
        <w:rPr>
          <w:rFonts w:ascii="Cambria" w:hAnsi="Cambria"/>
          <w:color w:val="000000" w:themeColor="text1"/>
        </w:rPr>
        <w:t>outcome/exposure ancestors (but not for colliders)</w:t>
      </w:r>
      <w:r w:rsidR="00E167FF">
        <w:rPr>
          <w:rFonts w:ascii="Cambria" w:hAnsi="Cambria"/>
          <w:color w:val="000000" w:themeColor="text1"/>
        </w:rPr>
        <w:t xml:space="preserve"> [5-7]. </w:t>
      </w:r>
      <w:proofErr w:type="gramStart"/>
      <w:r w:rsidR="00AA5200">
        <w:rPr>
          <w:rFonts w:ascii="Cambria" w:hAnsi="Cambria"/>
          <w:color w:val="000000" w:themeColor="text1"/>
        </w:rPr>
        <w:t>The minim</w:t>
      </w:r>
      <w:r w:rsidR="00FC3206">
        <w:rPr>
          <w:rFonts w:ascii="Cambria" w:hAnsi="Cambria"/>
          <w:color w:val="000000" w:themeColor="text1"/>
        </w:rPr>
        <w:t>al</w:t>
      </w:r>
      <w:r w:rsidR="00AA5200">
        <w:rPr>
          <w:rFonts w:ascii="Cambria" w:hAnsi="Cambria"/>
          <w:color w:val="000000" w:themeColor="text1"/>
        </w:rPr>
        <w:t xml:space="preserve"> adjustment set includes</w:t>
      </w:r>
      <w:r w:rsidR="00224EA9">
        <w:rPr>
          <w:rFonts w:ascii="Cambria" w:hAnsi="Cambria"/>
          <w:color w:val="000000" w:themeColor="text1"/>
        </w:rPr>
        <w:t xml:space="preserve"> (variables depicted in Figure S1B as open, black-outlined circles)</w:t>
      </w:r>
      <w:r w:rsidR="00AA5200">
        <w:rPr>
          <w:rFonts w:ascii="Cambria" w:hAnsi="Cambria"/>
          <w:color w:val="000000" w:themeColor="text1"/>
        </w:rPr>
        <w:t xml:space="preserve">: </w:t>
      </w:r>
      <w:proofErr w:type="spellStart"/>
      <w:r w:rsidR="00AA5200">
        <w:rPr>
          <w:rFonts w:ascii="Cambria" w:hAnsi="Cambria"/>
          <w:color w:val="000000" w:themeColor="text1"/>
        </w:rPr>
        <w:t>i</w:t>
      </w:r>
      <w:proofErr w:type="spellEnd"/>
      <w:r w:rsidR="00AA5200">
        <w:rPr>
          <w:rFonts w:ascii="Cambria" w:hAnsi="Cambria"/>
          <w:color w:val="000000" w:themeColor="text1"/>
        </w:rPr>
        <w:t xml:space="preserve">) </w:t>
      </w:r>
      <w:r w:rsidR="00FC3206" w:rsidRPr="00FC3206">
        <w:rPr>
          <w:rFonts w:ascii="Cambria" w:hAnsi="Cambria"/>
          <w:i/>
          <w:color w:val="000000" w:themeColor="text1"/>
        </w:rPr>
        <w:t>ABCB1 2677/3435/1236</w:t>
      </w:r>
      <w:r w:rsidR="00FC3206">
        <w:rPr>
          <w:rFonts w:ascii="Cambria" w:hAnsi="Cambria"/>
          <w:color w:val="000000" w:themeColor="text1"/>
        </w:rPr>
        <w:t xml:space="preserve"> SNPs </w:t>
      </w:r>
      <w:r w:rsidR="00E167FF">
        <w:rPr>
          <w:rFonts w:ascii="Cambria" w:hAnsi="Cambria"/>
          <w:color w:val="000000" w:themeColor="text1"/>
        </w:rPr>
        <w:t xml:space="preserve"> </w:t>
      </w:r>
      <w:r w:rsidR="00FC3206">
        <w:rPr>
          <w:rFonts w:ascii="Cambria" w:hAnsi="Cambria"/>
          <w:color w:val="000000" w:themeColor="text1"/>
        </w:rPr>
        <w:t xml:space="preserve">considered as </w:t>
      </w:r>
      <w:proofErr w:type="spellStart"/>
      <w:r w:rsidR="00FC3206">
        <w:rPr>
          <w:rFonts w:ascii="Cambria" w:hAnsi="Cambria"/>
          <w:color w:val="000000" w:themeColor="text1"/>
        </w:rPr>
        <w:t>diplotypes</w:t>
      </w:r>
      <w:proofErr w:type="spellEnd"/>
      <w:r w:rsidR="00FC3206">
        <w:rPr>
          <w:rFonts w:ascii="Cambria" w:hAnsi="Cambria"/>
          <w:color w:val="000000" w:themeColor="text1"/>
        </w:rPr>
        <w:t xml:space="preserve"> (since in strong LD; 3 levels based on the number of variant alleles) – by matching; ii) </w:t>
      </w:r>
      <w:r w:rsidR="00FC3206" w:rsidRPr="00FC3206">
        <w:rPr>
          <w:rFonts w:ascii="Cambria" w:hAnsi="Cambria"/>
          <w:i/>
          <w:color w:val="000000" w:themeColor="text1"/>
        </w:rPr>
        <w:t>ABCC2 -24</w:t>
      </w:r>
      <w:r w:rsidR="00FC3206">
        <w:rPr>
          <w:rFonts w:ascii="Cambria" w:hAnsi="Cambria"/>
          <w:color w:val="000000" w:themeColor="text1"/>
        </w:rPr>
        <w:t xml:space="preserve"> and </w:t>
      </w:r>
      <w:r w:rsidR="00FC3206" w:rsidRPr="00FC3206">
        <w:rPr>
          <w:rFonts w:ascii="Cambria" w:hAnsi="Cambria"/>
          <w:i/>
          <w:color w:val="000000" w:themeColor="text1"/>
        </w:rPr>
        <w:t>1249</w:t>
      </w:r>
      <w:r w:rsidR="00FC3206">
        <w:rPr>
          <w:rFonts w:ascii="Cambria" w:hAnsi="Cambria"/>
          <w:color w:val="000000" w:themeColor="text1"/>
        </w:rPr>
        <w:t xml:space="preserve"> SNPs and also donor’s </w:t>
      </w:r>
      <w:r w:rsidR="00FC3206" w:rsidRPr="00FC3206">
        <w:rPr>
          <w:rFonts w:ascii="Cambria" w:hAnsi="Cambria"/>
          <w:i/>
          <w:color w:val="000000" w:themeColor="text1"/>
        </w:rPr>
        <w:t>ABCC2 1249</w:t>
      </w:r>
      <w:r w:rsidR="00FC3206">
        <w:rPr>
          <w:rFonts w:ascii="Cambria" w:hAnsi="Cambria"/>
          <w:color w:val="000000" w:themeColor="text1"/>
        </w:rPr>
        <w:t xml:space="preserve"> SNP, dichotomized as variant carriers and </w:t>
      </w:r>
      <w:proofErr w:type="spellStart"/>
      <w:r w:rsidR="00FC3206">
        <w:rPr>
          <w:rFonts w:ascii="Cambria" w:hAnsi="Cambria"/>
          <w:color w:val="000000" w:themeColor="text1"/>
        </w:rPr>
        <w:t>wt</w:t>
      </w:r>
      <w:proofErr w:type="spellEnd"/>
      <w:r w:rsidR="00FC3206">
        <w:rPr>
          <w:rFonts w:ascii="Cambria" w:hAnsi="Cambria"/>
          <w:color w:val="000000" w:themeColor="text1"/>
        </w:rPr>
        <w:t xml:space="preserve"> subjects – by matching (the latter also by statistical adjustment); iii) </w:t>
      </w:r>
      <w:r w:rsidR="00FC3206" w:rsidRPr="00FC3206">
        <w:rPr>
          <w:rFonts w:ascii="Cambria" w:hAnsi="Cambria"/>
          <w:i/>
          <w:color w:val="000000" w:themeColor="text1"/>
        </w:rPr>
        <w:t>UGT2B7 -161</w:t>
      </w:r>
      <w:r w:rsidR="00FC3206">
        <w:rPr>
          <w:rFonts w:ascii="Cambria" w:hAnsi="Cambria"/>
          <w:color w:val="000000" w:themeColor="text1"/>
        </w:rPr>
        <w:t xml:space="preserve"> SNP (represents the 802 SNP since in a complete LD), dichotomized as variant allele or </w:t>
      </w:r>
      <w:proofErr w:type="spellStart"/>
      <w:r w:rsidR="00FC3206">
        <w:rPr>
          <w:rFonts w:ascii="Cambria" w:hAnsi="Cambria"/>
          <w:color w:val="000000" w:themeColor="text1"/>
        </w:rPr>
        <w:t>wt</w:t>
      </w:r>
      <w:proofErr w:type="spellEnd"/>
      <w:r w:rsidR="00FC3206">
        <w:rPr>
          <w:rFonts w:ascii="Cambria" w:hAnsi="Cambria"/>
          <w:color w:val="000000" w:themeColor="text1"/>
        </w:rPr>
        <w:t xml:space="preserve"> – by matching; iv) </w:t>
      </w:r>
      <w:r w:rsidR="00A625D2" w:rsidRPr="00A625D2">
        <w:rPr>
          <w:rFonts w:ascii="Cambria" w:hAnsi="Cambria"/>
          <w:i/>
          <w:color w:val="000000" w:themeColor="text1"/>
        </w:rPr>
        <w:t>UGT1A9 -215</w:t>
      </w:r>
      <w:r w:rsidR="00DD5579">
        <w:rPr>
          <w:rFonts w:ascii="Cambria" w:hAnsi="Cambria"/>
          <w:i/>
          <w:color w:val="000000" w:themeColor="text1"/>
        </w:rPr>
        <w:t>2</w:t>
      </w:r>
      <w:r w:rsidR="00A625D2">
        <w:rPr>
          <w:rFonts w:ascii="Cambria" w:hAnsi="Cambria"/>
          <w:color w:val="000000" w:themeColor="text1"/>
        </w:rPr>
        <w:t xml:space="preserve"> and </w:t>
      </w:r>
      <w:r w:rsidR="00A625D2" w:rsidRPr="00A625D2">
        <w:rPr>
          <w:rFonts w:ascii="Cambria" w:hAnsi="Cambria"/>
          <w:i/>
          <w:color w:val="000000" w:themeColor="text1"/>
        </w:rPr>
        <w:t>-275</w:t>
      </w:r>
      <w:r w:rsidR="00A625D2">
        <w:rPr>
          <w:rFonts w:ascii="Cambria" w:hAnsi="Cambria"/>
          <w:color w:val="000000" w:themeColor="text1"/>
        </w:rPr>
        <w:t xml:space="preserve"> SNPs considered as </w:t>
      </w:r>
      <w:proofErr w:type="spellStart"/>
      <w:r w:rsidR="00A625D2">
        <w:rPr>
          <w:rFonts w:ascii="Cambria" w:hAnsi="Cambria"/>
          <w:color w:val="000000" w:themeColor="text1"/>
        </w:rPr>
        <w:t>diplotypes</w:t>
      </w:r>
      <w:proofErr w:type="spellEnd"/>
      <w:r w:rsidR="00A625D2">
        <w:rPr>
          <w:rFonts w:ascii="Cambria" w:hAnsi="Cambria"/>
          <w:color w:val="000000" w:themeColor="text1"/>
        </w:rPr>
        <w:t xml:space="preserve"> (since in complete LD), dichotomized as variant or </w:t>
      </w:r>
      <w:proofErr w:type="spellStart"/>
      <w:r w:rsidR="00A625D2">
        <w:rPr>
          <w:rFonts w:ascii="Cambria" w:hAnsi="Cambria"/>
          <w:color w:val="000000" w:themeColor="text1"/>
        </w:rPr>
        <w:t>wt</w:t>
      </w:r>
      <w:proofErr w:type="spellEnd"/>
      <w:r w:rsidR="00A625D2">
        <w:rPr>
          <w:rFonts w:ascii="Cambria" w:hAnsi="Cambria"/>
          <w:color w:val="000000" w:themeColor="text1"/>
        </w:rPr>
        <w:t xml:space="preserve"> </w:t>
      </w:r>
      <w:proofErr w:type="spellStart"/>
      <w:r w:rsidR="00A625D2">
        <w:rPr>
          <w:rFonts w:ascii="Cambria" w:hAnsi="Cambria"/>
          <w:color w:val="000000" w:themeColor="text1"/>
        </w:rPr>
        <w:t>diplotype</w:t>
      </w:r>
      <w:proofErr w:type="spellEnd"/>
      <w:r w:rsidR="00A625D2">
        <w:rPr>
          <w:rFonts w:ascii="Cambria" w:hAnsi="Cambria"/>
          <w:color w:val="000000" w:themeColor="text1"/>
        </w:rPr>
        <w:t xml:space="preserve"> – by matching; v) </w:t>
      </w:r>
      <w:r w:rsidR="00A625D2" w:rsidRPr="00A625D2">
        <w:rPr>
          <w:rFonts w:ascii="Cambria" w:hAnsi="Cambria"/>
          <w:i/>
          <w:color w:val="000000" w:themeColor="text1"/>
        </w:rPr>
        <w:t>SLCO1B1 521</w:t>
      </w:r>
      <w:r w:rsidR="00A625D2">
        <w:rPr>
          <w:rFonts w:ascii="Cambria" w:hAnsi="Cambria"/>
          <w:color w:val="000000" w:themeColor="text1"/>
        </w:rPr>
        <w:t xml:space="preserve"> SNP (may include other SNPs in a complete LD), dichotomized as variant or </w:t>
      </w:r>
      <w:proofErr w:type="spellStart"/>
      <w:r w:rsidR="00A625D2">
        <w:rPr>
          <w:rFonts w:ascii="Cambria" w:hAnsi="Cambria"/>
          <w:color w:val="000000" w:themeColor="text1"/>
        </w:rPr>
        <w:t>wt</w:t>
      </w:r>
      <w:proofErr w:type="spellEnd"/>
      <w:r w:rsidR="00A625D2">
        <w:rPr>
          <w:rFonts w:ascii="Cambria" w:hAnsi="Cambria"/>
          <w:color w:val="000000" w:themeColor="text1"/>
        </w:rPr>
        <w:t xml:space="preserve"> – by matching; vi) Food-drug interaction – by clinical procedure: blood sampling after an overnight fast; vii) MPA formulation (IR MMF or EC-MPA) – by matching; viii) MPA dose – all PK parameters calculated using dose-adjusted MPA concentrations; ix) </w:t>
      </w:r>
      <w:r w:rsidR="003D05CC">
        <w:rPr>
          <w:rFonts w:ascii="Cambria" w:hAnsi="Cambria"/>
          <w:color w:val="000000" w:themeColor="text1"/>
        </w:rPr>
        <w:t>CNI type (</w:t>
      </w:r>
      <w:proofErr w:type="spellStart"/>
      <w:r w:rsidR="003D05CC">
        <w:rPr>
          <w:rFonts w:ascii="Cambria" w:hAnsi="Cambria"/>
          <w:color w:val="000000" w:themeColor="text1"/>
        </w:rPr>
        <w:t>CsA</w:t>
      </w:r>
      <w:proofErr w:type="spellEnd"/>
      <w:r w:rsidR="003D05CC">
        <w:rPr>
          <w:rFonts w:ascii="Cambria" w:hAnsi="Cambria"/>
          <w:color w:val="000000" w:themeColor="text1"/>
        </w:rPr>
        <w:t xml:space="preserve"> or tacrolimus) – by matching; x) CNI concentration (trough) – by matching; xi)  </w:t>
      </w:r>
      <w:r w:rsidR="00A625D2">
        <w:rPr>
          <w:rFonts w:ascii="Cambria" w:hAnsi="Cambria"/>
          <w:color w:val="000000" w:themeColor="text1"/>
        </w:rPr>
        <w:t>Age, BMI – by matching (latter also by statistical adjustment); x</w:t>
      </w:r>
      <w:r w:rsidR="003D05CC">
        <w:rPr>
          <w:rFonts w:ascii="Cambria" w:hAnsi="Cambria"/>
          <w:color w:val="000000" w:themeColor="text1"/>
        </w:rPr>
        <w:t>ii</w:t>
      </w:r>
      <w:r w:rsidR="00A625D2">
        <w:rPr>
          <w:rFonts w:ascii="Cambria" w:hAnsi="Cambria"/>
          <w:color w:val="000000" w:themeColor="text1"/>
        </w:rPr>
        <w:t>)</w:t>
      </w:r>
      <w:r w:rsidR="003D05CC">
        <w:rPr>
          <w:rFonts w:ascii="Cambria" w:hAnsi="Cambria"/>
          <w:color w:val="000000" w:themeColor="text1"/>
        </w:rPr>
        <w:t xml:space="preserve"> Renal function – by inclusion criteria (patients had to have by at least 33% improved creatinine vs. post-operative Day 1 with absolute value &lt;300 </w:t>
      </w:r>
      <w:r w:rsidR="003D05CC">
        <w:rPr>
          <w:rFonts w:ascii="Cambria" w:hAnsi="Cambria"/>
          <w:color w:val="000000" w:themeColor="text1"/>
        </w:rPr>
        <w:sym w:font="Symbol" w:char="F06D"/>
      </w:r>
      <w:proofErr w:type="spellStart"/>
      <w:r w:rsidR="003D05CC">
        <w:rPr>
          <w:rFonts w:ascii="Cambria" w:hAnsi="Cambria"/>
          <w:color w:val="000000" w:themeColor="text1"/>
        </w:rPr>
        <w:t>mol</w:t>
      </w:r>
      <w:proofErr w:type="spellEnd"/>
      <w:r w:rsidR="003D05CC">
        <w:rPr>
          <w:rFonts w:ascii="Cambria" w:hAnsi="Cambria"/>
          <w:color w:val="000000" w:themeColor="text1"/>
        </w:rPr>
        <w:t>/L and stable diuresis</w:t>
      </w:r>
      <w:r w:rsidR="00A85A57">
        <w:rPr>
          <w:rFonts w:ascii="Cambria" w:hAnsi="Cambria"/>
          <w:color w:val="000000" w:themeColor="text1"/>
        </w:rPr>
        <w:t>)</w:t>
      </w:r>
      <w:r w:rsidR="003D05CC">
        <w:rPr>
          <w:rFonts w:ascii="Cambria" w:hAnsi="Cambria"/>
          <w:color w:val="000000" w:themeColor="text1"/>
        </w:rPr>
        <w:t>;</w:t>
      </w:r>
      <w:proofErr w:type="gramEnd"/>
      <w:r w:rsidR="003D05CC">
        <w:rPr>
          <w:rFonts w:ascii="Cambria" w:hAnsi="Cambria"/>
          <w:color w:val="000000" w:themeColor="text1"/>
        </w:rPr>
        <w:t xml:space="preserve"> </w:t>
      </w:r>
    </w:p>
    <w:p w14:paraId="4D6F1AB0" w14:textId="50629DF8" w:rsidR="00DB5F0E" w:rsidRDefault="00217A4D" w:rsidP="00D674C0">
      <w:pPr>
        <w:pStyle w:val="BodyText"/>
        <w:spacing w:before="0" w:after="0" w:line="360" w:lineRule="auto"/>
        <w:jc w:val="left"/>
        <w:rPr>
          <w:rFonts w:ascii="Cambria" w:hAnsi="Cambria"/>
          <w:color w:val="000000" w:themeColor="text1"/>
        </w:rPr>
      </w:pPr>
      <w:r>
        <w:rPr>
          <w:rFonts w:ascii="Cambria" w:hAnsi="Cambria"/>
          <w:noProof/>
          <w:color w:val="000000" w:themeColor="text1"/>
        </w:rPr>
        <w:lastRenderedPageBreak/>
        <w:drawing>
          <wp:inline distT="0" distB="0" distL="0" distR="0" wp14:anchorId="725315FF" wp14:editId="5FF8FCBF">
            <wp:extent cx="5760720" cy="3907155"/>
            <wp:effectExtent l="0" t="0" r="0" b="0"/>
            <wp:docPr id="9" name="Picture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 name="Borić FigS1B.TIF"/>
                    <pic:cNvPicPr/>
                  </pic:nvPicPr>
                  <pic:blipFill>
                    <a:blip r:embed="rId9" cstate="print">
                      <a:extLst>
                        <a:ext uri="{28A0092B-C50C-407E-A947-70E740481C1C}">
                          <a14:useLocalDpi xmlns:a14="http://schemas.microsoft.com/office/drawing/2010/main" val="0"/>
                        </a:ext>
                      </a:extLst>
                    </a:blip>
                    <a:stretch>
                      <a:fillRect/>
                    </a:stretch>
                  </pic:blipFill>
                  <pic:spPr>
                    <a:xfrm>
                      <a:off x="0" y="0"/>
                      <a:ext cx="5760720" cy="3907155"/>
                    </a:xfrm>
                    <a:prstGeom prst="rect">
                      <a:avLst/>
                    </a:prstGeom>
                  </pic:spPr>
                </pic:pic>
              </a:graphicData>
            </a:graphic>
          </wp:inline>
        </w:drawing>
      </w:r>
    </w:p>
    <w:p w14:paraId="00B15202" w14:textId="7DE61071" w:rsidR="00DB5F0E" w:rsidRDefault="00E167FF" w:rsidP="00D674C0">
      <w:pPr>
        <w:pStyle w:val="BodyText"/>
        <w:spacing w:before="0" w:after="0" w:line="360" w:lineRule="auto"/>
        <w:jc w:val="left"/>
        <w:rPr>
          <w:rFonts w:ascii="Cambria" w:hAnsi="Cambria"/>
          <w:color w:val="000000" w:themeColor="text1"/>
        </w:rPr>
      </w:pPr>
      <w:r w:rsidRPr="00E167FF">
        <w:rPr>
          <w:rFonts w:ascii="Cambria" w:hAnsi="Cambria"/>
          <w:b/>
          <w:color w:val="000000" w:themeColor="text1"/>
        </w:rPr>
        <w:t>Figure S1B</w:t>
      </w:r>
      <w:r>
        <w:rPr>
          <w:rFonts w:ascii="Cambria" w:hAnsi="Cambria"/>
          <w:color w:val="000000" w:themeColor="text1"/>
        </w:rPr>
        <w:t xml:space="preserve">. The same DAG as in figure S1A, but with depicted outcome/exposure ancestors controlled for by different means depicted as open, black-outlined </w:t>
      </w:r>
      <w:proofErr w:type="gramStart"/>
      <w:r>
        <w:rPr>
          <w:rFonts w:ascii="Cambria" w:hAnsi="Cambria"/>
          <w:color w:val="000000" w:themeColor="text1"/>
        </w:rPr>
        <w:t>circles</w:t>
      </w:r>
      <w:r w:rsidR="00AA5200">
        <w:rPr>
          <w:rFonts w:ascii="Cambria" w:hAnsi="Cambria"/>
          <w:color w:val="000000" w:themeColor="text1"/>
        </w:rPr>
        <w:t xml:space="preserve">  -</w:t>
      </w:r>
      <w:proofErr w:type="gramEnd"/>
      <w:r w:rsidR="00AA5200">
        <w:rPr>
          <w:rFonts w:ascii="Cambria" w:hAnsi="Cambria"/>
          <w:color w:val="000000" w:themeColor="text1"/>
        </w:rPr>
        <w:t xml:space="preserve"> minimal sufficient adjustment set</w:t>
      </w:r>
      <w:r>
        <w:rPr>
          <w:rFonts w:ascii="Cambria" w:hAnsi="Cambria"/>
          <w:color w:val="000000" w:themeColor="text1"/>
        </w:rPr>
        <w:t xml:space="preserve">. Black circle is the </w:t>
      </w:r>
      <w:proofErr w:type="gramStart"/>
      <w:r>
        <w:rPr>
          <w:rFonts w:ascii="Cambria" w:hAnsi="Cambria"/>
          <w:color w:val="000000" w:themeColor="text1"/>
        </w:rPr>
        <w:t>instrument,</w:t>
      </w:r>
      <w:proofErr w:type="gramEnd"/>
      <w:r>
        <w:rPr>
          <w:rFonts w:ascii="Cambria" w:hAnsi="Cambria"/>
          <w:color w:val="000000" w:themeColor="text1"/>
        </w:rPr>
        <w:t xml:space="preserve"> gray</w:t>
      </w:r>
      <w:r w:rsidR="00AA5200">
        <w:rPr>
          <w:rFonts w:ascii="Cambria" w:hAnsi="Cambria"/>
          <w:color w:val="000000" w:themeColor="text1"/>
        </w:rPr>
        <w:t>/</w:t>
      </w:r>
      <w:r>
        <w:rPr>
          <w:rFonts w:ascii="Cambria" w:hAnsi="Cambria"/>
          <w:color w:val="000000" w:themeColor="text1"/>
        </w:rPr>
        <w:t>black-outlined circles depict unmeasured exposure</w:t>
      </w:r>
      <w:r w:rsidR="00B45153">
        <w:rPr>
          <w:rFonts w:ascii="Cambria" w:hAnsi="Cambria"/>
          <w:color w:val="000000" w:themeColor="text1"/>
        </w:rPr>
        <w:t xml:space="preserve"> defined by the instrument</w:t>
      </w:r>
      <w:r>
        <w:rPr>
          <w:rFonts w:ascii="Cambria" w:hAnsi="Cambria"/>
          <w:color w:val="000000" w:themeColor="text1"/>
        </w:rPr>
        <w:t xml:space="preserve"> (ABCG2 activity) and a hypothetical mediator (MPAG levels) on a causal path - direct (thick full black arrow) and/or indirect (dashed black arrow) – between the instrument (unmeasured exposure) and the outcome.</w:t>
      </w:r>
      <w:r w:rsidR="00AD108D">
        <w:rPr>
          <w:rFonts w:ascii="Cambria" w:hAnsi="Cambria"/>
          <w:color w:val="000000" w:themeColor="text1"/>
        </w:rPr>
        <w:t xml:space="preserve"> Completely gray circles are unmeasured variables – enzyme/transporter activities </w:t>
      </w:r>
      <w:r w:rsidR="00AA5200">
        <w:rPr>
          <w:rFonts w:ascii="Cambria" w:hAnsi="Cambria"/>
          <w:color w:val="000000" w:themeColor="text1"/>
        </w:rPr>
        <w:t>that are (presumable) mediators on some of the biasing paths (descendants of</w:t>
      </w:r>
      <w:r w:rsidR="00AD108D">
        <w:rPr>
          <w:rFonts w:ascii="Cambria" w:hAnsi="Cambria"/>
          <w:color w:val="000000" w:themeColor="text1"/>
        </w:rPr>
        <w:t xml:space="preserve"> outcome/exposure ancestors</w:t>
      </w:r>
      <w:r w:rsidR="00AA5200">
        <w:rPr>
          <w:rFonts w:ascii="Cambria" w:hAnsi="Cambria"/>
          <w:color w:val="000000" w:themeColor="text1"/>
        </w:rPr>
        <w:t>)</w:t>
      </w:r>
      <w:r w:rsidR="00AD108D">
        <w:rPr>
          <w:rFonts w:ascii="Cambria" w:hAnsi="Cambria"/>
          <w:color w:val="000000" w:themeColor="text1"/>
        </w:rPr>
        <w:t>.</w:t>
      </w:r>
      <w:r w:rsidR="00AA5200">
        <w:rPr>
          <w:rFonts w:ascii="Cambria" w:hAnsi="Cambria"/>
          <w:color w:val="000000" w:themeColor="text1"/>
        </w:rPr>
        <w:t xml:space="preserve"> They did not need to </w:t>
      </w:r>
      <w:proofErr w:type="gramStart"/>
      <w:r w:rsidR="00AA5200">
        <w:rPr>
          <w:rFonts w:ascii="Cambria" w:hAnsi="Cambria"/>
          <w:color w:val="000000" w:themeColor="text1"/>
        </w:rPr>
        <w:t>be adjusted</w:t>
      </w:r>
      <w:proofErr w:type="gramEnd"/>
      <w:r w:rsidR="00AA5200">
        <w:rPr>
          <w:rFonts w:ascii="Cambria" w:hAnsi="Cambria"/>
          <w:color w:val="000000" w:themeColor="text1"/>
        </w:rPr>
        <w:t xml:space="preserve"> for, since their ancestors were included in the adjustment set.</w:t>
      </w:r>
      <w:r w:rsidR="00AD108D">
        <w:rPr>
          <w:rFonts w:ascii="Cambria" w:hAnsi="Cambria"/>
          <w:color w:val="000000" w:themeColor="text1"/>
        </w:rPr>
        <w:t xml:space="preserve"> One suggested </w:t>
      </w:r>
      <w:proofErr w:type="gramStart"/>
      <w:r w:rsidR="00AD108D">
        <w:rPr>
          <w:rFonts w:ascii="Cambria" w:hAnsi="Cambria"/>
          <w:color w:val="000000" w:themeColor="text1"/>
        </w:rPr>
        <w:t xml:space="preserve">confounder </w:t>
      </w:r>
      <w:r w:rsidR="001B0410">
        <w:rPr>
          <w:rFonts w:ascii="Cambria" w:hAnsi="Cambria"/>
          <w:color w:val="000000" w:themeColor="text1"/>
        </w:rPr>
        <w:t xml:space="preserve"> and</w:t>
      </w:r>
      <w:proofErr w:type="gramEnd"/>
      <w:r w:rsidR="001B0410">
        <w:rPr>
          <w:rFonts w:ascii="Cambria" w:hAnsi="Cambria"/>
          <w:color w:val="000000" w:themeColor="text1"/>
        </w:rPr>
        <w:t xml:space="preserve"> one ancestor of the outcome </w:t>
      </w:r>
      <w:r w:rsidR="00AD108D">
        <w:rPr>
          <w:rFonts w:ascii="Cambria" w:hAnsi="Cambria"/>
          <w:color w:val="000000" w:themeColor="text1"/>
        </w:rPr>
        <w:t>(</w:t>
      </w:r>
      <w:r w:rsidR="00AA5200">
        <w:rPr>
          <w:rFonts w:ascii="Cambria" w:hAnsi="Cambria"/>
          <w:color w:val="000000" w:themeColor="text1"/>
        </w:rPr>
        <w:t>based on some of the literature data</w:t>
      </w:r>
      <w:r w:rsidR="00AD108D">
        <w:rPr>
          <w:rFonts w:ascii="Cambria" w:hAnsi="Cambria"/>
          <w:color w:val="000000" w:themeColor="text1"/>
        </w:rPr>
        <w:t xml:space="preserve">) remained unmeasured – the </w:t>
      </w:r>
      <w:r w:rsidR="00AD108D" w:rsidRPr="00AD108D">
        <w:rPr>
          <w:rFonts w:ascii="Cambria" w:hAnsi="Cambria"/>
          <w:i/>
          <w:color w:val="000000" w:themeColor="text1"/>
        </w:rPr>
        <w:t>SLCO1B3 c.334</w:t>
      </w:r>
      <w:r w:rsidR="00AD108D">
        <w:rPr>
          <w:rFonts w:ascii="Cambria" w:hAnsi="Cambria"/>
          <w:color w:val="000000" w:themeColor="text1"/>
        </w:rPr>
        <w:t xml:space="preserve"> SNP</w:t>
      </w:r>
      <w:r w:rsidR="001B0410">
        <w:rPr>
          <w:rFonts w:ascii="Cambria" w:hAnsi="Cambria"/>
          <w:color w:val="000000" w:themeColor="text1"/>
        </w:rPr>
        <w:t xml:space="preserve"> and </w:t>
      </w:r>
      <w:r w:rsidR="001B0410" w:rsidRPr="00A85A57">
        <w:rPr>
          <w:rFonts w:ascii="Cambria" w:hAnsi="Cambria"/>
          <w:i/>
          <w:color w:val="000000" w:themeColor="text1"/>
        </w:rPr>
        <w:t>UGT1A9 c.98</w:t>
      </w:r>
      <w:r w:rsidR="001B0410">
        <w:rPr>
          <w:rFonts w:ascii="Cambria" w:hAnsi="Cambria"/>
          <w:color w:val="000000" w:themeColor="text1"/>
        </w:rPr>
        <w:t xml:space="preserve"> SNP</w:t>
      </w:r>
      <w:r w:rsidR="00122501">
        <w:rPr>
          <w:rFonts w:ascii="Cambria" w:hAnsi="Cambria"/>
          <w:color w:val="000000" w:themeColor="text1"/>
        </w:rPr>
        <w:t xml:space="preserve">. Two green circles depict ancestors of exposure that did not need to be in the adjustment set, since their descendant – CNI concentration – </w:t>
      </w:r>
      <w:proofErr w:type="gramStart"/>
      <w:r w:rsidR="00122501">
        <w:rPr>
          <w:rFonts w:ascii="Cambria" w:hAnsi="Cambria"/>
          <w:color w:val="000000" w:themeColor="text1"/>
        </w:rPr>
        <w:t>is adjusted</w:t>
      </w:r>
      <w:proofErr w:type="gramEnd"/>
      <w:r w:rsidR="00122501">
        <w:rPr>
          <w:rFonts w:ascii="Cambria" w:hAnsi="Cambria"/>
          <w:color w:val="000000" w:themeColor="text1"/>
        </w:rPr>
        <w:t xml:space="preserve"> for</w:t>
      </w:r>
      <w:r w:rsidR="00AD108D">
        <w:rPr>
          <w:rFonts w:ascii="Cambria" w:hAnsi="Cambria"/>
          <w:color w:val="000000" w:themeColor="text1"/>
        </w:rPr>
        <w:t xml:space="preserve"> (see text for details).</w:t>
      </w:r>
    </w:p>
    <w:p w14:paraId="507E4E7D" w14:textId="1EA23972" w:rsidR="00DB5F0E" w:rsidRDefault="00DB5F0E" w:rsidP="00D674C0">
      <w:pPr>
        <w:pStyle w:val="BodyText"/>
        <w:spacing w:before="0" w:after="0" w:line="360" w:lineRule="auto"/>
        <w:jc w:val="left"/>
        <w:rPr>
          <w:rFonts w:ascii="Cambria" w:hAnsi="Cambria"/>
          <w:color w:val="000000" w:themeColor="text1"/>
        </w:rPr>
      </w:pPr>
    </w:p>
    <w:p w14:paraId="508296D7" w14:textId="77777777" w:rsidR="001B0410" w:rsidRDefault="001B0410" w:rsidP="00D674C0">
      <w:pPr>
        <w:pStyle w:val="BodyText"/>
        <w:spacing w:before="0" w:after="0" w:line="360" w:lineRule="auto"/>
        <w:jc w:val="left"/>
        <w:rPr>
          <w:rFonts w:ascii="Cambria" w:hAnsi="Cambria"/>
          <w:color w:val="000000" w:themeColor="text1"/>
        </w:rPr>
      </w:pPr>
    </w:p>
    <w:p w14:paraId="66C4C04B" w14:textId="31593C86" w:rsidR="00B45153" w:rsidRDefault="00B45153" w:rsidP="00B45153">
      <w:pPr>
        <w:pStyle w:val="BodyText"/>
        <w:spacing w:before="0" w:after="0" w:line="360" w:lineRule="auto"/>
        <w:jc w:val="left"/>
        <w:rPr>
          <w:rFonts w:ascii="Cambria" w:hAnsi="Cambria"/>
          <w:color w:val="000000" w:themeColor="text1"/>
        </w:rPr>
      </w:pPr>
      <w:r>
        <w:rPr>
          <w:rFonts w:ascii="Cambria" w:hAnsi="Cambria"/>
          <w:color w:val="000000" w:themeColor="text1"/>
        </w:rPr>
        <w:t xml:space="preserve">xiii) Additionally – estimated creatinine clearance – by matching and statistical adjustment;  xiv) Hypoalbuminemia – by inclusion criteria: patients had to have serum albumin &gt;31 g/L; xv) Medical conditions that may interfere with bioavailability of both MPA and CNIs – by inclusion criteria: patients had to be generally “well-doing” (free of surgical complications, infections, relevant metabolic, </w:t>
      </w:r>
      <w:proofErr w:type="spellStart"/>
      <w:r>
        <w:rPr>
          <w:rFonts w:ascii="Cambria" w:hAnsi="Cambria"/>
          <w:color w:val="000000" w:themeColor="text1"/>
        </w:rPr>
        <w:t>gastrointestional</w:t>
      </w:r>
      <w:proofErr w:type="spellEnd"/>
      <w:r>
        <w:rPr>
          <w:rFonts w:ascii="Cambria" w:hAnsi="Cambria"/>
          <w:color w:val="000000" w:themeColor="text1"/>
        </w:rPr>
        <w:t xml:space="preserve">, hepatic or cardiovascular conditions); xvi) Drugs </w:t>
      </w:r>
      <w:r>
        <w:rPr>
          <w:rFonts w:ascii="Cambria" w:hAnsi="Cambria"/>
          <w:color w:val="000000" w:themeColor="text1"/>
        </w:rPr>
        <w:lastRenderedPageBreak/>
        <w:t>interfering with MPA pharmacokinetics – by inclusion criteria: patients had to be free of treatment known to affect MPA during the pre-study days and on the study day (antacids, phosphate binders, proton pump inhibitors, antibiotics, rifampicin, oral iron, calcium or magnesium; also, co-medication was restricted by exclusion based on comorbidities</w:t>
      </w:r>
      <w:r w:rsidR="001C618D">
        <w:rPr>
          <w:rFonts w:ascii="Cambria" w:hAnsi="Cambria"/>
          <w:color w:val="000000" w:themeColor="text1"/>
        </w:rPr>
        <w:t>)</w:t>
      </w:r>
      <w:r>
        <w:rPr>
          <w:rFonts w:ascii="Cambria" w:hAnsi="Cambria"/>
          <w:color w:val="000000" w:themeColor="text1"/>
        </w:rPr>
        <w:t>; xvii) Drugs interfering with CNIs – by inclusion/exclusion criteria: no specific list was formed, but co-medication was restricted already regarding MPA, and comorbidities; also, CNI concentrations were accounted for in matching; xviii) Drugs interfering with ABCG2 activity (apart from CNIs) – by inclusion/exclusion criteria: no specific list was formed, but considering the known ABCG2 substrates and inhibitors [11], relevant co-medication was practically completely restricted already regarding MPA and comorbidities.</w:t>
      </w:r>
    </w:p>
    <w:p w14:paraId="527233E9" w14:textId="0C432812" w:rsidR="00DB5F0E" w:rsidRDefault="00B45153" w:rsidP="00D674C0">
      <w:pPr>
        <w:pStyle w:val="BodyText"/>
        <w:spacing w:before="0" w:after="0" w:line="360" w:lineRule="auto"/>
        <w:jc w:val="left"/>
        <w:rPr>
          <w:rFonts w:ascii="Cambria" w:hAnsi="Cambria"/>
          <w:color w:val="000000" w:themeColor="text1"/>
        </w:rPr>
      </w:pPr>
      <w:r>
        <w:rPr>
          <w:rFonts w:ascii="Cambria" w:hAnsi="Cambria"/>
          <w:color w:val="000000" w:themeColor="text1"/>
        </w:rPr>
        <w:t xml:space="preserve">Variables that did not need to be included in the adjustment set (depicted as green circles in Figure S1B): </w:t>
      </w:r>
      <w:proofErr w:type="spellStart"/>
      <w:r>
        <w:rPr>
          <w:rFonts w:ascii="Cambria" w:hAnsi="Cambria"/>
          <w:color w:val="000000" w:themeColor="text1"/>
        </w:rPr>
        <w:t>i</w:t>
      </w:r>
      <w:proofErr w:type="spellEnd"/>
      <w:r>
        <w:rPr>
          <w:rFonts w:ascii="Cambria" w:hAnsi="Cambria"/>
          <w:color w:val="000000" w:themeColor="text1"/>
        </w:rPr>
        <w:t>) CNI dose – as it is represented by its descendant, CNI concentrations; ii)</w:t>
      </w:r>
      <w:r w:rsidR="0093062A">
        <w:rPr>
          <w:rFonts w:ascii="Cambria" w:hAnsi="Cambria"/>
          <w:color w:val="000000" w:themeColor="text1"/>
        </w:rPr>
        <w:t xml:space="preserve"> The same applies to the two genotyped</w:t>
      </w:r>
      <w:r>
        <w:rPr>
          <w:rFonts w:ascii="Cambria" w:hAnsi="Cambria"/>
          <w:color w:val="000000" w:themeColor="text1"/>
        </w:rPr>
        <w:t xml:space="preserve"> CYP3A4/5 SNPs</w:t>
      </w:r>
      <w:r w:rsidR="0093062A">
        <w:rPr>
          <w:rFonts w:ascii="Cambria" w:hAnsi="Cambria"/>
          <w:color w:val="000000" w:themeColor="text1"/>
        </w:rPr>
        <w:t xml:space="preserve">. </w:t>
      </w:r>
      <w:r>
        <w:rPr>
          <w:rFonts w:ascii="Cambria" w:hAnsi="Cambria"/>
          <w:color w:val="000000" w:themeColor="text1"/>
        </w:rPr>
        <w:t xml:space="preserve">CYPs are of marginal relevance for MPA clearance, hence </w:t>
      </w:r>
      <w:r w:rsidR="0000360B">
        <w:rPr>
          <w:rFonts w:ascii="Cambria" w:hAnsi="Cambria"/>
          <w:color w:val="000000" w:themeColor="text1"/>
        </w:rPr>
        <w:t>the two genotyped CYPs and other possible SNPs affecting CYP3A4/5 or other CYPs</w:t>
      </w:r>
      <w:r w:rsidR="0093062A">
        <w:rPr>
          <w:rFonts w:ascii="Cambria" w:hAnsi="Cambria"/>
          <w:color w:val="000000" w:themeColor="text1"/>
        </w:rPr>
        <w:t xml:space="preserve"> and/or transporters </w:t>
      </w:r>
      <w:r w:rsidR="0000360B">
        <w:rPr>
          <w:rFonts w:ascii="Cambria" w:hAnsi="Cambria"/>
          <w:color w:val="000000" w:themeColor="text1"/>
        </w:rPr>
        <w:t>are of relevance primarily for their effect on CNI concentrations</w:t>
      </w:r>
      <w:r w:rsidR="0093062A">
        <w:rPr>
          <w:rFonts w:ascii="Cambria" w:hAnsi="Cambria"/>
          <w:color w:val="000000" w:themeColor="text1"/>
        </w:rPr>
        <w:t xml:space="preserve"> [1, 10] – and are thus controlled for by adjustment for CNI concentrations. By the same logic, drugs affecting CNI concentrations (by any means) did not necessarily need to be included in the adjustment set, but by comorbidity and co-medication restrictions pertinent to MPA, they were</w:t>
      </w:r>
      <w:r w:rsidR="00F158C3">
        <w:rPr>
          <w:rFonts w:ascii="Cambria" w:hAnsi="Cambria"/>
          <w:color w:val="000000" w:themeColor="text1"/>
        </w:rPr>
        <w:t xml:space="preserve">, </w:t>
      </w:r>
      <w:proofErr w:type="gramStart"/>
      <w:r w:rsidR="00F158C3">
        <w:rPr>
          <w:rFonts w:ascii="Cambria" w:hAnsi="Cambria"/>
          <w:color w:val="000000" w:themeColor="text1"/>
        </w:rPr>
        <w:t>to a great extent</w:t>
      </w:r>
      <w:proofErr w:type="gramEnd"/>
      <w:r w:rsidR="0093062A">
        <w:rPr>
          <w:rFonts w:ascii="Cambria" w:hAnsi="Cambria"/>
          <w:color w:val="000000" w:themeColor="text1"/>
        </w:rPr>
        <w:t>.</w:t>
      </w:r>
      <w:r w:rsidR="00DC5D07">
        <w:rPr>
          <w:rFonts w:ascii="Cambria" w:hAnsi="Cambria"/>
          <w:color w:val="000000" w:themeColor="text1"/>
        </w:rPr>
        <w:t xml:space="preserve"> </w:t>
      </w:r>
      <w:r w:rsidR="00F158C3">
        <w:rPr>
          <w:rFonts w:ascii="Cambria" w:hAnsi="Cambria"/>
          <w:color w:val="000000" w:themeColor="text1"/>
        </w:rPr>
        <w:t xml:space="preserve">As reviewed [3], </w:t>
      </w:r>
      <w:r w:rsidR="00F158C3" w:rsidRPr="00F158C3">
        <w:rPr>
          <w:rFonts w:ascii="Cambria" w:hAnsi="Cambria"/>
          <w:i/>
          <w:color w:val="000000" w:themeColor="text1"/>
        </w:rPr>
        <w:t>in vitro</w:t>
      </w:r>
      <w:r w:rsidR="00F158C3">
        <w:rPr>
          <w:rFonts w:ascii="Cambria" w:hAnsi="Cambria"/>
          <w:color w:val="000000" w:themeColor="text1"/>
        </w:rPr>
        <w:t xml:space="preserve"> data and </w:t>
      </w:r>
      <w:r w:rsidR="001B0410">
        <w:rPr>
          <w:rFonts w:ascii="Cambria" w:hAnsi="Cambria"/>
          <w:color w:val="000000" w:themeColor="text1"/>
        </w:rPr>
        <w:t>a few studies</w:t>
      </w:r>
      <w:r w:rsidR="00F158C3">
        <w:rPr>
          <w:rFonts w:ascii="Cambria" w:hAnsi="Cambria"/>
          <w:color w:val="000000" w:themeColor="text1"/>
        </w:rPr>
        <w:t xml:space="preserve"> in humans (vs. several “negative” studies) suggest that </w:t>
      </w:r>
      <w:r w:rsidR="00F158C3" w:rsidRPr="00F158C3">
        <w:rPr>
          <w:rFonts w:ascii="Cambria" w:hAnsi="Cambria"/>
          <w:i/>
          <w:color w:val="000000" w:themeColor="text1"/>
        </w:rPr>
        <w:t>SLCO1B3 c.344</w:t>
      </w:r>
      <w:r w:rsidR="00F158C3">
        <w:rPr>
          <w:rFonts w:ascii="Cambria" w:hAnsi="Cambria"/>
          <w:color w:val="000000" w:themeColor="text1"/>
        </w:rPr>
        <w:t xml:space="preserve"> SNP </w:t>
      </w:r>
      <w:r w:rsidR="001B0410">
        <w:rPr>
          <w:rFonts w:ascii="Cambria" w:hAnsi="Cambria"/>
          <w:color w:val="000000" w:themeColor="text1"/>
        </w:rPr>
        <w:t xml:space="preserve">and </w:t>
      </w:r>
      <w:r w:rsidR="001B0410" w:rsidRPr="001B0410">
        <w:rPr>
          <w:rFonts w:ascii="Cambria" w:hAnsi="Cambria"/>
          <w:i/>
          <w:color w:val="000000" w:themeColor="text1"/>
        </w:rPr>
        <w:t>UGT1A9 c.98</w:t>
      </w:r>
      <w:r w:rsidR="001B0410">
        <w:rPr>
          <w:rFonts w:ascii="Cambria" w:hAnsi="Cambria"/>
          <w:color w:val="000000" w:themeColor="text1"/>
        </w:rPr>
        <w:t xml:space="preserve"> SNP </w:t>
      </w:r>
      <w:r w:rsidR="00F158C3">
        <w:rPr>
          <w:rFonts w:ascii="Cambria" w:hAnsi="Cambria"/>
          <w:color w:val="000000" w:themeColor="text1"/>
        </w:rPr>
        <w:t>may be relevant for exposure to MPA  – in the present study, th</w:t>
      </w:r>
      <w:r w:rsidR="001B0410">
        <w:rPr>
          <w:rFonts w:ascii="Cambria" w:hAnsi="Cambria"/>
          <w:color w:val="000000" w:themeColor="text1"/>
        </w:rPr>
        <w:t>ese</w:t>
      </w:r>
      <w:r w:rsidR="00F158C3">
        <w:rPr>
          <w:rFonts w:ascii="Cambria" w:hAnsi="Cambria"/>
          <w:color w:val="000000" w:themeColor="text1"/>
        </w:rPr>
        <w:t xml:space="preserve"> SNP was not genotyped, i.e., remained “unobserved” (indicated as gray circle</w:t>
      </w:r>
      <w:r w:rsidR="001B0410">
        <w:rPr>
          <w:rFonts w:ascii="Cambria" w:hAnsi="Cambria"/>
          <w:color w:val="000000" w:themeColor="text1"/>
        </w:rPr>
        <w:t>s</w:t>
      </w:r>
      <w:r w:rsidR="00F158C3">
        <w:rPr>
          <w:rFonts w:ascii="Cambria" w:hAnsi="Cambria"/>
          <w:color w:val="000000" w:themeColor="text1"/>
        </w:rPr>
        <w:t xml:space="preserve"> [for unobserved/unmeasured variables] in Figure S1B.</w:t>
      </w:r>
    </w:p>
    <w:p w14:paraId="1D80D556" w14:textId="24FD73B3" w:rsidR="00DB5F0E" w:rsidRDefault="00DB5F0E" w:rsidP="00D674C0">
      <w:pPr>
        <w:pStyle w:val="BodyText"/>
        <w:spacing w:before="0" w:after="0" w:line="360" w:lineRule="auto"/>
        <w:jc w:val="left"/>
        <w:rPr>
          <w:rFonts w:ascii="Cambria" w:hAnsi="Cambria"/>
          <w:color w:val="000000" w:themeColor="text1"/>
        </w:rPr>
      </w:pPr>
    </w:p>
    <w:p w14:paraId="19895AA2" w14:textId="13FC24B0" w:rsidR="00384749" w:rsidRPr="00E50E42" w:rsidRDefault="00E50E42" w:rsidP="00E50E42">
      <w:pPr>
        <w:pStyle w:val="BodyText"/>
        <w:spacing w:before="0" w:after="120" w:line="360" w:lineRule="auto"/>
        <w:jc w:val="left"/>
        <w:rPr>
          <w:rFonts w:ascii="Cambria" w:hAnsi="Cambria"/>
          <w:b/>
          <w:color w:val="000000" w:themeColor="text1"/>
        </w:rPr>
      </w:pPr>
      <w:r w:rsidRPr="00E50E42">
        <w:rPr>
          <w:rFonts w:ascii="Cambria" w:hAnsi="Cambria"/>
          <w:b/>
          <w:color w:val="000000" w:themeColor="text1"/>
        </w:rPr>
        <w:t>References</w:t>
      </w:r>
    </w:p>
    <w:p w14:paraId="4C73AFE8" w14:textId="7E8BA294" w:rsidR="004F78CA" w:rsidRPr="00D674C0" w:rsidRDefault="006A5E72" w:rsidP="00E50E42">
      <w:pPr>
        <w:pStyle w:val="BodyText"/>
        <w:numPr>
          <w:ilvl w:val="0"/>
          <w:numId w:val="9"/>
        </w:numPr>
        <w:spacing w:before="0" w:after="0" w:line="360" w:lineRule="auto"/>
        <w:ind w:left="357" w:hanging="357"/>
        <w:jc w:val="left"/>
        <w:rPr>
          <w:rFonts w:ascii="Cambria" w:hAnsi="Cambria"/>
          <w:color w:val="000000" w:themeColor="text1"/>
        </w:rPr>
      </w:pPr>
      <w:proofErr w:type="spellStart"/>
      <w:r w:rsidRPr="00D674C0">
        <w:rPr>
          <w:rFonts w:ascii="Cambria" w:hAnsi="Cambria"/>
          <w:color w:val="000000" w:themeColor="text1"/>
        </w:rPr>
        <w:t>Lamba</w:t>
      </w:r>
      <w:proofErr w:type="spellEnd"/>
      <w:r w:rsidRPr="00D674C0">
        <w:rPr>
          <w:rFonts w:ascii="Cambria" w:hAnsi="Cambria"/>
          <w:color w:val="000000" w:themeColor="text1"/>
        </w:rPr>
        <w:t xml:space="preserve"> V, </w:t>
      </w:r>
      <w:proofErr w:type="spellStart"/>
      <w:r w:rsidRPr="00D674C0">
        <w:rPr>
          <w:rFonts w:ascii="Cambria" w:hAnsi="Cambria"/>
          <w:color w:val="000000" w:themeColor="text1"/>
        </w:rPr>
        <w:t>Sangkuhl</w:t>
      </w:r>
      <w:proofErr w:type="spellEnd"/>
      <w:r w:rsidRPr="00D674C0">
        <w:rPr>
          <w:rFonts w:ascii="Cambria" w:hAnsi="Cambria"/>
          <w:color w:val="000000" w:themeColor="text1"/>
        </w:rPr>
        <w:t xml:space="preserve"> K, </w:t>
      </w:r>
      <w:proofErr w:type="spellStart"/>
      <w:r w:rsidRPr="00D674C0">
        <w:rPr>
          <w:rFonts w:ascii="Cambria" w:hAnsi="Cambria"/>
          <w:color w:val="000000" w:themeColor="text1"/>
        </w:rPr>
        <w:t>Sanghavi</w:t>
      </w:r>
      <w:proofErr w:type="spellEnd"/>
      <w:r w:rsidRPr="00D674C0">
        <w:rPr>
          <w:rFonts w:ascii="Cambria" w:hAnsi="Cambria"/>
          <w:color w:val="000000" w:themeColor="text1"/>
        </w:rPr>
        <w:t xml:space="preserve"> K, Fish A, Altman RB, Klein TE. </w:t>
      </w:r>
      <w:proofErr w:type="spellStart"/>
      <w:r w:rsidRPr="00D674C0">
        <w:rPr>
          <w:rFonts w:ascii="Cambria" w:hAnsi="Cambria"/>
          <w:color w:val="000000" w:themeColor="text1"/>
        </w:rPr>
        <w:t>PharmGKB</w:t>
      </w:r>
      <w:proofErr w:type="spellEnd"/>
      <w:r w:rsidRPr="00D674C0">
        <w:rPr>
          <w:rFonts w:ascii="Cambria" w:hAnsi="Cambria"/>
          <w:color w:val="000000" w:themeColor="text1"/>
        </w:rPr>
        <w:t xml:space="preserve"> summary: mycophenolic acid pathway. </w:t>
      </w:r>
      <w:proofErr w:type="spellStart"/>
      <w:r w:rsidRPr="00D674C0">
        <w:rPr>
          <w:rFonts w:ascii="Cambria" w:hAnsi="Cambria"/>
          <w:color w:val="000000" w:themeColor="text1"/>
        </w:rPr>
        <w:t>Pharmacogenet</w:t>
      </w:r>
      <w:proofErr w:type="spellEnd"/>
      <w:r w:rsidRPr="00D674C0">
        <w:rPr>
          <w:rFonts w:ascii="Cambria" w:hAnsi="Cambria"/>
          <w:color w:val="000000" w:themeColor="text1"/>
        </w:rPr>
        <w:t xml:space="preserve"> Genomics 2014; 24:73-79.</w:t>
      </w:r>
    </w:p>
    <w:p w14:paraId="60FAFF4A" w14:textId="77777777" w:rsidR="00D549D3" w:rsidRPr="00D674C0" w:rsidRDefault="006A5E72" w:rsidP="00E50E42">
      <w:pPr>
        <w:pStyle w:val="BodyText"/>
        <w:numPr>
          <w:ilvl w:val="0"/>
          <w:numId w:val="9"/>
        </w:numPr>
        <w:spacing w:before="0" w:after="0" w:line="360" w:lineRule="auto"/>
        <w:ind w:left="357" w:hanging="357"/>
        <w:jc w:val="left"/>
        <w:rPr>
          <w:rFonts w:ascii="Cambria" w:hAnsi="Cambria"/>
          <w:color w:val="000000" w:themeColor="text1"/>
        </w:rPr>
      </w:pPr>
      <w:r w:rsidRPr="00D674C0">
        <w:rPr>
          <w:rFonts w:ascii="Cambria" w:hAnsi="Cambria"/>
          <w:color w:val="000000" w:themeColor="text1"/>
        </w:rPr>
        <w:t xml:space="preserve">Poirier A, </w:t>
      </w:r>
      <w:proofErr w:type="spellStart"/>
      <w:r w:rsidRPr="00D674C0">
        <w:rPr>
          <w:rFonts w:ascii="Cambria" w:hAnsi="Cambria"/>
          <w:color w:val="000000" w:themeColor="text1"/>
        </w:rPr>
        <w:t>Pormtan</w:t>
      </w:r>
      <w:proofErr w:type="spellEnd"/>
      <w:r w:rsidRPr="00D674C0">
        <w:rPr>
          <w:rFonts w:ascii="Cambria" w:hAnsi="Cambria"/>
          <w:color w:val="000000" w:themeColor="text1"/>
        </w:rPr>
        <w:t xml:space="preserve"> R, </w:t>
      </w:r>
      <w:proofErr w:type="spellStart"/>
      <w:r w:rsidRPr="00D674C0">
        <w:rPr>
          <w:rFonts w:ascii="Cambria" w:hAnsi="Cambria"/>
          <w:color w:val="000000" w:themeColor="text1"/>
        </w:rPr>
        <w:t>Cascais</w:t>
      </w:r>
      <w:proofErr w:type="spellEnd"/>
      <w:r w:rsidRPr="00D674C0">
        <w:rPr>
          <w:rFonts w:ascii="Cambria" w:hAnsi="Cambria"/>
          <w:color w:val="000000" w:themeColor="text1"/>
        </w:rPr>
        <w:t xml:space="preserve"> AC, Bader U, </w:t>
      </w:r>
      <w:proofErr w:type="spellStart"/>
      <w:r w:rsidRPr="00D674C0">
        <w:rPr>
          <w:rFonts w:ascii="Cambria" w:hAnsi="Cambria"/>
          <w:color w:val="000000" w:themeColor="text1"/>
        </w:rPr>
        <w:t>Wlater</w:t>
      </w:r>
      <w:proofErr w:type="spellEnd"/>
      <w:r w:rsidRPr="00D674C0">
        <w:rPr>
          <w:rFonts w:ascii="Cambria" w:hAnsi="Cambria"/>
          <w:color w:val="000000" w:themeColor="text1"/>
        </w:rPr>
        <w:t xml:space="preserve"> I, </w:t>
      </w:r>
      <w:proofErr w:type="spellStart"/>
      <w:r w:rsidRPr="00D674C0">
        <w:rPr>
          <w:rFonts w:ascii="Cambria" w:hAnsi="Cambria"/>
          <w:color w:val="000000" w:themeColor="text1"/>
        </w:rPr>
        <w:t>Ullah</w:t>
      </w:r>
      <w:proofErr w:type="spellEnd"/>
      <w:r w:rsidRPr="00D674C0">
        <w:rPr>
          <w:rFonts w:ascii="Cambria" w:hAnsi="Cambria"/>
          <w:color w:val="000000" w:themeColor="text1"/>
        </w:rPr>
        <w:t xml:space="preserve"> M, Funk C. The need for human breast cancer resistance protein substrate </w:t>
      </w:r>
      <w:proofErr w:type="spellStart"/>
      <w:proofErr w:type="gramStart"/>
      <w:r w:rsidRPr="00D674C0">
        <w:rPr>
          <w:rFonts w:ascii="Cambria" w:hAnsi="Cambria"/>
          <w:color w:val="000000" w:themeColor="text1"/>
        </w:rPr>
        <w:t>nad</w:t>
      </w:r>
      <w:proofErr w:type="spellEnd"/>
      <w:proofErr w:type="gramEnd"/>
      <w:r w:rsidRPr="00D674C0">
        <w:rPr>
          <w:rFonts w:ascii="Cambria" w:hAnsi="Cambria"/>
          <w:color w:val="000000" w:themeColor="text1"/>
        </w:rPr>
        <w:t xml:space="preserve"> inhibition evaluation in drug discovery and development: why, when and how? Drug </w:t>
      </w:r>
      <w:proofErr w:type="spellStart"/>
      <w:r w:rsidRPr="00D674C0">
        <w:rPr>
          <w:rFonts w:ascii="Cambria" w:hAnsi="Cambria"/>
          <w:color w:val="000000" w:themeColor="text1"/>
        </w:rPr>
        <w:t>Metab</w:t>
      </w:r>
      <w:proofErr w:type="spellEnd"/>
      <w:r w:rsidRPr="00D674C0">
        <w:rPr>
          <w:rFonts w:ascii="Cambria" w:hAnsi="Cambria"/>
          <w:color w:val="000000" w:themeColor="text1"/>
        </w:rPr>
        <w:t xml:space="preserve"> </w:t>
      </w:r>
      <w:proofErr w:type="spellStart"/>
      <w:r w:rsidRPr="00D674C0">
        <w:rPr>
          <w:rFonts w:ascii="Cambria" w:hAnsi="Cambria"/>
          <w:color w:val="000000" w:themeColor="text1"/>
        </w:rPr>
        <w:t>Dispos</w:t>
      </w:r>
      <w:proofErr w:type="spellEnd"/>
      <w:r w:rsidRPr="00D674C0">
        <w:rPr>
          <w:rFonts w:ascii="Cambria" w:hAnsi="Cambria"/>
          <w:color w:val="000000" w:themeColor="text1"/>
        </w:rPr>
        <w:t xml:space="preserve"> 2014; 42:1466-1477.</w:t>
      </w:r>
    </w:p>
    <w:p w14:paraId="75FE0719" w14:textId="6885733D" w:rsidR="00D549D3" w:rsidRPr="00D674C0" w:rsidRDefault="00D549D3" w:rsidP="00E50E42">
      <w:pPr>
        <w:pStyle w:val="BodyText"/>
        <w:numPr>
          <w:ilvl w:val="0"/>
          <w:numId w:val="9"/>
        </w:numPr>
        <w:spacing w:before="0" w:after="0" w:line="360" w:lineRule="auto"/>
        <w:ind w:left="357" w:hanging="357"/>
        <w:jc w:val="left"/>
        <w:rPr>
          <w:rFonts w:ascii="Cambria" w:hAnsi="Cambria"/>
          <w:color w:val="000000" w:themeColor="text1"/>
        </w:rPr>
      </w:pPr>
      <w:proofErr w:type="spellStart"/>
      <w:r w:rsidRPr="00D674C0">
        <w:rPr>
          <w:rFonts w:ascii="Cambria" w:hAnsi="Cambria"/>
        </w:rPr>
        <w:t>Dalla</w:t>
      </w:r>
      <w:proofErr w:type="spellEnd"/>
      <w:r w:rsidRPr="00D674C0">
        <w:rPr>
          <w:rFonts w:ascii="Cambria" w:hAnsi="Cambria"/>
        </w:rPr>
        <w:t xml:space="preserve"> </w:t>
      </w:r>
      <w:proofErr w:type="spellStart"/>
      <w:r w:rsidRPr="00D674C0">
        <w:rPr>
          <w:rFonts w:ascii="Cambria" w:hAnsi="Cambria"/>
        </w:rPr>
        <w:t>Vecchia</w:t>
      </w:r>
      <w:proofErr w:type="spellEnd"/>
      <w:r w:rsidRPr="00D674C0">
        <w:rPr>
          <w:rFonts w:ascii="Cambria" w:hAnsi="Cambria"/>
        </w:rPr>
        <w:t xml:space="preserve"> </w:t>
      </w:r>
      <w:proofErr w:type="spellStart"/>
      <w:r w:rsidRPr="00D674C0">
        <w:rPr>
          <w:rFonts w:ascii="Cambria" w:hAnsi="Cambria"/>
        </w:rPr>
        <w:t>Genvigir</w:t>
      </w:r>
      <w:proofErr w:type="spellEnd"/>
      <w:r w:rsidRPr="00D674C0">
        <w:rPr>
          <w:rFonts w:ascii="Cambria" w:hAnsi="Cambria"/>
        </w:rPr>
        <w:t xml:space="preserve"> F, Cerda A, Dominguez Crespo Hirata T, Hirata MH, Dominguez Crespo Hirata R. Mycophenolic acid pharmacogenomics in kidney transplantation. J </w:t>
      </w:r>
      <w:proofErr w:type="spellStart"/>
      <w:r w:rsidRPr="00D674C0">
        <w:rPr>
          <w:rFonts w:ascii="Cambria" w:hAnsi="Cambria"/>
        </w:rPr>
        <w:t>Transl</w:t>
      </w:r>
      <w:proofErr w:type="spellEnd"/>
      <w:r w:rsidRPr="00D674C0">
        <w:rPr>
          <w:rFonts w:ascii="Cambria" w:hAnsi="Cambria"/>
        </w:rPr>
        <w:t xml:space="preserve"> Genet </w:t>
      </w:r>
      <w:proofErr w:type="spellStart"/>
      <w:r w:rsidRPr="00D674C0">
        <w:rPr>
          <w:rFonts w:ascii="Cambria" w:hAnsi="Cambria"/>
        </w:rPr>
        <w:t>Genom</w:t>
      </w:r>
      <w:proofErr w:type="spellEnd"/>
      <w:r w:rsidRPr="00D674C0">
        <w:rPr>
          <w:rFonts w:ascii="Cambria" w:hAnsi="Cambria"/>
        </w:rPr>
        <w:t xml:space="preserve"> 2020; 4:320-355.</w:t>
      </w:r>
    </w:p>
    <w:p w14:paraId="27C68DBC" w14:textId="77777777" w:rsidR="00C1207A" w:rsidRDefault="005A1AE9" w:rsidP="00E50E42">
      <w:pPr>
        <w:pStyle w:val="ListParagraph"/>
        <w:numPr>
          <w:ilvl w:val="0"/>
          <w:numId w:val="9"/>
        </w:numPr>
        <w:spacing w:after="0" w:line="360" w:lineRule="auto"/>
        <w:ind w:left="357" w:hanging="357"/>
        <w:rPr>
          <w:rFonts w:ascii="Cambria" w:hAnsi="Cambria"/>
          <w:lang w:val="en-US"/>
        </w:rPr>
      </w:pPr>
      <w:r w:rsidRPr="00D674C0">
        <w:rPr>
          <w:rFonts w:ascii="Cambria" w:hAnsi="Cambria"/>
          <w:lang w:val="en-US"/>
        </w:rPr>
        <w:t xml:space="preserve">Miura M, </w:t>
      </w:r>
      <w:proofErr w:type="spellStart"/>
      <w:r w:rsidRPr="00D674C0">
        <w:rPr>
          <w:rFonts w:ascii="Cambria" w:hAnsi="Cambria"/>
          <w:lang w:val="en-US"/>
        </w:rPr>
        <w:t>Kagaya</w:t>
      </w:r>
      <w:proofErr w:type="spellEnd"/>
      <w:r w:rsidRPr="00D674C0">
        <w:rPr>
          <w:rFonts w:ascii="Cambria" w:hAnsi="Cambria"/>
          <w:lang w:val="en-US"/>
        </w:rPr>
        <w:t xml:space="preserve"> H, Satoh S, Inoue K, Saito M, </w:t>
      </w:r>
      <w:proofErr w:type="spellStart"/>
      <w:r w:rsidRPr="00D674C0">
        <w:rPr>
          <w:rFonts w:ascii="Cambria" w:hAnsi="Cambria"/>
          <w:lang w:val="en-US"/>
        </w:rPr>
        <w:t>Habuchi</w:t>
      </w:r>
      <w:proofErr w:type="spellEnd"/>
      <w:r w:rsidRPr="00D674C0">
        <w:rPr>
          <w:rFonts w:ascii="Cambria" w:hAnsi="Cambria"/>
          <w:lang w:val="en-US"/>
        </w:rPr>
        <w:t xml:space="preserve"> T, Suzuki T. Influence of drug transporters and UGT polymorphisms on pharmacokinetics of phenolic glucuronide metabolite of mycophenolic acid in Japanese renal transplant recipients. </w:t>
      </w:r>
      <w:proofErr w:type="spellStart"/>
      <w:r w:rsidRPr="00D674C0">
        <w:rPr>
          <w:rFonts w:ascii="Cambria" w:hAnsi="Cambria"/>
          <w:lang w:val="en-US"/>
        </w:rPr>
        <w:t>Ther</w:t>
      </w:r>
      <w:proofErr w:type="spellEnd"/>
      <w:r w:rsidRPr="00D674C0">
        <w:rPr>
          <w:rFonts w:ascii="Cambria" w:hAnsi="Cambria"/>
          <w:lang w:val="en-US"/>
        </w:rPr>
        <w:t xml:space="preserve"> Drug </w:t>
      </w:r>
      <w:proofErr w:type="spellStart"/>
      <w:r w:rsidRPr="00D674C0">
        <w:rPr>
          <w:rFonts w:ascii="Cambria" w:hAnsi="Cambria"/>
          <w:lang w:val="en-US"/>
        </w:rPr>
        <w:t>Monit</w:t>
      </w:r>
      <w:proofErr w:type="spellEnd"/>
      <w:r w:rsidRPr="00D674C0">
        <w:rPr>
          <w:rFonts w:ascii="Cambria" w:hAnsi="Cambria"/>
          <w:lang w:val="en-US"/>
        </w:rPr>
        <w:t xml:space="preserve"> 2008; 30:559-564.</w:t>
      </w:r>
    </w:p>
    <w:p w14:paraId="2098F0B1" w14:textId="77777777" w:rsidR="00C1207A" w:rsidRDefault="00C1207A" w:rsidP="00E50E42">
      <w:pPr>
        <w:pStyle w:val="ListParagraph"/>
        <w:numPr>
          <w:ilvl w:val="0"/>
          <w:numId w:val="9"/>
        </w:numPr>
        <w:spacing w:after="0" w:line="360" w:lineRule="auto"/>
        <w:ind w:left="357" w:hanging="357"/>
        <w:rPr>
          <w:rFonts w:ascii="Cambria" w:hAnsi="Cambria"/>
          <w:lang w:val="en-US"/>
        </w:rPr>
      </w:pPr>
      <w:r w:rsidRPr="00C1207A">
        <w:rPr>
          <w:rFonts w:ascii="Cambria" w:hAnsi="Cambria"/>
          <w:lang w:val="en-US"/>
        </w:rPr>
        <w:lastRenderedPageBreak/>
        <w:t xml:space="preserve">Pearl J. Causality: models, </w:t>
      </w:r>
      <w:proofErr w:type="gramStart"/>
      <w:r w:rsidRPr="00C1207A">
        <w:rPr>
          <w:rFonts w:ascii="Cambria" w:hAnsi="Cambria"/>
          <w:lang w:val="en-US"/>
        </w:rPr>
        <w:t>reasoning</w:t>
      </w:r>
      <w:proofErr w:type="gramEnd"/>
      <w:r w:rsidRPr="00C1207A">
        <w:rPr>
          <w:rFonts w:ascii="Cambria" w:hAnsi="Cambria"/>
          <w:lang w:val="en-US"/>
        </w:rPr>
        <w:t xml:space="preserve"> and inference. 2</w:t>
      </w:r>
      <w:r w:rsidRPr="00C1207A">
        <w:rPr>
          <w:rFonts w:ascii="Cambria" w:hAnsi="Cambria"/>
          <w:vertAlign w:val="superscript"/>
          <w:lang w:val="en-US"/>
        </w:rPr>
        <w:t>nd</w:t>
      </w:r>
      <w:r w:rsidRPr="00C1207A">
        <w:rPr>
          <w:rFonts w:ascii="Cambria" w:hAnsi="Cambria"/>
          <w:lang w:val="en-US"/>
        </w:rPr>
        <w:t xml:space="preserve"> ed. Cambridge, Cambridge University press, 2009.</w:t>
      </w:r>
    </w:p>
    <w:p w14:paraId="3FFA95A5" w14:textId="6EF74EDA" w:rsidR="00C1207A" w:rsidRPr="00C1207A" w:rsidRDefault="00C1207A" w:rsidP="00E50E42">
      <w:pPr>
        <w:pStyle w:val="ListParagraph"/>
        <w:numPr>
          <w:ilvl w:val="0"/>
          <w:numId w:val="9"/>
        </w:numPr>
        <w:spacing w:after="0" w:line="360" w:lineRule="auto"/>
        <w:ind w:left="357" w:hanging="357"/>
        <w:rPr>
          <w:rFonts w:ascii="Cambria" w:hAnsi="Cambria"/>
          <w:lang w:val="en-US"/>
        </w:rPr>
      </w:pPr>
      <w:r w:rsidRPr="00C1207A">
        <w:rPr>
          <w:rFonts w:ascii="Cambria" w:hAnsi="Cambria"/>
        </w:rPr>
        <w:t xml:space="preserve">VanderWeele TJ. </w:t>
      </w:r>
      <w:proofErr w:type="spellStart"/>
      <w:r w:rsidRPr="00C1207A">
        <w:rPr>
          <w:rFonts w:ascii="Cambria" w:hAnsi="Cambria"/>
        </w:rPr>
        <w:t>Principles</w:t>
      </w:r>
      <w:proofErr w:type="spellEnd"/>
      <w:r w:rsidRPr="00C1207A">
        <w:rPr>
          <w:rFonts w:ascii="Cambria" w:hAnsi="Cambria"/>
        </w:rPr>
        <w:t xml:space="preserve"> of </w:t>
      </w:r>
      <w:proofErr w:type="spellStart"/>
      <w:r w:rsidRPr="00C1207A">
        <w:rPr>
          <w:rFonts w:ascii="Cambria" w:hAnsi="Cambria"/>
        </w:rPr>
        <w:t>confounder</w:t>
      </w:r>
      <w:proofErr w:type="spellEnd"/>
      <w:r w:rsidRPr="00C1207A">
        <w:rPr>
          <w:rFonts w:ascii="Cambria" w:hAnsi="Cambria"/>
        </w:rPr>
        <w:t xml:space="preserve"> </w:t>
      </w:r>
      <w:proofErr w:type="spellStart"/>
      <w:r w:rsidRPr="00C1207A">
        <w:rPr>
          <w:rFonts w:ascii="Cambria" w:hAnsi="Cambria"/>
        </w:rPr>
        <w:t>selection</w:t>
      </w:r>
      <w:proofErr w:type="spellEnd"/>
      <w:r w:rsidRPr="00C1207A">
        <w:rPr>
          <w:rFonts w:ascii="Cambria" w:hAnsi="Cambria"/>
        </w:rPr>
        <w:t xml:space="preserve">. </w:t>
      </w:r>
      <w:proofErr w:type="spellStart"/>
      <w:r w:rsidRPr="00C1207A">
        <w:rPr>
          <w:rFonts w:ascii="Cambria" w:hAnsi="Cambria"/>
        </w:rPr>
        <w:t>Eur</w:t>
      </w:r>
      <w:proofErr w:type="spellEnd"/>
      <w:r w:rsidRPr="00C1207A">
        <w:rPr>
          <w:rFonts w:ascii="Cambria" w:hAnsi="Cambria"/>
        </w:rPr>
        <w:t xml:space="preserve"> J </w:t>
      </w:r>
      <w:proofErr w:type="spellStart"/>
      <w:r w:rsidRPr="00C1207A">
        <w:rPr>
          <w:rFonts w:ascii="Cambria" w:hAnsi="Cambria"/>
        </w:rPr>
        <w:t>Epidemiol</w:t>
      </w:r>
      <w:proofErr w:type="spellEnd"/>
      <w:r w:rsidRPr="00C1207A">
        <w:rPr>
          <w:rFonts w:ascii="Cambria" w:hAnsi="Cambria"/>
        </w:rPr>
        <w:t>. 2019; 34:211-219.</w:t>
      </w:r>
    </w:p>
    <w:p w14:paraId="50AAD7D5" w14:textId="77777777" w:rsidR="00113427" w:rsidRPr="00113427" w:rsidRDefault="00D674C0" w:rsidP="00E50E42">
      <w:pPr>
        <w:pStyle w:val="BodyText"/>
        <w:numPr>
          <w:ilvl w:val="0"/>
          <w:numId w:val="9"/>
        </w:numPr>
        <w:spacing w:before="0" w:after="0" w:line="360" w:lineRule="auto"/>
        <w:ind w:left="357" w:hanging="357"/>
        <w:jc w:val="left"/>
        <w:rPr>
          <w:rFonts w:ascii="Cambria" w:hAnsi="Cambria"/>
          <w:color w:val="000000" w:themeColor="text1"/>
        </w:rPr>
      </w:pPr>
      <w:proofErr w:type="spellStart"/>
      <w:r w:rsidRPr="00C1207A">
        <w:rPr>
          <w:rFonts w:ascii="Cambria" w:hAnsi="Cambria"/>
        </w:rPr>
        <w:t>VenderWeele</w:t>
      </w:r>
      <w:proofErr w:type="spellEnd"/>
      <w:r w:rsidRPr="00C1207A">
        <w:rPr>
          <w:rFonts w:ascii="Cambria" w:hAnsi="Cambria"/>
        </w:rPr>
        <w:t xml:space="preserve"> TJ, Rothman KJ, Lash TL</w:t>
      </w:r>
      <w:proofErr w:type="gramStart"/>
      <w:r w:rsidRPr="00C1207A">
        <w:rPr>
          <w:rFonts w:ascii="Cambria" w:hAnsi="Cambria"/>
        </w:rPr>
        <w:t xml:space="preserve">.  </w:t>
      </w:r>
      <w:proofErr w:type="gramEnd"/>
      <w:r w:rsidRPr="00C1207A">
        <w:rPr>
          <w:rFonts w:ascii="Cambria" w:hAnsi="Cambria"/>
        </w:rPr>
        <w:t xml:space="preserve">Confounding and confounders. In: Lash TL, </w:t>
      </w:r>
      <w:proofErr w:type="spellStart"/>
      <w:r w:rsidRPr="00C1207A">
        <w:rPr>
          <w:rFonts w:ascii="Cambria" w:hAnsi="Cambria"/>
        </w:rPr>
        <w:t>VanderWeele</w:t>
      </w:r>
      <w:proofErr w:type="spellEnd"/>
      <w:r w:rsidRPr="00C1207A">
        <w:rPr>
          <w:rFonts w:ascii="Cambria" w:hAnsi="Cambria"/>
        </w:rPr>
        <w:t xml:space="preserve"> TJ, </w:t>
      </w:r>
      <w:proofErr w:type="spellStart"/>
      <w:r w:rsidRPr="00C1207A">
        <w:rPr>
          <w:rFonts w:ascii="Cambria" w:hAnsi="Cambria"/>
        </w:rPr>
        <w:t>Haneuse</w:t>
      </w:r>
      <w:proofErr w:type="spellEnd"/>
      <w:r w:rsidRPr="00C1207A">
        <w:rPr>
          <w:rFonts w:ascii="Cambria" w:hAnsi="Cambria"/>
        </w:rPr>
        <w:t xml:space="preserve"> S, Rothman KJ (</w:t>
      </w:r>
      <w:proofErr w:type="spellStart"/>
      <w:proofErr w:type="gramStart"/>
      <w:r w:rsidRPr="00C1207A">
        <w:rPr>
          <w:rFonts w:ascii="Cambria" w:hAnsi="Cambria"/>
        </w:rPr>
        <w:t>eds</w:t>
      </w:r>
      <w:proofErr w:type="spellEnd"/>
      <w:proofErr w:type="gramEnd"/>
      <w:r w:rsidRPr="00C1207A">
        <w:rPr>
          <w:rFonts w:ascii="Cambria" w:hAnsi="Cambria"/>
        </w:rPr>
        <w:t>) Modern epidemiology, 4</w:t>
      </w:r>
      <w:r w:rsidRPr="00C1207A">
        <w:rPr>
          <w:rFonts w:ascii="Cambria" w:hAnsi="Cambria"/>
          <w:vertAlign w:val="superscript"/>
        </w:rPr>
        <w:t>th</w:t>
      </w:r>
      <w:r w:rsidRPr="00C1207A">
        <w:rPr>
          <w:rFonts w:ascii="Cambria" w:hAnsi="Cambria"/>
        </w:rPr>
        <w:t xml:space="preserve"> </w:t>
      </w:r>
      <w:proofErr w:type="spellStart"/>
      <w:r w:rsidRPr="00C1207A">
        <w:rPr>
          <w:rFonts w:ascii="Cambria" w:hAnsi="Cambria"/>
        </w:rPr>
        <w:t>edn</w:t>
      </w:r>
      <w:proofErr w:type="spellEnd"/>
      <w:r w:rsidRPr="00C1207A">
        <w:rPr>
          <w:rFonts w:ascii="Cambria" w:hAnsi="Cambria"/>
        </w:rPr>
        <w:t xml:space="preserve">. Wolters </w:t>
      </w:r>
      <w:proofErr w:type="spellStart"/>
      <w:r w:rsidRPr="00C1207A">
        <w:rPr>
          <w:rFonts w:ascii="Cambria" w:hAnsi="Cambria"/>
        </w:rPr>
        <w:t>Kluwver</w:t>
      </w:r>
      <w:proofErr w:type="spellEnd"/>
      <w:r w:rsidRPr="00C1207A">
        <w:rPr>
          <w:rFonts w:ascii="Cambria" w:hAnsi="Cambria"/>
        </w:rPr>
        <w:t xml:space="preserve">, </w:t>
      </w:r>
      <w:proofErr w:type="spellStart"/>
      <w:r w:rsidRPr="00C1207A">
        <w:rPr>
          <w:rFonts w:ascii="Cambria" w:hAnsi="Cambria"/>
        </w:rPr>
        <w:t>Philadephia</w:t>
      </w:r>
      <w:proofErr w:type="spellEnd"/>
      <w:r w:rsidRPr="00C1207A">
        <w:rPr>
          <w:rFonts w:ascii="Cambria" w:hAnsi="Cambria"/>
        </w:rPr>
        <w:t>, 2021, pp 610-667</w:t>
      </w:r>
      <w:r w:rsidR="00113427">
        <w:rPr>
          <w:rFonts w:ascii="Cambria" w:hAnsi="Cambria"/>
        </w:rPr>
        <w:t>.</w:t>
      </w:r>
    </w:p>
    <w:p w14:paraId="67520043" w14:textId="7F2AFEAA" w:rsidR="00113427" w:rsidRPr="006D6B5D" w:rsidRDefault="00113427" w:rsidP="00E50E42">
      <w:pPr>
        <w:pStyle w:val="BodyText"/>
        <w:numPr>
          <w:ilvl w:val="0"/>
          <w:numId w:val="9"/>
        </w:numPr>
        <w:spacing w:before="0" w:after="0" w:line="360" w:lineRule="auto"/>
        <w:ind w:left="357" w:hanging="357"/>
        <w:jc w:val="left"/>
        <w:rPr>
          <w:rFonts w:ascii="Cambria" w:hAnsi="Cambria"/>
          <w:color w:val="000000" w:themeColor="text1"/>
        </w:rPr>
      </w:pPr>
      <w:proofErr w:type="spellStart"/>
      <w:r w:rsidRPr="00113427">
        <w:rPr>
          <w:rFonts w:ascii="Cambria" w:hAnsi="Cambria"/>
        </w:rPr>
        <w:t>Textor</w:t>
      </w:r>
      <w:proofErr w:type="spellEnd"/>
      <w:r w:rsidRPr="00113427">
        <w:rPr>
          <w:rFonts w:ascii="Cambria" w:hAnsi="Cambria"/>
        </w:rPr>
        <w:t xml:space="preserve"> J, van der Zander B, </w:t>
      </w:r>
      <w:proofErr w:type="spellStart"/>
      <w:r w:rsidRPr="00113427">
        <w:rPr>
          <w:rFonts w:ascii="Cambria" w:hAnsi="Cambria"/>
        </w:rPr>
        <w:t>Gilthorpe</w:t>
      </w:r>
      <w:proofErr w:type="spellEnd"/>
      <w:r w:rsidRPr="00113427">
        <w:rPr>
          <w:rFonts w:ascii="Cambria" w:hAnsi="Cambria"/>
        </w:rPr>
        <w:t xml:space="preserve"> MS, </w:t>
      </w:r>
      <w:proofErr w:type="spellStart"/>
      <w:r w:rsidRPr="00113427">
        <w:rPr>
          <w:rFonts w:ascii="Cambria" w:hAnsi="Cambria"/>
        </w:rPr>
        <w:t>Liskiewicz</w:t>
      </w:r>
      <w:proofErr w:type="spellEnd"/>
      <w:r w:rsidRPr="00113427">
        <w:rPr>
          <w:rFonts w:ascii="Cambria" w:hAnsi="Cambria"/>
        </w:rPr>
        <w:t xml:space="preserve"> M, Elliot GTH. Robust causal inference using directed acyclic graphs: the R package “</w:t>
      </w:r>
      <w:proofErr w:type="spellStart"/>
      <w:r w:rsidRPr="00113427">
        <w:rPr>
          <w:rFonts w:ascii="Cambria" w:hAnsi="Cambria"/>
        </w:rPr>
        <w:t>dagitty</w:t>
      </w:r>
      <w:proofErr w:type="spellEnd"/>
      <w:r w:rsidRPr="00113427">
        <w:rPr>
          <w:rFonts w:ascii="Cambria" w:hAnsi="Cambria"/>
        </w:rPr>
        <w:t xml:space="preserve">”. </w:t>
      </w:r>
      <w:proofErr w:type="spellStart"/>
      <w:r w:rsidRPr="00113427">
        <w:rPr>
          <w:rFonts w:ascii="Cambria" w:hAnsi="Cambria"/>
        </w:rPr>
        <w:t>Int</w:t>
      </w:r>
      <w:proofErr w:type="spellEnd"/>
      <w:r w:rsidRPr="00113427">
        <w:rPr>
          <w:rFonts w:ascii="Cambria" w:hAnsi="Cambria"/>
        </w:rPr>
        <w:t xml:space="preserve"> J </w:t>
      </w:r>
      <w:proofErr w:type="spellStart"/>
      <w:r w:rsidRPr="00113427">
        <w:rPr>
          <w:rFonts w:ascii="Cambria" w:hAnsi="Cambria"/>
        </w:rPr>
        <w:t>Epidemiol</w:t>
      </w:r>
      <w:proofErr w:type="spellEnd"/>
      <w:r w:rsidRPr="00113427">
        <w:rPr>
          <w:rFonts w:ascii="Cambria" w:hAnsi="Cambria"/>
        </w:rPr>
        <w:t xml:space="preserve"> 2016; 45:1887-1894.</w:t>
      </w:r>
    </w:p>
    <w:p w14:paraId="30DFA27C" w14:textId="1403A73B" w:rsidR="006D6B5D" w:rsidRDefault="006D6B5D" w:rsidP="00E50E42">
      <w:pPr>
        <w:pStyle w:val="ListParagraph"/>
        <w:numPr>
          <w:ilvl w:val="0"/>
          <w:numId w:val="9"/>
        </w:numPr>
        <w:spacing w:after="0" w:line="360" w:lineRule="auto"/>
        <w:ind w:left="357" w:hanging="357"/>
        <w:rPr>
          <w:rFonts w:ascii="Cambria" w:hAnsi="Cambria"/>
          <w:lang w:val="en-US"/>
        </w:rPr>
      </w:pPr>
      <w:r>
        <w:rPr>
          <w:rFonts w:ascii="Cambria" w:hAnsi="Cambria"/>
          <w:lang w:val="en-US"/>
        </w:rPr>
        <w:t xml:space="preserve">Gupta A, Dai Y, </w:t>
      </w:r>
      <w:proofErr w:type="spellStart"/>
      <w:r>
        <w:rPr>
          <w:rFonts w:ascii="Cambria" w:hAnsi="Cambria"/>
          <w:lang w:val="en-US"/>
        </w:rPr>
        <w:t>Vethanayagam</w:t>
      </w:r>
      <w:proofErr w:type="spellEnd"/>
      <w:r>
        <w:rPr>
          <w:rFonts w:ascii="Cambria" w:hAnsi="Cambria"/>
          <w:lang w:val="en-US"/>
        </w:rPr>
        <w:t xml:space="preserve"> RR, </w:t>
      </w:r>
      <w:proofErr w:type="spellStart"/>
      <w:r>
        <w:rPr>
          <w:rFonts w:ascii="Cambria" w:hAnsi="Cambria"/>
          <w:lang w:val="en-US"/>
        </w:rPr>
        <w:t>Herber</w:t>
      </w:r>
      <w:proofErr w:type="spellEnd"/>
      <w:r>
        <w:rPr>
          <w:rFonts w:ascii="Cambria" w:hAnsi="Cambria"/>
          <w:lang w:val="en-US"/>
        </w:rPr>
        <w:t xml:space="preserve"> MF, </w:t>
      </w:r>
      <w:proofErr w:type="spellStart"/>
      <w:r>
        <w:rPr>
          <w:rFonts w:ascii="Cambria" w:hAnsi="Cambria"/>
          <w:lang w:val="en-US"/>
        </w:rPr>
        <w:t>Thummel</w:t>
      </w:r>
      <w:proofErr w:type="spellEnd"/>
      <w:r>
        <w:rPr>
          <w:rFonts w:ascii="Cambria" w:hAnsi="Cambria"/>
          <w:lang w:val="en-US"/>
        </w:rPr>
        <w:t xml:space="preserve"> KE, </w:t>
      </w:r>
      <w:proofErr w:type="spellStart"/>
      <w:r>
        <w:rPr>
          <w:rFonts w:ascii="Cambria" w:hAnsi="Cambria"/>
          <w:lang w:val="en-US"/>
        </w:rPr>
        <w:t>Unadkat</w:t>
      </w:r>
      <w:proofErr w:type="spellEnd"/>
      <w:r>
        <w:rPr>
          <w:rFonts w:ascii="Cambria" w:hAnsi="Cambria"/>
          <w:lang w:val="en-US"/>
        </w:rPr>
        <w:t xml:space="preserve"> JD et al. </w:t>
      </w:r>
      <w:proofErr w:type="spellStart"/>
      <w:r>
        <w:rPr>
          <w:rFonts w:ascii="Cambria" w:hAnsi="Cambria"/>
          <w:lang w:val="en-US"/>
        </w:rPr>
        <w:t>Cyclosporin</w:t>
      </w:r>
      <w:proofErr w:type="spellEnd"/>
      <w:r>
        <w:rPr>
          <w:rFonts w:ascii="Cambria" w:hAnsi="Cambria"/>
          <w:lang w:val="en-US"/>
        </w:rPr>
        <w:t xml:space="preserve"> A, tacrolimus and </w:t>
      </w:r>
      <w:proofErr w:type="spellStart"/>
      <w:r>
        <w:rPr>
          <w:rFonts w:ascii="Cambria" w:hAnsi="Cambria"/>
          <w:lang w:val="en-US"/>
        </w:rPr>
        <w:t>sirolimus</w:t>
      </w:r>
      <w:proofErr w:type="spellEnd"/>
      <w:r>
        <w:rPr>
          <w:rFonts w:ascii="Cambria" w:hAnsi="Cambria"/>
          <w:lang w:val="en-US"/>
        </w:rPr>
        <w:t xml:space="preserve"> are potent inhibitors of the human breast cancer resistance protein (ABCG2) and reverse resistance to </w:t>
      </w:r>
      <w:proofErr w:type="spellStart"/>
      <w:r>
        <w:rPr>
          <w:rFonts w:ascii="Cambria" w:hAnsi="Cambria"/>
          <w:lang w:val="en-US"/>
        </w:rPr>
        <w:t>mitoxantrone</w:t>
      </w:r>
      <w:proofErr w:type="spellEnd"/>
      <w:r>
        <w:rPr>
          <w:rFonts w:ascii="Cambria" w:hAnsi="Cambria"/>
          <w:lang w:val="en-US"/>
        </w:rPr>
        <w:t xml:space="preserve"> and </w:t>
      </w:r>
      <w:proofErr w:type="spellStart"/>
      <w:r>
        <w:rPr>
          <w:rFonts w:ascii="Cambria" w:hAnsi="Cambria"/>
          <w:lang w:val="en-US"/>
        </w:rPr>
        <w:t>topotecan</w:t>
      </w:r>
      <w:proofErr w:type="spellEnd"/>
      <w:r>
        <w:rPr>
          <w:rFonts w:ascii="Cambria" w:hAnsi="Cambria"/>
          <w:lang w:val="en-US"/>
        </w:rPr>
        <w:t xml:space="preserve">. Cancer </w:t>
      </w:r>
      <w:proofErr w:type="spellStart"/>
      <w:r>
        <w:rPr>
          <w:rFonts w:ascii="Cambria" w:hAnsi="Cambria"/>
          <w:lang w:val="en-US"/>
        </w:rPr>
        <w:t>Chemother</w:t>
      </w:r>
      <w:proofErr w:type="spellEnd"/>
      <w:r>
        <w:rPr>
          <w:rFonts w:ascii="Cambria" w:hAnsi="Cambria"/>
          <w:lang w:val="en-US"/>
        </w:rPr>
        <w:t xml:space="preserve"> </w:t>
      </w:r>
      <w:proofErr w:type="spellStart"/>
      <w:r>
        <w:rPr>
          <w:rFonts w:ascii="Cambria" w:hAnsi="Cambria"/>
          <w:lang w:val="en-US"/>
        </w:rPr>
        <w:t>Pharmacol</w:t>
      </w:r>
      <w:proofErr w:type="spellEnd"/>
      <w:r>
        <w:rPr>
          <w:rFonts w:ascii="Cambria" w:hAnsi="Cambria"/>
          <w:lang w:val="en-US"/>
        </w:rPr>
        <w:t xml:space="preserve"> 2006; 58:374-383.</w:t>
      </w:r>
    </w:p>
    <w:p w14:paraId="6B333289" w14:textId="34DF2CEB" w:rsidR="006D6B5D" w:rsidRDefault="006D6B5D" w:rsidP="00E50E42">
      <w:pPr>
        <w:pStyle w:val="ListParagraph"/>
        <w:numPr>
          <w:ilvl w:val="0"/>
          <w:numId w:val="9"/>
        </w:numPr>
        <w:spacing w:after="0" w:line="360" w:lineRule="auto"/>
        <w:ind w:left="357" w:hanging="357"/>
        <w:rPr>
          <w:rFonts w:ascii="Cambria" w:hAnsi="Cambria"/>
          <w:lang w:val="en-US"/>
        </w:rPr>
      </w:pPr>
      <w:proofErr w:type="spellStart"/>
      <w:r>
        <w:rPr>
          <w:rFonts w:ascii="Cambria" w:hAnsi="Cambria"/>
          <w:lang w:val="en-US"/>
        </w:rPr>
        <w:t>Barbarino</w:t>
      </w:r>
      <w:proofErr w:type="spellEnd"/>
      <w:r>
        <w:rPr>
          <w:rFonts w:ascii="Cambria" w:hAnsi="Cambria"/>
          <w:lang w:val="en-US"/>
        </w:rPr>
        <w:t xml:space="preserve"> JM, </w:t>
      </w:r>
      <w:proofErr w:type="spellStart"/>
      <w:r>
        <w:rPr>
          <w:rFonts w:ascii="Cambria" w:hAnsi="Cambria"/>
          <w:lang w:val="en-US"/>
        </w:rPr>
        <w:t>Staatz</w:t>
      </w:r>
      <w:proofErr w:type="spellEnd"/>
      <w:r>
        <w:rPr>
          <w:rFonts w:ascii="Cambria" w:hAnsi="Cambria"/>
          <w:lang w:val="en-US"/>
        </w:rPr>
        <w:t xml:space="preserve"> CE, </w:t>
      </w:r>
      <w:proofErr w:type="spellStart"/>
      <w:r>
        <w:rPr>
          <w:rFonts w:ascii="Cambria" w:hAnsi="Cambria"/>
          <w:lang w:val="en-US"/>
        </w:rPr>
        <w:t>Venkataramanan</w:t>
      </w:r>
      <w:proofErr w:type="spellEnd"/>
      <w:r>
        <w:rPr>
          <w:rFonts w:ascii="Cambria" w:hAnsi="Cambria"/>
          <w:lang w:val="en-US"/>
        </w:rPr>
        <w:t xml:space="preserve"> R, Klein TE, Altman RB. </w:t>
      </w:r>
      <w:proofErr w:type="spellStart"/>
      <w:r>
        <w:rPr>
          <w:rFonts w:ascii="Cambria" w:hAnsi="Cambria"/>
          <w:lang w:val="en-US"/>
        </w:rPr>
        <w:t>PharmGKB</w:t>
      </w:r>
      <w:proofErr w:type="spellEnd"/>
      <w:r>
        <w:rPr>
          <w:rFonts w:ascii="Cambria" w:hAnsi="Cambria"/>
          <w:lang w:val="en-US"/>
        </w:rPr>
        <w:t xml:space="preserve"> summary: cyclosporine and tacrolimus pathways. </w:t>
      </w:r>
      <w:proofErr w:type="spellStart"/>
      <w:r>
        <w:rPr>
          <w:rFonts w:ascii="Cambria" w:hAnsi="Cambria"/>
          <w:lang w:val="en-US"/>
        </w:rPr>
        <w:t>Pharmacogenet</w:t>
      </w:r>
      <w:proofErr w:type="spellEnd"/>
      <w:r>
        <w:rPr>
          <w:rFonts w:ascii="Cambria" w:hAnsi="Cambria"/>
          <w:lang w:val="en-US"/>
        </w:rPr>
        <w:t xml:space="preserve"> Genomics 2013; 23:563-585.</w:t>
      </w:r>
    </w:p>
    <w:p w14:paraId="24B062D3" w14:textId="040BE1AA" w:rsidR="00E8694E" w:rsidRPr="00E8694E" w:rsidRDefault="006D6B5D" w:rsidP="00E50E42">
      <w:pPr>
        <w:pStyle w:val="ListParagraph"/>
        <w:numPr>
          <w:ilvl w:val="0"/>
          <w:numId w:val="9"/>
        </w:numPr>
        <w:spacing w:after="0" w:line="360" w:lineRule="auto"/>
        <w:ind w:left="357" w:hanging="357"/>
        <w:rPr>
          <w:rFonts w:ascii="Cambria" w:hAnsi="Cambria"/>
          <w:lang w:val="en-US"/>
        </w:rPr>
      </w:pPr>
      <w:proofErr w:type="spellStart"/>
      <w:r>
        <w:rPr>
          <w:rFonts w:ascii="Cambria" w:hAnsi="Cambria"/>
          <w:lang w:val="en-US"/>
        </w:rPr>
        <w:t>Fohner</w:t>
      </w:r>
      <w:proofErr w:type="spellEnd"/>
      <w:r>
        <w:rPr>
          <w:rFonts w:ascii="Cambria" w:hAnsi="Cambria"/>
          <w:lang w:val="en-US"/>
        </w:rPr>
        <w:t xml:space="preserve"> AE, Brackman DJ, Giacomini KM, Altman RB, Klein TE. </w:t>
      </w:r>
      <w:proofErr w:type="spellStart"/>
      <w:r>
        <w:rPr>
          <w:rFonts w:ascii="Cambria" w:hAnsi="Cambria"/>
          <w:lang w:val="en-US"/>
        </w:rPr>
        <w:t>PharmGKB</w:t>
      </w:r>
      <w:proofErr w:type="spellEnd"/>
      <w:r>
        <w:rPr>
          <w:rFonts w:ascii="Cambria" w:hAnsi="Cambria"/>
          <w:lang w:val="en-US"/>
        </w:rPr>
        <w:t xml:space="preserve"> summary: very important </w:t>
      </w:r>
      <w:proofErr w:type="spellStart"/>
      <w:r>
        <w:rPr>
          <w:rFonts w:ascii="Cambria" w:hAnsi="Cambria"/>
          <w:lang w:val="en-US"/>
        </w:rPr>
        <w:t>pharmacogene</w:t>
      </w:r>
      <w:proofErr w:type="spellEnd"/>
      <w:r>
        <w:rPr>
          <w:rFonts w:ascii="Cambria" w:hAnsi="Cambria"/>
          <w:lang w:val="en-US"/>
        </w:rPr>
        <w:t xml:space="preserve"> information for ABCG2. </w:t>
      </w:r>
      <w:proofErr w:type="spellStart"/>
      <w:r>
        <w:rPr>
          <w:rFonts w:ascii="Cambria" w:hAnsi="Cambria"/>
          <w:lang w:val="en-US"/>
        </w:rPr>
        <w:t>Pharmacogenet</w:t>
      </w:r>
      <w:proofErr w:type="spellEnd"/>
      <w:r>
        <w:rPr>
          <w:rFonts w:ascii="Cambria" w:hAnsi="Cambria"/>
          <w:lang w:val="en-US"/>
        </w:rPr>
        <w:t xml:space="preserve"> Genomics 2017; 27:420-427.</w:t>
      </w:r>
    </w:p>
    <w:p w14:paraId="389396C5" w14:textId="77777777" w:rsidR="00742CC0" w:rsidRDefault="00742CC0" w:rsidP="00E50E42">
      <w:pPr>
        <w:pStyle w:val="ListParagraph"/>
        <w:numPr>
          <w:ilvl w:val="0"/>
          <w:numId w:val="9"/>
        </w:numPr>
        <w:spacing w:after="0" w:line="360" w:lineRule="auto"/>
        <w:ind w:left="357" w:hanging="357"/>
        <w:rPr>
          <w:rFonts w:ascii="Cambria" w:hAnsi="Cambria"/>
          <w:lang w:val="en-US"/>
        </w:rPr>
      </w:pPr>
      <w:proofErr w:type="spellStart"/>
      <w:r>
        <w:rPr>
          <w:rFonts w:ascii="Cambria" w:hAnsi="Cambria"/>
          <w:lang w:val="en-US"/>
        </w:rPr>
        <w:t>Bakhsheshian</w:t>
      </w:r>
      <w:proofErr w:type="spellEnd"/>
      <w:r>
        <w:rPr>
          <w:rFonts w:ascii="Cambria" w:hAnsi="Cambria"/>
          <w:lang w:val="en-US"/>
        </w:rPr>
        <w:t xml:space="preserve"> J, Hall MD, Robey RW, Herrmann MA, Chen JQ, Bates SE, Gottesman MM. Overlapping substrate and inhibitor specificity of human and murine ABCG2. Drug </w:t>
      </w:r>
      <w:proofErr w:type="spellStart"/>
      <w:r>
        <w:rPr>
          <w:rFonts w:ascii="Cambria" w:hAnsi="Cambria"/>
          <w:lang w:val="en-US"/>
        </w:rPr>
        <w:t>Metab</w:t>
      </w:r>
      <w:proofErr w:type="spellEnd"/>
      <w:r>
        <w:rPr>
          <w:rFonts w:ascii="Cambria" w:hAnsi="Cambria"/>
          <w:lang w:val="en-US"/>
        </w:rPr>
        <w:t xml:space="preserve"> </w:t>
      </w:r>
      <w:proofErr w:type="spellStart"/>
      <w:r>
        <w:rPr>
          <w:rFonts w:ascii="Cambria" w:hAnsi="Cambria"/>
          <w:lang w:val="en-US"/>
        </w:rPr>
        <w:t>Dispos</w:t>
      </w:r>
      <w:proofErr w:type="spellEnd"/>
      <w:r>
        <w:rPr>
          <w:rFonts w:ascii="Cambria" w:hAnsi="Cambria"/>
          <w:lang w:val="en-US"/>
        </w:rPr>
        <w:t xml:space="preserve"> 2013; 41:1805-1812.</w:t>
      </w:r>
    </w:p>
    <w:p w14:paraId="6507A5E5" w14:textId="0DAE546D" w:rsidR="00E8694E" w:rsidRDefault="00E8694E" w:rsidP="00E50E42">
      <w:pPr>
        <w:pStyle w:val="ListParagraph"/>
        <w:numPr>
          <w:ilvl w:val="0"/>
          <w:numId w:val="9"/>
        </w:numPr>
        <w:spacing w:after="0" w:line="360" w:lineRule="auto"/>
        <w:ind w:left="357" w:hanging="357"/>
        <w:rPr>
          <w:rFonts w:ascii="Cambria" w:hAnsi="Cambria"/>
          <w:lang w:val="en-US"/>
        </w:rPr>
      </w:pPr>
      <w:proofErr w:type="spellStart"/>
      <w:r>
        <w:rPr>
          <w:rFonts w:ascii="Cambria" w:hAnsi="Cambria"/>
          <w:lang w:val="en-US"/>
        </w:rPr>
        <w:t>Staatz</w:t>
      </w:r>
      <w:proofErr w:type="spellEnd"/>
      <w:r>
        <w:rPr>
          <w:rFonts w:ascii="Cambria" w:hAnsi="Cambria"/>
          <w:lang w:val="en-US"/>
        </w:rPr>
        <w:t xml:space="preserve"> CE, </w:t>
      </w:r>
      <w:proofErr w:type="spellStart"/>
      <w:r>
        <w:rPr>
          <w:rFonts w:ascii="Cambria" w:hAnsi="Cambria"/>
          <w:lang w:val="en-US"/>
        </w:rPr>
        <w:t>Tett</w:t>
      </w:r>
      <w:proofErr w:type="spellEnd"/>
      <w:r>
        <w:rPr>
          <w:rFonts w:ascii="Cambria" w:hAnsi="Cambria"/>
          <w:lang w:val="en-US"/>
        </w:rPr>
        <w:t xml:space="preserve"> SE. Clinical </w:t>
      </w:r>
      <w:proofErr w:type="gramStart"/>
      <w:r>
        <w:rPr>
          <w:rFonts w:ascii="Cambria" w:hAnsi="Cambria"/>
          <w:lang w:val="en-US"/>
        </w:rPr>
        <w:t>pharmacokinetics</w:t>
      </w:r>
      <w:proofErr w:type="gramEnd"/>
      <w:r>
        <w:rPr>
          <w:rFonts w:ascii="Cambria" w:hAnsi="Cambria"/>
          <w:lang w:val="en-US"/>
        </w:rPr>
        <w:t xml:space="preserve"> and pharmacodynamics of </w:t>
      </w:r>
      <w:proofErr w:type="spellStart"/>
      <w:r>
        <w:rPr>
          <w:rFonts w:ascii="Cambria" w:hAnsi="Cambria"/>
          <w:lang w:val="en-US"/>
        </w:rPr>
        <w:t>mycophenolate</w:t>
      </w:r>
      <w:proofErr w:type="spellEnd"/>
      <w:r>
        <w:rPr>
          <w:rFonts w:ascii="Cambria" w:hAnsi="Cambria"/>
          <w:lang w:val="en-US"/>
        </w:rPr>
        <w:t xml:space="preserve"> in solid organ transplant recipients. </w:t>
      </w:r>
      <w:proofErr w:type="spellStart"/>
      <w:r>
        <w:rPr>
          <w:rFonts w:ascii="Cambria" w:hAnsi="Cambria"/>
          <w:lang w:val="en-US"/>
        </w:rPr>
        <w:t>Clin</w:t>
      </w:r>
      <w:proofErr w:type="spellEnd"/>
      <w:r>
        <w:rPr>
          <w:rFonts w:ascii="Cambria" w:hAnsi="Cambria"/>
          <w:lang w:val="en-US"/>
        </w:rPr>
        <w:t xml:space="preserve"> </w:t>
      </w:r>
      <w:proofErr w:type="spellStart"/>
      <w:r>
        <w:rPr>
          <w:rFonts w:ascii="Cambria" w:hAnsi="Cambria"/>
          <w:lang w:val="en-US"/>
        </w:rPr>
        <w:t>Pharmacokinet</w:t>
      </w:r>
      <w:proofErr w:type="spellEnd"/>
      <w:r>
        <w:rPr>
          <w:rFonts w:ascii="Cambria" w:hAnsi="Cambria"/>
          <w:lang w:val="en-US"/>
        </w:rPr>
        <w:t xml:space="preserve"> 2007; 46:13-58.</w:t>
      </w:r>
    </w:p>
    <w:p w14:paraId="73E99649" w14:textId="7AD61B66" w:rsidR="008D1676" w:rsidRDefault="008D1676" w:rsidP="00E50E42">
      <w:pPr>
        <w:pStyle w:val="ListParagraph"/>
        <w:numPr>
          <w:ilvl w:val="0"/>
          <w:numId w:val="9"/>
        </w:numPr>
        <w:spacing w:after="0" w:line="360" w:lineRule="auto"/>
        <w:ind w:left="357" w:hanging="357"/>
        <w:rPr>
          <w:rFonts w:ascii="Cambria" w:hAnsi="Cambria"/>
          <w:lang w:val="en-US"/>
        </w:rPr>
      </w:pPr>
      <w:r>
        <w:rPr>
          <w:rFonts w:ascii="Cambria" w:hAnsi="Cambria"/>
          <w:lang w:val="en-US"/>
        </w:rPr>
        <w:t xml:space="preserve">Hodges LM, Markova SM, Chinn LW, </w:t>
      </w:r>
      <w:proofErr w:type="spellStart"/>
      <w:r>
        <w:rPr>
          <w:rFonts w:ascii="Cambria" w:hAnsi="Cambria"/>
          <w:lang w:val="en-US"/>
        </w:rPr>
        <w:t>Gow</w:t>
      </w:r>
      <w:proofErr w:type="spellEnd"/>
      <w:r>
        <w:rPr>
          <w:rFonts w:ascii="Cambria" w:hAnsi="Cambria"/>
          <w:lang w:val="en-US"/>
        </w:rPr>
        <w:t xml:space="preserve"> JM, </w:t>
      </w:r>
      <w:proofErr w:type="spellStart"/>
      <w:r>
        <w:rPr>
          <w:rFonts w:ascii="Cambria" w:hAnsi="Cambria"/>
          <w:lang w:val="en-US"/>
        </w:rPr>
        <w:t>Kroetz</w:t>
      </w:r>
      <w:proofErr w:type="spellEnd"/>
      <w:r>
        <w:rPr>
          <w:rFonts w:ascii="Cambria" w:hAnsi="Cambria"/>
          <w:lang w:val="en-US"/>
        </w:rPr>
        <w:t xml:space="preserve"> DL, Klein TE, Altman RB. Very important </w:t>
      </w:r>
      <w:proofErr w:type="spellStart"/>
      <w:r>
        <w:rPr>
          <w:rFonts w:ascii="Cambria" w:hAnsi="Cambria"/>
          <w:lang w:val="en-US"/>
        </w:rPr>
        <w:t>pharmacogene</w:t>
      </w:r>
      <w:proofErr w:type="spellEnd"/>
      <w:r>
        <w:rPr>
          <w:rFonts w:ascii="Cambria" w:hAnsi="Cambria"/>
          <w:lang w:val="en-US"/>
        </w:rPr>
        <w:t xml:space="preserve"> summary: ABCB1 (MDR1, P-glycoprotein). </w:t>
      </w:r>
      <w:proofErr w:type="spellStart"/>
      <w:r>
        <w:rPr>
          <w:rFonts w:ascii="Cambria" w:hAnsi="Cambria"/>
          <w:lang w:val="en-US"/>
        </w:rPr>
        <w:t>Pharmacogenet</w:t>
      </w:r>
      <w:proofErr w:type="spellEnd"/>
      <w:r>
        <w:rPr>
          <w:rFonts w:ascii="Cambria" w:hAnsi="Cambria"/>
          <w:lang w:val="en-US"/>
        </w:rPr>
        <w:t xml:space="preserve"> Genomics 2011; 21:152-161.</w:t>
      </w:r>
    </w:p>
    <w:p w14:paraId="7CDCC050" w14:textId="77777777" w:rsidR="0021202D" w:rsidRDefault="0021202D" w:rsidP="00E50E42">
      <w:pPr>
        <w:pStyle w:val="ListParagraph"/>
        <w:numPr>
          <w:ilvl w:val="0"/>
          <w:numId w:val="9"/>
        </w:numPr>
        <w:spacing w:after="0" w:line="360" w:lineRule="auto"/>
        <w:ind w:left="357" w:hanging="357"/>
        <w:rPr>
          <w:rFonts w:ascii="Cambria" w:hAnsi="Cambria"/>
          <w:lang w:val="en-US"/>
        </w:rPr>
      </w:pPr>
      <w:r>
        <w:rPr>
          <w:rFonts w:ascii="Cambria" w:hAnsi="Cambria"/>
          <w:lang w:val="en-US"/>
        </w:rPr>
        <w:t xml:space="preserve">Organic anion transporting polypeptide (OATP). Available at: </w:t>
      </w:r>
      <w:hyperlink r:id="rId10" w:history="1">
        <w:proofErr w:type="spellStart"/>
        <w:r w:rsidRPr="008D1676">
          <w:rPr>
            <w:rStyle w:val="Hyperlink"/>
            <w:rFonts w:ascii="Cambria" w:hAnsi="Cambria"/>
          </w:rPr>
          <w:t>Organic</w:t>
        </w:r>
        <w:proofErr w:type="spellEnd"/>
        <w:r w:rsidRPr="008D1676">
          <w:rPr>
            <w:rStyle w:val="Hyperlink"/>
            <w:rFonts w:ascii="Cambria" w:hAnsi="Cambria"/>
          </w:rPr>
          <w:t xml:space="preserve"> anion </w:t>
        </w:r>
        <w:proofErr w:type="spellStart"/>
        <w:r w:rsidRPr="008D1676">
          <w:rPr>
            <w:rStyle w:val="Hyperlink"/>
            <w:rFonts w:ascii="Cambria" w:hAnsi="Cambria"/>
          </w:rPr>
          <w:t>transporting</w:t>
        </w:r>
        <w:proofErr w:type="spellEnd"/>
        <w:r w:rsidRPr="008D1676">
          <w:rPr>
            <w:rStyle w:val="Hyperlink"/>
            <w:rFonts w:ascii="Cambria" w:hAnsi="Cambria"/>
          </w:rPr>
          <w:t xml:space="preserve"> </w:t>
        </w:r>
        <w:proofErr w:type="spellStart"/>
        <w:r w:rsidRPr="008D1676">
          <w:rPr>
            <w:rStyle w:val="Hyperlink"/>
            <w:rFonts w:ascii="Cambria" w:hAnsi="Cambria"/>
          </w:rPr>
          <w:t>polypeptide</w:t>
        </w:r>
        <w:proofErr w:type="spellEnd"/>
        <w:r w:rsidRPr="008D1676">
          <w:rPr>
            <w:rStyle w:val="Hyperlink"/>
            <w:rFonts w:ascii="Cambria" w:hAnsi="Cambria"/>
          </w:rPr>
          <w:t xml:space="preserve"> (OATP) (straighthealthcare.com)</w:t>
        </w:r>
      </w:hyperlink>
      <w:r>
        <w:rPr>
          <w:rFonts w:ascii="Cambria" w:hAnsi="Cambria"/>
          <w:lang w:val="en-US"/>
        </w:rPr>
        <w:t>, Accessed August 25, 2022.</w:t>
      </w:r>
    </w:p>
    <w:p w14:paraId="695D83AA" w14:textId="77777777" w:rsidR="0021202D" w:rsidRPr="00633EBC" w:rsidRDefault="0021202D" w:rsidP="00E50E42">
      <w:pPr>
        <w:pStyle w:val="ListParagraph"/>
        <w:numPr>
          <w:ilvl w:val="0"/>
          <w:numId w:val="9"/>
        </w:numPr>
        <w:spacing w:after="0" w:line="360" w:lineRule="auto"/>
        <w:ind w:left="357" w:hanging="357"/>
        <w:rPr>
          <w:rFonts w:ascii="Cambria" w:hAnsi="Cambria"/>
          <w:lang w:val="en-US"/>
        </w:rPr>
      </w:pPr>
      <w:r>
        <w:rPr>
          <w:rFonts w:ascii="Cambria" w:hAnsi="Cambria"/>
          <w:lang w:val="en-US"/>
        </w:rPr>
        <w:t xml:space="preserve">Ogasawara K, </w:t>
      </w:r>
      <w:proofErr w:type="spellStart"/>
      <w:r>
        <w:rPr>
          <w:rFonts w:ascii="Cambria" w:hAnsi="Cambria"/>
          <w:lang w:val="en-US"/>
        </w:rPr>
        <w:t>Chitnis</w:t>
      </w:r>
      <w:proofErr w:type="spellEnd"/>
      <w:r>
        <w:rPr>
          <w:rFonts w:ascii="Cambria" w:hAnsi="Cambria"/>
          <w:lang w:val="en-US"/>
        </w:rPr>
        <w:t xml:space="preserve"> SD, </w:t>
      </w:r>
      <w:proofErr w:type="spellStart"/>
      <w:r>
        <w:rPr>
          <w:rFonts w:ascii="Cambria" w:hAnsi="Cambria"/>
          <w:lang w:val="en-US"/>
        </w:rPr>
        <w:t>Gohh</w:t>
      </w:r>
      <w:proofErr w:type="spellEnd"/>
      <w:r>
        <w:rPr>
          <w:rFonts w:ascii="Cambria" w:hAnsi="Cambria"/>
          <w:lang w:val="en-US"/>
        </w:rPr>
        <w:t xml:space="preserve"> RY, Christians U, </w:t>
      </w:r>
      <w:proofErr w:type="spellStart"/>
      <w:r>
        <w:rPr>
          <w:rFonts w:ascii="Cambria" w:hAnsi="Cambria"/>
          <w:lang w:val="en-US"/>
        </w:rPr>
        <w:t>Akhlaghi</w:t>
      </w:r>
      <w:proofErr w:type="spellEnd"/>
      <w:r>
        <w:rPr>
          <w:rFonts w:ascii="Cambria" w:hAnsi="Cambria"/>
          <w:lang w:val="en-US"/>
        </w:rPr>
        <w:t xml:space="preserve"> F. Multidrug resistance-associated protein 2 (MRP2/ABCC2) haplotypes significantly affect the pharmacokinetics of tacrolimus in kidney transplant recipients. </w:t>
      </w:r>
      <w:proofErr w:type="spellStart"/>
      <w:r>
        <w:rPr>
          <w:rFonts w:ascii="Cambria" w:hAnsi="Cambria"/>
          <w:lang w:val="en-US"/>
        </w:rPr>
        <w:t>Clin</w:t>
      </w:r>
      <w:proofErr w:type="spellEnd"/>
      <w:r>
        <w:rPr>
          <w:rFonts w:ascii="Cambria" w:hAnsi="Cambria"/>
          <w:lang w:val="en-US"/>
        </w:rPr>
        <w:t xml:space="preserve"> </w:t>
      </w:r>
      <w:proofErr w:type="spellStart"/>
      <w:r>
        <w:rPr>
          <w:rFonts w:ascii="Cambria" w:hAnsi="Cambria"/>
          <w:lang w:val="en-US"/>
        </w:rPr>
        <w:t>Pharmacokinet</w:t>
      </w:r>
      <w:proofErr w:type="spellEnd"/>
      <w:r>
        <w:rPr>
          <w:rFonts w:ascii="Cambria" w:hAnsi="Cambria"/>
          <w:lang w:val="en-US"/>
        </w:rPr>
        <w:t xml:space="preserve"> 2013; 52:751-762.</w:t>
      </w:r>
    </w:p>
    <w:p w14:paraId="6507CE9A" w14:textId="77777777" w:rsidR="0021202D" w:rsidRDefault="0021202D" w:rsidP="00E50E42">
      <w:pPr>
        <w:pStyle w:val="ListParagraph"/>
        <w:numPr>
          <w:ilvl w:val="0"/>
          <w:numId w:val="9"/>
        </w:numPr>
        <w:spacing w:after="0" w:line="360" w:lineRule="auto"/>
        <w:ind w:left="357" w:hanging="357"/>
        <w:rPr>
          <w:rFonts w:ascii="Cambria" w:hAnsi="Cambria"/>
          <w:lang w:val="en-US"/>
        </w:rPr>
      </w:pPr>
      <w:r w:rsidRPr="00E04ED7">
        <w:rPr>
          <w:rFonts w:ascii="Cambria" w:hAnsi="Cambria"/>
          <w:lang w:val="en-US"/>
        </w:rPr>
        <w:t xml:space="preserve">Božina N, </w:t>
      </w:r>
      <w:proofErr w:type="spellStart"/>
      <w:r w:rsidRPr="00E04ED7">
        <w:rPr>
          <w:rFonts w:ascii="Cambria" w:hAnsi="Cambria"/>
          <w:lang w:val="en-US"/>
        </w:rPr>
        <w:t>Lalić</w:t>
      </w:r>
      <w:proofErr w:type="spellEnd"/>
      <w:r w:rsidRPr="00E04ED7">
        <w:rPr>
          <w:rFonts w:ascii="Cambria" w:hAnsi="Cambria"/>
          <w:lang w:val="en-US"/>
        </w:rPr>
        <w:t xml:space="preserve"> Z, </w:t>
      </w:r>
      <w:proofErr w:type="spellStart"/>
      <w:r w:rsidRPr="00E04ED7">
        <w:rPr>
          <w:rFonts w:ascii="Cambria" w:hAnsi="Cambria"/>
          <w:lang w:val="en-US"/>
        </w:rPr>
        <w:t>Nađ</w:t>
      </w:r>
      <w:proofErr w:type="spellEnd"/>
      <w:r w:rsidRPr="00E04ED7">
        <w:rPr>
          <w:rFonts w:ascii="Cambria" w:hAnsi="Cambria"/>
          <w:lang w:val="en-US"/>
        </w:rPr>
        <w:t xml:space="preserve"> </w:t>
      </w:r>
      <w:proofErr w:type="spellStart"/>
      <w:r w:rsidRPr="00E04ED7">
        <w:rPr>
          <w:rFonts w:ascii="Cambria" w:hAnsi="Cambria"/>
          <w:lang w:val="en-US"/>
        </w:rPr>
        <w:t>Škegro</w:t>
      </w:r>
      <w:proofErr w:type="spellEnd"/>
      <w:r w:rsidRPr="00E04ED7">
        <w:rPr>
          <w:rFonts w:ascii="Cambria" w:hAnsi="Cambria"/>
          <w:lang w:val="en-US"/>
        </w:rPr>
        <w:t xml:space="preserve"> S, Borić-Bilušić A, Božina T, </w:t>
      </w:r>
      <w:proofErr w:type="spellStart"/>
      <w:r w:rsidRPr="00E04ED7">
        <w:rPr>
          <w:rFonts w:ascii="Cambria" w:hAnsi="Cambria"/>
          <w:lang w:val="en-US"/>
        </w:rPr>
        <w:t>Kaštelan</w:t>
      </w:r>
      <w:proofErr w:type="spellEnd"/>
      <w:r w:rsidRPr="00E04ED7">
        <w:rPr>
          <w:rFonts w:ascii="Cambria" w:hAnsi="Cambria"/>
          <w:lang w:val="en-US"/>
        </w:rPr>
        <w:t xml:space="preserve"> Ž, Trkulja V. Steady-state pharmacokinetics of mycophenolic acid in renal transplant patients: exploratory analysis of the effects of cyclosporine, recipients’ and donors’ ABCC2 gene variants and their interactions. </w:t>
      </w:r>
      <w:proofErr w:type="spellStart"/>
      <w:r w:rsidRPr="00E04ED7">
        <w:rPr>
          <w:rFonts w:ascii="Cambria" w:hAnsi="Cambria"/>
          <w:lang w:val="en-US"/>
        </w:rPr>
        <w:t>Eur</w:t>
      </w:r>
      <w:proofErr w:type="spellEnd"/>
      <w:r w:rsidRPr="00E04ED7">
        <w:rPr>
          <w:rFonts w:ascii="Cambria" w:hAnsi="Cambria"/>
          <w:lang w:val="en-US"/>
        </w:rPr>
        <w:t xml:space="preserve"> J </w:t>
      </w:r>
      <w:proofErr w:type="spellStart"/>
      <w:r w:rsidRPr="00E04ED7">
        <w:rPr>
          <w:rFonts w:ascii="Cambria" w:hAnsi="Cambria"/>
          <w:lang w:val="en-US"/>
        </w:rPr>
        <w:t>Clin</w:t>
      </w:r>
      <w:proofErr w:type="spellEnd"/>
      <w:r w:rsidRPr="00E04ED7">
        <w:rPr>
          <w:rFonts w:ascii="Cambria" w:hAnsi="Cambria"/>
          <w:lang w:val="en-US"/>
        </w:rPr>
        <w:t xml:space="preserve"> </w:t>
      </w:r>
      <w:proofErr w:type="spellStart"/>
      <w:r w:rsidRPr="00E04ED7">
        <w:rPr>
          <w:rFonts w:ascii="Cambria" w:hAnsi="Cambria"/>
          <w:lang w:val="en-US"/>
        </w:rPr>
        <w:t>Pharmacol</w:t>
      </w:r>
      <w:proofErr w:type="spellEnd"/>
      <w:r w:rsidRPr="00E04ED7">
        <w:rPr>
          <w:rFonts w:ascii="Cambria" w:hAnsi="Cambria"/>
          <w:lang w:val="en-US"/>
        </w:rPr>
        <w:t xml:space="preserve"> 2017; 73:1129-1140.</w:t>
      </w:r>
    </w:p>
    <w:p w14:paraId="346350FD" w14:textId="77777777" w:rsidR="0021202D" w:rsidRPr="000939FE" w:rsidRDefault="0021202D" w:rsidP="00E50E42">
      <w:pPr>
        <w:pStyle w:val="ListParagraph"/>
        <w:numPr>
          <w:ilvl w:val="0"/>
          <w:numId w:val="9"/>
        </w:numPr>
        <w:spacing w:after="0" w:line="360" w:lineRule="auto"/>
        <w:ind w:left="357" w:hanging="357"/>
        <w:rPr>
          <w:rFonts w:ascii="Cambria" w:hAnsi="Cambria"/>
          <w:lang w:val="en-US"/>
        </w:rPr>
      </w:pPr>
      <w:r w:rsidRPr="000939FE">
        <w:rPr>
          <w:rFonts w:ascii="Cambria" w:hAnsi="Cambria"/>
          <w:lang w:val="en-US"/>
        </w:rPr>
        <w:t xml:space="preserve">Hu DG, </w:t>
      </w:r>
      <w:proofErr w:type="spellStart"/>
      <w:r w:rsidRPr="000939FE">
        <w:rPr>
          <w:rFonts w:ascii="Cambria" w:hAnsi="Cambria"/>
          <w:lang w:val="en-US"/>
        </w:rPr>
        <w:t>Meech</w:t>
      </w:r>
      <w:proofErr w:type="spellEnd"/>
      <w:r w:rsidRPr="000939FE">
        <w:rPr>
          <w:rFonts w:ascii="Cambria" w:hAnsi="Cambria"/>
          <w:lang w:val="en-US"/>
        </w:rPr>
        <w:t xml:space="preserve"> R, Lu L, McKinnon RA, Mackenzie PI. Polymorphisms and haplotypes of the UDP-glucuronosyltransferase 2B7 gene promoter. Drug </w:t>
      </w:r>
      <w:proofErr w:type="spellStart"/>
      <w:r w:rsidRPr="000939FE">
        <w:rPr>
          <w:rFonts w:ascii="Cambria" w:hAnsi="Cambria"/>
          <w:lang w:val="en-US"/>
        </w:rPr>
        <w:t>Metab</w:t>
      </w:r>
      <w:proofErr w:type="spellEnd"/>
      <w:r w:rsidRPr="000939FE">
        <w:rPr>
          <w:rFonts w:ascii="Cambria" w:hAnsi="Cambria"/>
          <w:lang w:val="en-US"/>
        </w:rPr>
        <w:t xml:space="preserve"> </w:t>
      </w:r>
      <w:proofErr w:type="spellStart"/>
      <w:r w:rsidRPr="000939FE">
        <w:rPr>
          <w:rFonts w:ascii="Cambria" w:hAnsi="Cambria"/>
          <w:lang w:val="en-US"/>
        </w:rPr>
        <w:t>Dispos</w:t>
      </w:r>
      <w:proofErr w:type="spellEnd"/>
      <w:r w:rsidRPr="000939FE">
        <w:rPr>
          <w:rFonts w:ascii="Cambria" w:hAnsi="Cambria"/>
          <w:lang w:val="en-US"/>
        </w:rPr>
        <w:t xml:space="preserve"> 2014; 42:854-862.</w:t>
      </w:r>
    </w:p>
    <w:p w14:paraId="54B6087D" w14:textId="795D0E8A" w:rsidR="006D6B5D" w:rsidRDefault="00292C03" w:rsidP="00E50E42">
      <w:pPr>
        <w:pStyle w:val="ListParagraph"/>
        <w:numPr>
          <w:ilvl w:val="0"/>
          <w:numId w:val="9"/>
        </w:numPr>
        <w:spacing w:after="0" w:line="360" w:lineRule="auto"/>
        <w:ind w:left="357" w:hanging="357"/>
        <w:rPr>
          <w:rFonts w:ascii="Cambria" w:hAnsi="Cambria"/>
          <w:lang w:val="en-US"/>
        </w:rPr>
      </w:pPr>
      <w:proofErr w:type="spellStart"/>
      <w:r>
        <w:rPr>
          <w:rFonts w:ascii="Cambria" w:hAnsi="Cambria"/>
          <w:lang w:val="en-US"/>
        </w:rPr>
        <w:lastRenderedPageBreak/>
        <w:t>Strassburg</w:t>
      </w:r>
      <w:proofErr w:type="spellEnd"/>
      <w:r>
        <w:rPr>
          <w:rFonts w:ascii="Cambria" w:hAnsi="Cambria"/>
          <w:lang w:val="en-US"/>
        </w:rPr>
        <w:t xml:space="preserve"> CP, Barut A, </w:t>
      </w:r>
      <w:proofErr w:type="spellStart"/>
      <w:r>
        <w:rPr>
          <w:rFonts w:ascii="Cambria" w:hAnsi="Cambria"/>
          <w:lang w:val="en-US"/>
        </w:rPr>
        <w:t>Obermayer</w:t>
      </w:r>
      <w:proofErr w:type="spellEnd"/>
      <w:r>
        <w:rPr>
          <w:rFonts w:ascii="Cambria" w:hAnsi="Cambria"/>
          <w:lang w:val="en-US"/>
        </w:rPr>
        <w:t xml:space="preserve">-Straub P, Li Q, Nguyen N, Tukey RH, </w:t>
      </w:r>
      <w:proofErr w:type="spellStart"/>
      <w:r>
        <w:rPr>
          <w:rFonts w:ascii="Cambria" w:hAnsi="Cambria"/>
          <w:lang w:val="en-US"/>
        </w:rPr>
        <w:t>Manns</w:t>
      </w:r>
      <w:proofErr w:type="spellEnd"/>
      <w:r>
        <w:rPr>
          <w:rFonts w:ascii="Cambria" w:hAnsi="Cambria"/>
          <w:lang w:val="en-US"/>
        </w:rPr>
        <w:t xml:space="preserve"> MP. Identification of cyclosporine A and tacrolimus </w:t>
      </w:r>
      <w:proofErr w:type="spellStart"/>
      <w:r>
        <w:rPr>
          <w:rFonts w:ascii="Cambria" w:hAnsi="Cambria"/>
          <w:lang w:val="en-US"/>
        </w:rPr>
        <w:t>glucuronidation</w:t>
      </w:r>
      <w:proofErr w:type="spellEnd"/>
      <w:r>
        <w:rPr>
          <w:rFonts w:ascii="Cambria" w:hAnsi="Cambria"/>
          <w:lang w:val="en-US"/>
        </w:rPr>
        <w:t xml:space="preserve"> in human liver and the gastrointestinal tract by differently expressed UDP-glucuronosyltransferase: UGT2B7. J </w:t>
      </w:r>
      <w:proofErr w:type="spellStart"/>
      <w:r>
        <w:rPr>
          <w:rFonts w:ascii="Cambria" w:hAnsi="Cambria"/>
          <w:lang w:val="en-US"/>
        </w:rPr>
        <w:t>Hepatol</w:t>
      </w:r>
      <w:proofErr w:type="spellEnd"/>
      <w:r>
        <w:rPr>
          <w:rFonts w:ascii="Cambria" w:hAnsi="Cambria"/>
          <w:lang w:val="en-US"/>
        </w:rPr>
        <w:t xml:space="preserve"> 2001; 34: 865-872.</w:t>
      </w:r>
    </w:p>
    <w:p w14:paraId="2F78B266" w14:textId="7CF3E524" w:rsidR="006D6B5D" w:rsidRDefault="008561F5" w:rsidP="00E50E42">
      <w:pPr>
        <w:pStyle w:val="BodyText"/>
        <w:numPr>
          <w:ilvl w:val="0"/>
          <w:numId w:val="9"/>
        </w:numPr>
        <w:spacing w:before="0" w:after="0" w:line="360" w:lineRule="auto"/>
        <w:ind w:left="357" w:hanging="357"/>
        <w:jc w:val="left"/>
        <w:rPr>
          <w:rFonts w:ascii="Cambria" w:hAnsi="Cambria"/>
          <w:color w:val="000000" w:themeColor="text1"/>
        </w:rPr>
      </w:pPr>
      <w:r>
        <w:rPr>
          <w:rFonts w:ascii="Cambria" w:hAnsi="Cambria"/>
          <w:color w:val="000000" w:themeColor="text1"/>
        </w:rPr>
        <w:t xml:space="preserve">Tron C, </w:t>
      </w:r>
      <w:proofErr w:type="spellStart"/>
      <w:r>
        <w:rPr>
          <w:rFonts w:ascii="Cambria" w:hAnsi="Cambria"/>
          <w:color w:val="000000" w:themeColor="text1"/>
        </w:rPr>
        <w:t>Memaitre</w:t>
      </w:r>
      <w:proofErr w:type="spellEnd"/>
      <w:r>
        <w:rPr>
          <w:rFonts w:ascii="Cambria" w:hAnsi="Cambria"/>
          <w:color w:val="000000" w:themeColor="text1"/>
        </w:rPr>
        <w:t xml:space="preserve"> F, </w:t>
      </w:r>
      <w:proofErr w:type="spellStart"/>
      <w:r>
        <w:rPr>
          <w:rFonts w:ascii="Cambria" w:hAnsi="Cambria"/>
          <w:color w:val="000000" w:themeColor="text1"/>
        </w:rPr>
        <w:t>Cerstuyft</w:t>
      </w:r>
      <w:proofErr w:type="spellEnd"/>
      <w:r>
        <w:rPr>
          <w:rFonts w:ascii="Cambria" w:hAnsi="Cambria"/>
          <w:color w:val="000000" w:themeColor="text1"/>
        </w:rPr>
        <w:t xml:space="preserve"> C, </w:t>
      </w:r>
      <w:proofErr w:type="spellStart"/>
      <w:r>
        <w:rPr>
          <w:rFonts w:ascii="Cambria" w:hAnsi="Cambria"/>
          <w:color w:val="000000" w:themeColor="text1"/>
        </w:rPr>
        <w:t>Petitcollin</w:t>
      </w:r>
      <w:proofErr w:type="spellEnd"/>
      <w:r>
        <w:rPr>
          <w:rFonts w:ascii="Cambria" w:hAnsi="Cambria"/>
          <w:color w:val="000000" w:themeColor="text1"/>
        </w:rPr>
        <w:t xml:space="preserve"> A, </w:t>
      </w:r>
      <w:proofErr w:type="spellStart"/>
      <w:r>
        <w:rPr>
          <w:rFonts w:ascii="Cambria" w:hAnsi="Cambria"/>
          <w:color w:val="000000" w:themeColor="text1"/>
        </w:rPr>
        <w:t>Verdier</w:t>
      </w:r>
      <w:proofErr w:type="spellEnd"/>
      <w:r>
        <w:rPr>
          <w:rFonts w:ascii="Cambria" w:hAnsi="Cambria"/>
          <w:color w:val="000000" w:themeColor="text1"/>
        </w:rPr>
        <w:t xml:space="preserve"> MC, </w:t>
      </w:r>
      <w:proofErr w:type="spellStart"/>
      <w:r>
        <w:rPr>
          <w:rFonts w:ascii="Cambria" w:hAnsi="Cambria"/>
          <w:color w:val="000000" w:themeColor="text1"/>
        </w:rPr>
        <w:t>Bellissant</w:t>
      </w:r>
      <w:proofErr w:type="spellEnd"/>
      <w:r>
        <w:rPr>
          <w:rFonts w:ascii="Cambria" w:hAnsi="Cambria"/>
          <w:color w:val="000000" w:themeColor="text1"/>
        </w:rPr>
        <w:t xml:space="preserve"> E. </w:t>
      </w:r>
      <w:proofErr w:type="spellStart"/>
      <w:r>
        <w:rPr>
          <w:rFonts w:ascii="Cambria" w:hAnsi="Cambria"/>
          <w:color w:val="000000" w:themeColor="text1"/>
        </w:rPr>
        <w:t>Pharmacogenetics</w:t>
      </w:r>
      <w:proofErr w:type="spellEnd"/>
      <w:r>
        <w:rPr>
          <w:rFonts w:ascii="Cambria" w:hAnsi="Cambria"/>
          <w:color w:val="000000" w:themeColor="text1"/>
        </w:rPr>
        <w:t xml:space="preserve"> of membrane transporters of tacrolimus in solid organ transplantation. </w:t>
      </w:r>
      <w:proofErr w:type="spellStart"/>
      <w:r>
        <w:rPr>
          <w:rFonts w:ascii="Cambria" w:hAnsi="Cambria"/>
          <w:color w:val="000000" w:themeColor="text1"/>
        </w:rPr>
        <w:t>Clin</w:t>
      </w:r>
      <w:proofErr w:type="spellEnd"/>
      <w:r>
        <w:rPr>
          <w:rFonts w:ascii="Cambria" w:hAnsi="Cambria"/>
          <w:color w:val="000000" w:themeColor="text1"/>
        </w:rPr>
        <w:t xml:space="preserve"> </w:t>
      </w:r>
      <w:proofErr w:type="spellStart"/>
      <w:r>
        <w:rPr>
          <w:rFonts w:ascii="Cambria" w:hAnsi="Cambria"/>
          <w:color w:val="000000" w:themeColor="text1"/>
        </w:rPr>
        <w:t>Pharmacokinet</w:t>
      </w:r>
      <w:proofErr w:type="spellEnd"/>
      <w:r>
        <w:rPr>
          <w:rFonts w:ascii="Cambria" w:hAnsi="Cambria"/>
          <w:color w:val="000000" w:themeColor="text1"/>
        </w:rPr>
        <w:t xml:space="preserve"> 2019; 58:593-613.</w:t>
      </w:r>
    </w:p>
    <w:p w14:paraId="33AA93E2" w14:textId="6BB4F21E" w:rsidR="00500981" w:rsidRPr="00113427" w:rsidRDefault="00500981" w:rsidP="00E50E42">
      <w:pPr>
        <w:pStyle w:val="BodyText"/>
        <w:numPr>
          <w:ilvl w:val="0"/>
          <w:numId w:val="9"/>
        </w:numPr>
        <w:spacing w:before="0" w:after="0" w:line="360" w:lineRule="auto"/>
        <w:ind w:left="357" w:hanging="357"/>
        <w:jc w:val="left"/>
        <w:rPr>
          <w:rFonts w:ascii="Cambria" w:hAnsi="Cambria"/>
          <w:color w:val="000000" w:themeColor="text1"/>
        </w:rPr>
      </w:pPr>
      <w:proofErr w:type="spellStart"/>
      <w:r>
        <w:rPr>
          <w:rFonts w:ascii="Cambria" w:hAnsi="Cambria"/>
          <w:color w:val="000000" w:themeColor="text1"/>
        </w:rPr>
        <w:t>Tett</w:t>
      </w:r>
      <w:proofErr w:type="spellEnd"/>
      <w:r>
        <w:rPr>
          <w:rFonts w:ascii="Cambria" w:hAnsi="Cambria"/>
          <w:color w:val="000000" w:themeColor="text1"/>
        </w:rPr>
        <w:t xml:space="preserve"> SE, Saint-</w:t>
      </w:r>
      <w:proofErr w:type="spellStart"/>
      <w:r>
        <w:rPr>
          <w:rFonts w:ascii="Cambria" w:hAnsi="Cambria"/>
          <w:color w:val="000000" w:themeColor="text1"/>
        </w:rPr>
        <w:t>Marcoux</w:t>
      </w:r>
      <w:proofErr w:type="spellEnd"/>
      <w:r>
        <w:rPr>
          <w:rFonts w:ascii="Cambria" w:hAnsi="Cambria"/>
          <w:color w:val="000000" w:themeColor="text1"/>
        </w:rPr>
        <w:t xml:space="preserve"> F, </w:t>
      </w:r>
      <w:proofErr w:type="spellStart"/>
      <w:r>
        <w:rPr>
          <w:rFonts w:ascii="Cambria" w:hAnsi="Cambria"/>
          <w:color w:val="000000" w:themeColor="text1"/>
        </w:rPr>
        <w:t>Staatz</w:t>
      </w:r>
      <w:proofErr w:type="spellEnd"/>
      <w:r>
        <w:rPr>
          <w:rFonts w:ascii="Cambria" w:hAnsi="Cambria"/>
          <w:color w:val="000000" w:themeColor="text1"/>
        </w:rPr>
        <w:t xml:space="preserve"> CE, Brunet M, </w:t>
      </w:r>
      <w:proofErr w:type="spellStart"/>
      <w:r>
        <w:rPr>
          <w:rFonts w:ascii="Cambria" w:hAnsi="Cambria"/>
          <w:color w:val="000000" w:themeColor="text1"/>
        </w:rPr>
        <w:t>Vinks</w:t>
      </w:r>
      <w:proofErr w:type="spellEnd"/>
      <w:r>
        <w:rPr>
          <w:rFonts w:ascii="Cambria" w:hAnsi="Cambria"/>
          <w:color w:val="000000" w:themeColor="text1"/>
        </w:rPr>
        <w:t xml:space="preserve"> AA, Miura M et al. </w:t>
      </w:r>
      <w:proofErr w:type="spellStart"/>
      <w:r>
        <w:rPr>
          <w:rFonts w:ascii="Cambria" w:hAnsi="Cambria"/>
          <w:color w:val="000000" w:themeColor="text1"/>
        </w:rPr>
        <w:t>Mycophenolate</w:t>
      </w:r>
      <w:proofErr w:type="spellEnd"/>
      <w:r>
        <w:rPr>
          <w:rFonts w:ascii="Cambria" w:hAnsi="Cambria"/>
          <w:color w:val="000000" w:themeColor="text1"/>
        </w:rPr>
        <w:t>, clinical pharmacokinetics, formulations and methods for assessing exposure. Transplant Rev 2011; 25:47-57.</w:t>
      </w:r>
    </w:p>
    <w:p w14:paraId="0C163326" w14:textId="541678C3" w:rsidR="00C9490A" w:rsidRPr="00D674C0" w:rsidRDefault="00C9490A" w:rsidP="00D674C0">
      <w:pPr>
        <w:pStyle w:val="BodyText"/>
        <w:spacing w:before="0" w:after="0" w:line="360" w:lineRule="auto"/>
        <w:jc w:val="left"/>
        <w:rPr>
          <w:rFonts w:ascii="Cambria" w:hAnsi="Cambria"/>
          <w:color w:val="000000" w:themeColor="text1"/>
        </w:rPr>
      </w:pPr>
    </w:p>
    <w:p w14:paraId="7D23ADBF" w14:textId="31AF1A86" w:rsidR="00C9490A" w:rsidRDefault="00C9490A" w:rsidP="009B5C2C">
      <w:pPr>
        <w:pStyle w:val="BodyText"/>
        <w:spacing w:before="0" w:after="0" w:line="360" w:lineRule="auto"/>
        <w:jc w:val="left"/>
        <w:rPr>
          <w:rFonts w:ascii="Cambria" w:hAnsi="Cambria"/>
          <w:color w:val="000000" w:themeColor="text1"/>
        </w:rPr>
      </w:pPr>
    </w:p>
    <w:p w14:paraId="373785E4" w14:textId="4A3FEEFC" w:rsidR="00E50E42" w:rsidRPr="00D674C0" w:rsidRDefault="00E50E42" w:rsidP="00E50E42">
      <w:pPr>
        <w:pStyle w:val="BodyText"/>
        <w:spacing w:before="0" w:after="240" w:line="360" w:lineRule="auto"/>
        <w:jc w:val="left"/>
        <w:rPr>
          <w:rFonts w:ascii="Cambria" w:hAnsi="Cambria"/>
          <w:b/>
          <w:color w:val="000000" w:themeColor="text1"/>
          <w:sz w:val="24"/>
          <w:szCs w:val="24"/>
        </w:rPr>
      </w:pPr>
      <w:r w:rsidRPr="00D674C0">
        <w:rPr>
          <w:rFonts w:ascii="Cambria" w:hAnsi="Cambria"/>
          <w:b/>
          <w:color w:val="00B0F0"/>
          <w:sz w:val="24"/>
          <w:szCs w:val="24"/>
        </w:rPr>
        <w:t xml:space="preserve">Supplemental Methods </w:t>
      </w:r>
      <w:r>
        <w:rPr>
          <w:rFonts w:ascii="Cambria" w:hAnsi="Cambria"/>
          <w:b/>
          <w:color w:val="00B0F0"/>
          <w:sz w:val="24"/>
          <w:szCs w:val="24"/>
        </w:rPr>
        <w:t>B</w:t>
      </w:r>
      <w:r w:rsidRPr="00D674C0">
        <w:rPr>
          <w:rFonts w:ascii="Cambria" w:hAnsi="Cambria"/>
          <w:b/>
          <w:color w:val="00B0F0"/>
          <w:sz w:val="24"/>
          <w:szCs w:val="24"/>
        </w:rPr>
        <w:t xml:space="preserve"> </w:t>
      </w:r>
      <w:r w:rsidRPr="00D674C0">
        <w:rPr>
          <w:rFonts w:ascii="Cambria" w:hAnsi="Cambria"/>
          <w:b/>
          <w:color w:val="000000" w:themeColor="text1"/>
          <w:sz w:val="24"/>
          <w:szCs w:val="24"/>
        </w:rPr>
        <w:t xml:space="preserve">– </w:t>
      </w:r>
      <w:r>
        <w:rPr>
          <w:rFonts w:ascii="Cambria" w:hAnsi="Cambria"/>
          <w:b/>
          <w:color w:val="000000" w:themeColor="text1"/>
          <w:sz w:val="24"/>
          <w:szCs w:val="24"/>
        </w:rPr>
        <w:t>Matching</w:t>
      </w:r>
    </w:p>
    <w:p w14:paraId="529F5393" w14:textId="57E16693" w:rsidR="00DE3EF0" w:rsidRDefault="00DE3EF0" w:rsidP="00DE3EF0">
      <w:pPr>
        <w:pStyle w:val="BodyText"/>
        <w:spacing w:before="0" w:after="0" w:line="360" w:lineRule="auto"/>
        <w:jc w:val="left"/>
        <w:rPr>
          <w:rFonts w:ascii="Cambria" w:hAnsi="Cambria"/>
          <w:color w:val="000000" w:themeColor="text1"/>
        </w:rPr>
      </w:pPr>
      <w:r>
        <w:rPr>
          <w:rFonts w:ascii="Cambria" w:hAnsi="Cambria"/>
          <w:color w:val="000000" w:themeColor="text1"/>
        </w:rPr>
        <w:t xml:space="preserve">In respect to </w:t>
      </w:r>
      <w:r w:rsidR="00DC5D07">
        <w:rPr>
          <w:rFonts w:ascii="Cambria" w:hAnsi="Cambria"/>
          <w:color w:val="000000" w:themeColor="text1"/>
        </w:rPr>
        <w:t>variables</w:t>
      </w:r>
      <w:r>
        <w:rPr>
          <w:rFonts w:ascii="Cambria" w:hAnsi="Cambria"/>
          <w:color w:val="000000" w:themeColor="text1"/>
        </w:rPr>
        <w:t xml:space="preserve"> that needed to be controlled for (</w:t>
      </w:r>
      <w:r w:rsidR="00DC5D07">
        <w:rPr>
          <w:rFonts w:ascii="Cambria" w:hAnsi="Cambria"/>
          <w:color w:val="000000" w:themeColor="text1"/>
        </w:rPr>
        <w:t>in addition to</w:t>
      </w:r>
      <w:r>
        <w:rPr>
          <w:rFonts w:ascii="Cambria" w:hAnsi="Cambria"/>
          <w:color w:val="000000" w:themeColor="text1"/>
        </w:rPr>
        <w:t xml:space="preserve"> inclusion-exclusion criteria), the present setting was extremely complex. For example, based on categorical covariates depicted in Figure </w:t>
      </w:r>
      <w:r w:rsidR="00DC5D07">
        <w:rPr>
          <w:rFonts w:ascii="Cambria" w:hAnsi="Cambria"/>
          <w:color w:val="000000" w:themeColor="text1"/>
        </w:rPr>
        <w:t xml:space="preserve">S1, </w:t>
      </w:r>
      <w:r>
        <w:rPr>
          <w:rFonts w:ascii="Cambria" w:hAnsi="Cambria"/>
          <w:color w:val="000000" w:themeColor="text1"/>
        </w:rPr>
        <w:t xml:space="preserve">768 strata of variable combinations </w:t>
      </w:r>
      <w:proofErr w:type="gramStart"/>
      <w:r>
        <w:rPr>
          <w:rFonts w:ascii="Cambria" w:hAnsi="Cambria"/>
          <w:color w:val="000000" w:themeColor="text1"/>
        </w:rPr>
        <w:t>could be formed</w:t>
      </w:r>
      <w:proofErr w:type="gramEnd"/>
      <w:r>
        <w:rPr>
          <w:rFonts w:ascii="Cambria" w:hAnsi="Cambria"/>
          <w:color w:val="000000" w:themeColor="text1"/>
        </w:rPr>
        <w:t xml:space="preserve">. </w:t>
      </w:r>
      <w:r w:rsidRPr="00DE3EF0">
        <w:rPr>
          <w:rFonts w:ascii="Cambria" w:hAnsi="Cambria"/>
          <w:color w:val="000000" w:themeColor="text1"/>
        </w:rPr>
        <w:t xml:space="preserve">We used exact matching combined with optimal full matching based on </w:t>
      </w:r>
      <w:proofErr w:type="spellStart"/>
      <w:r w:rsidRPr="00DE3EF0">
        <w:rPr>
          <w:rFonts w:ascii="Cambria" w:hAnsi="Cambria"/>
          <w:color w:val="000000" w:themeColor="text1"/>
        </w:rPr>
        <w:t>Mahalanobis</w:t>
      </w:r>
      <w:proofErr w:type="spellEnd"/>
      <w:r w:rsidRPr="00DE3EF0">
        <w:rPr>
          <w:rFonts w:ascii="Cambria" w:hAnsi="Cambria"/>
          <w:color w:val="000000" w:themeColor="text1"/>
        </w:rPr>
        <w:t xml:space="preserve"> distance with age</w:t>
      </w:r>
      <w:r>
        <w:rPr>
          <w:rFonts w:ascii="Cambria" w:hAnsi="Cambria"/>
          <w:color w:val="000000" w:themeColor="text1"/>
        </w:rPr>
        <w:t xml:space="preserve">, BMI, </w:t>
      </w:r>
      <w:proofErr w:type="spellStart"/>
      <w:proofErr w:type="gramStart"/>
      <w:r>
        <w:rPr>
          <w:rFonts w:ascii="Cambria" w:hAnsi="Cambria"/>
          <w:color w:val="000000" w:themeColor="text1"/>
        </w:rPr>
        <w:t>eCrCl</w:t>
      </w:r>
      <w:proofErr w:type="spellEnd"/>
      <w:proofErr w:type="gramEnd"/>
      <w:r>
        <w:rPr>
          <w:rFonts w:ascii="Cambria" w:hAnsi="Cambria"/>
          <w:color w:val="000000" w:themeColor="text1"/>
        </w:rPr>
        <w:t xml:space="preserve"> and CNI concentrations as (further)</w:t>
      </w:r>
      <w:r w:rsidRPr="00DE3EF0">
        <w:rPr>
          <w:rFonts w:ascii="Cambria" w:hAnsi="Cambria"/>
          <w:color w:val="000000" w:themeColor="text1"/>
        </w:rPr>
        <w:t xml:space="preserve"> continuous matching variables. Exact matching achieves balance that corresponds to a fully blocked randomization. Optimal full matching also allows one-to-many matching, and when </w:t>
      </w:r>
      <w:proofErr w:type="spellStart"/>
      <w:r w:rsidRPr="00DE3EF0">
        <w:rPr>
          <w:rFonts w:ascii="Cambria" w:hAnsi="Cambria"/>
          <w:color w:val="000000" w:themeColor="text1"/>
        </w:rPr>
        <w:t>Mahalanobis</w:t>
      </w:r>
      <w:proofErr w:type="spellEnd"/>
      <w:r w:rsidRPr="00DE3EF0">
        <w:rPr>
          <w:rFonts w:ascii="Cambria" w:hAnsi="Cambria"/>
          <w:color w:val="000000" w:themeColor="text1"/>
        </w:rPr>
        <w:t xml:space="preserve"> is a distance measure, it approximates fully blocked randomization. The process first completes exact matching on specified covariates (forms subclasses of “treated” and “controls” exactly matched on a set of covariates) and then uses </w:t>
      </w:r>
      <w:proofErr w:type="spellStart"/>
      <w:r w:rsidRPr="00DE3EF0">
        <w:rPr>
          <w:rFonts w:ascii="Cambria" w:hAnsi="Cambria"/>
          <w:color w:val="000000" w:themeColor="text1"/>
        </w:rPr>
        <w:t>Mahalanobis</w:t>
      </w:r>
      <w:proofErr w:type="spellEnd"/>
      <w:r w:rsidRPr="00DE3EF0">
        <w:rPr>
          <w:rFonts w:ascii="Cambria" w:hAnsi="Cambria"/>
          <w:color w:val="000000" w:themeColor="text1"/>
        </w:rPr>
        <w:t xml:space="preserve"> distance</w:t>
      </w:r>
      <w:r>
        <w:rPr>
          <w:rFonts w:ascii="Cambria" w:hAnsi="Cambria"/>
          <w:color w:val="000000" w:themeColor="text1"/>
        </w:rPr>
        <w:t xml:space="preserve"> (calculated using the entire data set)</w:t>
      </w:r>
      <w:r w:rsidRPr="00DE3EF0">
        <w:rPr>
          <w:rFonts w:ascii="Cambria" w:hAnsi="Cambria"/>
          <w:color w:val="000000" w:themeColor="text1"/>
        </w:rPr>
        <w:t xml:space="preserve"> to further minimize within-subclass distances regarding covariates not include</w:t>
      </w:r>
      <w:r w:rsidR="00DC5D07">
        <w:rPr>
          <w:rFonts w:ascii="Cambria" w:hAnsi="Cambria"/>
          <w:color w:val="000000" w:themeColor="text1"/>
        </w:rPr>
        <w:t>d in exact matching [1-3]</w:t>
      </w:r>
      <w:r w:rsidRPr="00DE3EF0">
        <w:rPr>
          <w:rFonts w:ascii="Cambria" w:hAnsi="Cambria"/>
          <w:color w:val="000000" w:themeColor="text1"/>
        </w:rPr>
        <w:t xml:space="preserve">. </w:t>
      </w:r>
      <w:r w:rsidR="00DC5D07">
        <w:rPr>
          <w:rFonts w:ascii="Cambria" w:hAnsi="Cambria"/>
          <w:color w:val="000000" w:themeColor="text1"/>
        </w:rPr>
        <w:t>Choice of (categorical) covariates for exact matching was guided by the intention to retain as many as possible “treated” subjects, but also on their practical importan</w:t>
      </w:r>
      <w:r w:rsidR="00423FF2">
        <w:rPr>
          <w:rFonts w:ascii="Cambria" w:hAnsi="Cambria"/>
          <w:color w:val="000000" w:themeColor="text1"/>
        </w:rPr>
        <w:t>ce</w:t>
      </w:r>
      <w:r w:rsidR="00DC5D07">
        <w:rPr>
          <w:rFonts w:ascii="Cambria" w:hAnsi="Cambria"/>
          <w:color w:val="000000" w:themeColor="text1"/>
        </w:rPr>
        <w:t>: hence, exact matching was in respect to the type of CNI (</w:t>
      </w:r>
      <w:proofErr w:type="spellStart"/>
      <w:r w:rsidR="00DC5D07">
        <w:rPr>
          <w:rFonts w:ascii="Cambria" w:hAnsi="Cambria"/>
          <w:color w:val="000000" w:themeColor="text1"/>
        </w:rPr>
        <w:t>CsA</w:t>
      </w:r>
      <w:proofErr w:type="spellEnd"/>
      <w:r w:rsidR="00DC5D07">
        <w:rPr>
          <w:rFonts w:ascii="Cambria" w:hAnsi="Cambria"/>
          <w:color w:val="000000" w:themeColor="text1"/>
        </w:rPr>
        <w:t xml:space="preserve"> or tacrolimus), </w:t>
      </w:r>
      <w:proofErr w:type="gramStart"/>
      <w:r w:rsidR="00DC5D07" w:rsidRPr="002F6EEA">
        <w:rPr>
          <w:rFonts w:ascii="Cambria" w:hAnsi="Cambria"/>
          <w:i/>
          <w:color w:val="000000" w:themeColor="text1"/>
        </w:rPr>
        <w:t>UGT2B7</w:t>
      </w:r>
      <w:proofErr w:type="gramEnd"/>
      <w:r w:rsidR="00DC5D07">
        <w:rPr>
          <w:rFonts w:ascii="Cambria" w:hAnsi="Cambria"/>
          <w:color w:val="000000" w:themeColor="text1"/>
        </w:rPr>
        <w:t xml:space="preserve"> and </w:t>
      </w:r>
      <w:r w:rsidR="00DC5D07" w:rsidRPr="002F6EEA">
        <w:rPr>
          <w:rFonts w:ascii="Cambria" w:hAnsi="Cambria"/>
          <w:i/>
          <w:color w:val="000000" w:themeColor="text1"/>
        </w:rPr>
        <w:t>UGT1A9</w:t>
      </w:r>
      <w:r w:rsidR="00DC5D07">
        <w:rPr>
          <w:rFonts w:ascii="Cambria" w:hAnsi="Cambria"/>
          <w:color w:val="000000" w:themeColor="text1"/>
        </w:rPr>
        <w:t xml:space="preserve"> SNPs.</w:t>
      </w:r>
    </w:p>
    <w:p w14:paraId="1E47655C" w14:textId="2A10BDC1" w:rsidR="00DC5D07" w:rsidRDefault="00DC5D07" w:rsidP="00DE3EF0">
      <w:pPr>
        <w:pStyle w:val="BodyText"/>
        <w:spacing w:before="0" w:after="0" w:line="360" w:lineRule="auto"/>
        <w:jc w:val="left"/>
        <w:rPr>
          <w:rFonts w:ascii="Cambria" w:hAnsi="Cambria"/>
          <w:color w:val="000000" w:themeColor="text1"/>
        </w:rPr>
      </w:pPr>
    </w:p>
    <w:p w14:paraId="5F4C4F2E" w14:textId="466EAA62" w:rsidR="00DC5D07" w:rsidRPr="00A9796C" w:rsidRDefault="00A9796C" w:rsidP="00DE3EF0">
      <w:pPr>
        <w:pStyle w:val="BodyText"/>
        <w:spacing w:before="0" w:after="0" w:line="360" w:lineRule="auto"/>
        <w:jc w:val="left"/>
        <w:rPr>
          <w:rFonts w:ascii="Cambria" w:hAnsi="Cambria"/>
          <w:b/>
          <w:color w:val="000000" w:themeColor="text1"/>
        </w:rPr>
      </w:pPr>
      <w:r w:rsidRPr="00A9796C">
        <w:rPr>
          <w:rFonts w:ascii="Cambria" w:hAnsi="Cambria"/>
          <w:b/>
          <w:color w:val="000000" w:themeColor="text1"/>
        </w:rPr>
        <w:t>References</w:t>
      </w:r>
    </w:p>
    <w:p w14:paraId="1AC0B096" w14:textId="77777777" w:rsidR="008B4C67" w:rsidRPr="00D674C0" w:rsidRDefault="008B4C67" w:rsidP="00DC5D07">
      <w:pPr>
        <w:pStyle w:val="ListParagraph"/>
        <w:numPr>
          <w:ilvl w:val="0"/>
          <w:numId w:val="3"/>
        </w:numPr>
        <w:spacing w:after="0" w:line="360" w:lineRule="auto"/>
        <w:ind w:left="357" w:hanging="357"/>
        <w:rPr>
          <w:rFonts w:ascii="Cambria" w:hAnsi="Cambria"/>
          <w:lang w:val="en-US"/>
        </w:rPr>
      </w:pPr>
      <w:r w:rsidRPr="00D674C0">
        <w:rPr>
          <w:rFonts w:ascii="Cambria" w:hAnsi="Cambria"/>
          <w:lang w:val="en-US"/>
        </w:rPr>
        <w:t xml:space="preserve">Ho DE, Imai K, King G, Stuart EA. </w:t>
      </w:r>
      <w:proofErr w:type="spellStart"/>
      <w:r w:rsidRPr="00D674C0">
        <w:rPr>
          <w:rFonts w:ascii="Cambria" w:hAnsi="Cambria"/>
          <w:lang w:val="en-US"/>
        </w:rPr>
        <w:t>MatchIT</w:t>
      </w:r>
      <w:proofErr w:type="spellEnd"/>
      <w:r w:rsidRPr="00D674C0">
        <w:rPr>
          <w:rFonts w:ascii="Cambria" w:hAnsi="Cambria"/>
          <w:lang w:val="en-US"/>
        </w:rPr>
        <w:t xml:space="preserve">: </w:t>
      </w:r>
      <w:proofErr w:type="spellStart"/>
      <w:r w:rsidRPr="00D674C0">
        <w:rPr>
          <w:rFonts w:ascii="Cambria" w:hAnsi="Cambria"/>
          <w:lang w:val="en-US"/>
        </w:rPr>
        <w:t>nonparmetric</w:t>
      </w:r>
      <w:proofErr w:type="spellEnd"/>
      <w:r w:rsidRPr="00D674C0">
        <w:rPr>
          <w:rFonts w:ascii="Cambria" w:hAnsi="Cambria"/>
          <w:lang w:val="en-US"/>
        </w:rPr>
        <w:t xml:space="preserve"> preprocessing for parametric causal inference. J Stat Software 2011; 42:1-28. </w:t>
      </w:r>
      <w:hyperlink r:id="rId11" w:history="1">
        <w:r w:rsidRPr="00D674C0">
          <w:rPr>
            <w:rStyle w:val="Hyperlink"/>
            <w:rFonts w:ascii="Cambria" w:hAnsi="Cambria"/>
            <w:lang w:val="en-US"/>
          </w:rPr>
          <w:t>https://doi.org/10.18637/jss.v042.i08</w:t>
        </w:r>
      </w:hyperlink>
    </w:p>
    <w:p w14:paraId="293CDB7A" w14:textId="77777777" w:rsidR="008A2EB6" w:rsidRPr="00D674C0" w:rsidRDefault="008A2EB6" w:rsidP="00DC5D07">
      <w:pPr>
        <w:pStyle w:val="ListParagraph"/>
        <w:numPr>
          <w:ilvl w:val="0"/>
          <w:numId w:val="3"/>
        </w:numPr>
        <w:spacing w:after="0" w:line="360" w:lineRule="auto"/>
        <w:ind w:left="357" w:hanging="357"/>
        <w:rPr>
          <w:rFonts w:ascii="Cambria" w:hAnsi="Cambria"/>
          <w:lang w:val="en-US"/>
        </w:rPr>
      </w:pPr>
      <w:r w:rsidRPr="00D674C0">
        <w:rPr>
          <w:rFonts w:ascii="Cambria" w:hAnsi="Cambria"/>
          <w:lang w:val="en-US"/>
        </w:rPr>
        <w:t xml:space="preserve">Hansen BB, Olsen </w:t>
      </w:r>
      <w:proofErr w:type="spellStart"/>
      <w:r w:rsidRPr="00D674C0">
        <w:rPr>
          <w:rFonts w:ascii="Cambria" w:hAnsi="Cambria"/>
          <w:lang w:val="en-US"/>
        </w:rPr>
        <w:t>Klopfer</w:t>
      </w:r>
      <w:proofErr w:type="spellEnd"/>
      <w:r w:rsidRPr="00D674C0">
        <w:rPr>
          <w:rFonts w:ascii="Cambria" w:hAnsi="Cambria"/>
          <w:lang w:val="en-US"/>
        </w:rPr>
        <w:t xml:space="preserve"> S. Optimal full matching and related designs via network flows. J Computational Global Stat 2006; 15:609-627.</w:t>
      </w:r>
    </w:p>
    <w:p w14:paraId="75964919" w14:textId="77777777" w:rsidR="00A9796C" w:rsidRDefault="008A2EB6" w:rsidP="00DC5D07">
      <w:pPr>
        <w:pStyle w:val="ListParagraph"/>
        <w:numPr>
          <w:ilvl w:val="0"/>
          <w:numId w:val="3"/>
        </w:numPr>
        <w:spacing w:after="0" w:line="360" w:lineRule="auto"/>
        <w:ind w:left="357" w:hanging="357"/>
        <w:rPr>
          <w:rFonts w:ascii="Cambria" w:hAnsi="Cambria"/>
          <w:lang w:val="en-US"/>
        </w:rPr>
      </w:pPr>
      <w:r w:rsidRPr="00D674C0">
        <w:rPr>
          <w:rFonts w:ascii="Cambria" w:hAnsi="Cambria"/>
          <w:lang w:val="en-US"/>
        </w:rPr>
        <w:t xml:space="preserve">King G, Nielsen R. Why propensity scores should not be used for matching. </w:t>
      </w:r>
      <w:proofErr w:type="spellStart"/>
      <w:r w:rsidRPr="00D674C0">
        <w:rPr>
          <w:rFonts w:ascii="Cambria" w:hAnsi="Cambria"/>
          <w:lang w:val="en-US"/>
        </w:rPr>
        <w:t>Polit</w:t>
      </w:r>
      <w:proofErr w:type="spellEnd"/>
      <w:r w:rsidRPr="00D674C0">
        <w:rPr>
          <w:rFonts w:ascii="Cambria" w:hAnsi="Cambria"/>
          <w:lang w:val="en-US"/>
        </w:rPr>
        <w:t xml:space="preserve"> Anal 2019; 27:435-454.</w:t>
      </w:r>
      <w:r w:rsidR="00A9796C">
        <w:rPr>
          <w:rFonts w:ascii="Cambria" w:hAnsi="Cambria"/>
          <w:lang w:val="en-US"/>
        </w:rPr>
        <w:br w:type="page"/>
      </w:r>
    </w:p>
    <w:p w14:paraId="5678A19B" w14:textId="6B48CB07" w:rsidR="00E8775A" w:rsidRPr="00D674C0" w:rsidRDefault="00E8775A" w:rsidP="001414DE">
      <w:pPr>
        <w:pStyle w:val="BodyText"/>
        <w:spacing w:before="0" w:after="240" w:line="360" w:lineRule="auto"/>
        <w:jc w:val="left"/>
        <w:rPr>
          <w:rFonts w:ascii="Cambria" w:hAnsi="Cambria"/>
          <w:b/>
          <w:color w:val="000000" w:themeColor="text1"/>
          <w:sz w:val="24"/>
          <w:szCs w:val="24"/>
        </w:rPr>
      </w:pPr>
      <w:r w:rsidRPr="00D674C0">
        <w:rPr>
          <w:rFonts w:ascii="Cambria" w:hAnsi="Cambria"/>
          <w:b/>
          <w:color w:val="00B0F0"/>
          <w:sz w:val="24"/>
          <w:szCs w:val="24"/>
        </w:rPr>
        <w:lastRenderedPageBreak/>
        <w:t xml:space="preserve">Supplemental Methods </w:t>
      </w:r>
      <w:r>
        <w:rPr>
          <w:rFonts w:ascii="Cambria" w:hAnsi="Cambria"/>
          <w:b/>
          <w:color w:val="00B0F0"/>
          <w:sz w:val="24"/>
          <w:szCs w:val="24"/>
        </w:rPr>
        <w:t>C</w:t>
      </w:r>
      <w:r w:rsidRPr="00D674C0">
        <w:rPr>
          <w:rFonts w:ascii="Cambria" w:hAnsi="Cambria"/>
          <w:b/>
          <w:color w:val="00B0F0"/>
          <w:sz w:val="24"/>
          <w:szCs w:val="24"/>
        </w:rPr>
        <w:t xml:space="preserve"> </w:t>
      </w:r>
      <w:r w:rsidRPr="00D674C0">
        <w:rPr>
          <w:rFonts w:ascii="Cambria" w:hAnsi="Cambria"/>
          <w:b/>
          <w:color w:val="000000" w:themeColor="text1"/>
          <w:sz w:val="24"/>
          <w:szCs w:val="24"/>
        </w:rPr>
        <w:t xml:space="preserve">– </w:t>
      </w:r>
      <w:r>
        <w:rPr>
          <w:rFonts w:ascii="Cambria" w:hAnsi="Cambria"/>
          <w:b/>
          <w:color w:val="000000" w:themeColor="text1"/>
          <w:sz w:val="24"/>
          <w:szCs w:val="24"/>
        </w:rPr>
        <w:t>Sensitivity to unmeasured confounding</w:t>
      </w:r>
    </w:p>
    <w:p w14:paraId="4964D1FB" w14:textId="7F47CC21" w:rsidR="00DC5D07" w:rsidRPr="00EE2836" w:rsidRDefault="00EE2836" w:rsidP="001414DE">
      <w:pPr>
        <w:spacing w:after="0" w:line="360" w:lineRule="auto"/>
        <w:rPr>
          <w:rFonts w:ascii="Cambria" w:hAnsi="Cambria"/>
          <w:lang w:val="en-US"/>
        </w:rPr>
      </w:pPr>
      <w:r w:rsidRPr="00EE2836">
        <w:rPr>
          <w:rFonts w:ascii="Cambria" w:hAnsi="Cambria"/>
          <w:color w:val="000000" w:themeColor="text1"/>
          <w:lang w:val="en-US"/>
        </w:rPr>
        <w:t>A</w:t>
      </w:r>
      <w:r>
        <w:rPr>
          <w:rFonts w:ascii="Cambria" w:hAnsi="Cambria"/>
          <w:color w:val="000000" w:themeColor="text1"/>
          <w:lang w:val="en-US"/>
        </w:rPr>
        <w:t xml:space="preserve"> number of factors, </w:t>
      </w:r>
      <w:r w:rsidRPr="00EE2836">
        <w:rPr>
          <w:rFonts w:ascii="Cambria" w:hAnsi="Cambria"/>
          <w:color w:val="000000" w:themeColor="text1"/>
          <w:lang w:val="en-US"/>
        </w:rPr>
        <w:t xml:space="preserve">known </w:t>
      </w:r>
      <w:r>
        <w:rPr>
          <w:rFonts w:ascii="Cambria" w:hAnsi="Cambria"/>
          <w:color w:val="000000" w:themeColor="text1"/>
          <w:lang w:val="en-US"/>
        </w:rPr>
        <w:t>or suggested (</w:t>
      </w:r>
      <w:proofErr w:type="gramStart"/>
      <w:r w:rsidR="00786C43">
        <w:rPr>
          <w:rFonts w:ascii="Cambria" w:hAnsi="Cambria"/>
          <w:color w:val="000000" w:themeColor="text1"/>
          <w:lang w:val="en-US"/>
        </w:rPr>
        <w:t>but</w:t>
      </w:r>
      <w:r>
        <w:rPr>
          <w:rFonts w:ascii="Cambria" w:hAnsi="Cambria"/>
          <w:color w:val="000000" w:themeColor="text1"/>
          <w:lang w:val="en-US"/>
        </w:rPr>
        <w:t xml:space="preserve"> not unambiguously</w:t>
      </w:r>
      <w:proofErr w:type="gramEnd"/>
      <w:r>
        <w:rPr>
          <w:rFonts w:ascii="Cambria" w:hAnsi="Cambria"/>
          <w:color w:val="000000" w:themeColor="text1"/>
          <w:lang w:val="en-US"/>
        </w:rPr>
        <w:t xml:space="preserve">) </w:t>
      </w:r>
      <w:r w:rsidRPr="00EE2836">
        <w:rPr>
          <w:rFonts w:ascii="Cambria" w:hAnsi="Cambria"/>
          <w:color w:val="000000" w:themeColor="text1"/>
          <w:lang w:val="en-US"/>
        </w:rPr>
        <w:t>to affect (to some extent) pharmacokinetics of MPA</w:t>
      </w:r>
      <w:r>
        <w:rPr>
          <w:rFonts w:ascii="Cambria" w:hAnsi="Cambria"/>
          <w:color w:val="000000" w:themeColor="text1"/>
          <w:lang w:val="en-US"/>
        </w:rPr>
        <w:t xml:space="preserve"> are depicted in Figure S1</w:t>
      </w:r>
      <w:r w:rsidRPr="00EE2836">
        <w:rPr>
          <w:rFonts w:ascii="Cambria" w:hAnsi="Cambria"/>
          <w:color w:val="000000" w:themeColor="text1"/>
          <w:lang w:val="en-US"/>
        </w:rPr>
        <w:t>. However, “</w:t>
      </w:r>
      <w:proofErr w:type="spellStart"/>
      <w:r w:rsidRPr="00EE2836">
        <w:rPr>
          <w:rFonts w:ascii="Cambria" w:hAnsi="Cambria"/>
          <w:color w:val="000000" w:themeColor="text1"/>
          <w:lang w:val="en-US"/>
        </w:rPr>
        <w:t>pharmacogenetic</w:t>
      </w:r>
      <w:proofErr w:type="spellEnd"/>
      <w:r w:rsidRPr="00EE2836">
        <w:rPr>
          <w:rFonts w:ascii="Cambria" w:hAnsi="Cambria"/>
          <w:color w:val="000000" w:themeColor="text1"/>
          <w:lang w:val="en-US"/>
        </w:rPr>
        <w:t xml:space="preserve"> setting</w:t>
      </w:r>
      <w:r w:rsidR="00497A6C">
        <w:rPr>
          <w:rFonts w:ascii="Cambria" w:hAnsi="Cambria"/>
          <w:color w:val="000000" w:themeColor="text1"/>
          <w:lang w:val="en-US"/>
        </w:rPr>
        <w:t>s</w:t>
      </w:r>
      <w:r w:rsidRPr="00EE2836">
        <w:rPr>
          <w:rFonts w:ascii="Cambria" w:hAnsi="Cambria"/>
          <w:color w:val="000000" w:themeColor="text1"/>
          <w:lang w:val="en-US"/>
        </w:rPr>
        <w:t xml:space="preserve">” </w:t>
      </w:r>
      <w:r w:rsidR="00497A6C">
        <w:rPr>
          <w:rFonts w:ascii="Cambria" w:hAnsi="Cambria"/>
          <w:color w:val="000000" w:themeColor="text1"/>
          <w:lang w:val="en-US"/>
        </w:rPr>
        <w:t>are</w:t>
      </w:r>
      <w:r w:rsidRPr="00EE2836">
        <w:rPr>
          <w:rFonts w:ascii="Cambria" w:hAnsi="Cambria"/>
          <w:color w:val="000000" w:themeColor="text1"/>
          <w:lang w:val="en-US"/>
        </w:rPr>
        <w:t xml:space="preserve"> complex, and one should </w:t>
      </w:r>
      <w:r w:rsidRPr="00EE2836">
        <w:rPr>
          <w:rFonts w:ascii="Cambria" w:hAnsi="Cambria"/>
          <w:i/>
          <w:color w:val="000000" w:themeColor="text1"/>
          <w:lang w:val="en-US"/>
        </w:rPr>
        <w:t>a priori</w:t>
      </w:r>
      <w:r w:rsidRPr="00EE2836">
        <w:rPr>
          <w:rFonts w:ascii="Cambria" w:hAnsi="Cambria"/>
          <w:color w:val="000000" w:themeColor="text1"/>
          <w:lang w:val="en-US"/>
        </w:rPr>
        <w:t xml:space="preserve"> consider that there are inevitably unmeasured</w:t>
      </w:r>
      <w:r w:rsidR="001C618D">
        <w:rPr>
          <w:rFonts w:ascii="Cambria" w:hAnsi="Cambria"/>
          <w:color w:val="000000" w:themeColor="text1"/>
          <w:lang w:val="en-US"/>
        </w:rPr>
        <w:t xml:space="preserve">, although </w:t>
      </w:r>
      <w:r w:rsidR="004D7BB6">
        <w:rPr>
          <w:rFonts w:ascii="Cambria" w:hAnsi="Cambria"/>
          <w:color w:val="000000" w:themeColor="text1"/>
          <w:lang w:val="en-US"/>
        </w:rPr>
        <w:t>reasonably possible</w:t>
      </w:r>
      <w:r>
        <w:rPr>
          <w:rFonts w:ascii="Cambria" w:hAnsi="Cambria"/>
          <w:color w:val="000000" w:themeColor="text1"/>
          <w:lang w:val="en-US"/>
        </w:rPr>
        <w:t xml:space="preserve"> (e.g., </w:t>
      </w:r>
      <w:r w:rsidRPr="00EE2836">
        <w:rPr>
          <w:rFonts w:ascii="Cambria" w:hAnsi="Cambria"/>
          <w:i/>
          <w:color w:val="000000" w:themeColor="text1"/>
          <w:lang w:val="en-US"/>
        </w:rPr>
        <w:t>SLCO1B3 c.334</w:t>
      </w:r>
      <w:r>
        <w:rPr>
          <w:rFonts w:ascii="Cambria" w:hAnsi="Cambria"/>
          <w:color w:val="000000" w:themeColor="text1"/>
          <w:lang w:val="en-US"/>
        </w:rPr>
        <w:t xml:space="preserve"> </w:t>
      </w:r>
      <w:r w:rsidR="00497A6C">
        <w:rPr>
          <w:rFonts w:ascii="Cambria" w:hAnsi="Cambria"/>
          <w:color w:val="000000" w:themeColor="text1"/>
          <w:lang w:val="en-US"/>
        </w:rPr>
        <w:t>and</w:t>
      </w:r>
      <w:r w:rsidR="008C59D2">
        <w:rPr>
          <w:rFonts w:ascii="Cambria" w:hAnsi="Cambria"/>
          <w:color w:val="000000" w:themeColor="text1"/>
          <w:lang w:val="en-US"/>
        </w:rPr>
        <w:t xml:space="preserve"> </w:t>
      </w:r>
      <w:r w:rsidR="008C59D2" w:rsidRPr="004D7BB6">
        <w:rPr>
          <w:rFonts w:ascii="Cambria" w:hAnsi="Cambria"/>
          <w:i/>
          <w:color w:val="000000" w:themeColor="text1"/>
          <w:lang w:val="en-US"/>
        </w:rPr>
        <w:t>UGT1A9 c.98</w:t>
      </w:r>
      <w:r w:rsidR="008C59D2">
        <w:rPr>
          <w:rFonts w:ascii="Cambria" w:hAnsi="Cambria"/>
          <w:color w:val="000000" w:themeColor="text1"/>
          <w:lang w:val="en-US"/>
        </w:rPr>
        <w:t xml:space="preserve"> SNP</w:t>
      </w:r>
      <w:r w:rsidR="00497A6C">
        <w:rPr>
          <w:rFonts w:ascii="Cambria" w:hAnsi="Cambria"/>
          <w:color w:val="000000" w:themeColor="text1"/>
          <w:lang w:val="en-US"/>
        </w:rPr>
        <w:t>s</w:t>
      </w:r>
      <w:r>
        <w:rPr>
          <w:rFonts w:ascii="Cambria" w:hAnsi="Cambria"/>
          <w:color w:val="000000" w:themeColor="text1"/>
          <w:lang w:val="en-US"/>
        </w:rPr>
        <w:t xml:space="preserve">), but also </w:t>
      </w:r>
      <w:r w:rsidRPr="00EE2836">
        <w:rPr>
          <w:rFonts w:ascii="Cambria" w:hAnsi="Cambria"/>
          <w:color w:val="000000" w:themeColor="text1"/>
          <w:lang w:val="en-US"/>
        </w:rPr>
        <w:t>unknown confounders</w:t>
      </w:r>
      <w:r w:rsidR="00BF0C99">
        <w:rPr>
          <w:rFonts w:ascii="Cambria" w:hAnsi="Cambria"/>
          <w:color w:val="000000" w:themeColor="text1"/>
          <w:lang w:val="en-US"/>
        </w:rPr>
        <w:t xml:space="preserve">, i.e., </w:t>
      </w:r>
      <w:r>
        <w:rPr>
          <w:rFonts w:ascii="Cambria" w:hAnsi="Cambria"/>
          <w:color w:val="000000" w:themeColor="text1"/>
          <w:lang w:val="en-US"/>
        </w:rPr>
        <w:t>those not indicated in Figure S1.</w:t>
      </w:r>
    </w:p>
    <w:p w14:paraId="33C9C820" w14:textId="2824EDF7" w:rsidR="00497A6C" w:rsidRDefault="00071224" w:rsidP="001414DE">
      <w:pPr>
        <w:spacing w:after="0" w:line="360" w:lineRule="auto"/>
        <w:rPr>
          <w:rFonts w:ascii="Cambria" w:hAnsi="Cambria"/>
          <w:lang w:val="en-US"/>
        </w:rPr>
      </w:pPr>
      <w:r>
        <w:rPr>
          <w:rFonts w:ascii="Cambria" w:hAnsi="Cambria"/>
          <w:lang w:val="en-US"/>
        </w:rPr>
        <w:t xml:space="preserve">E-value [1] </w:t>
      </w:r>
      <w:r w:rsidR="00BF0C99">
        <w:rPr>
          <w:rFonts w:ascii="Cambria" w:hAnsi="Cambria"/>
          <w:lang w:val="en-US"/>
        </w:rPr>
        <w:t>represents</w:t>
      </w:r>
      <w:r>
        <w:rPr>
          <w:rFonts w:ascii="Cambria" w:hAnsi="Cambria"/>
          <w:lang w:val="en-US"/>
        </w:rPr>
        <w:t xml:space="preserve"> the minimum strength of association, on the risk ratio scale, that unmeasured confounder</w:t>
      </w:r>
      <w:r w:rsidR="00BF0C99">
        <w:rPr>
          <w:rFonts w:ascii="Cambria" w:hAnsi="Cambria"/>
          <w:lang w:val="en-US"/>
        </w:rPr>
        <w:t>(s)</w:t>
      </w:r>
      <w:r>
        <w:rPr>
          <w:rFonts w:ascii="Cambria" w:hAnsi="Cambria"/>
          <w:lang w:val="en-US"/>
        </w:rPr>
        <w:t xml:space="preserve"> </w:t>
      </w:r>
      <w:r w:rsidR="00BF0C99">
        <w:rPr>
          <w:rFonts w:ascii="Cambria" w:hAnsi="Cambria"/>
          <w:lang w:val="en-US"/>
        </w:rPr>
        <w:t>need(s)</w:t>
      </w:r>
      <w:r>
        <w:rPr>
          <w:rFonts w:ascii="Cambria" w:hAnsi="Cambria"/>
          <w:lang w:val="en-US"/>
        </w:rPr>
        <w:t xml:space="preserve"> to have with the outcome and the treatment to explain away a specific treatment-outcome association, conditional on the measured covariates. A large E-value implies that </w:t>
      </w:r>
      <w:r w:rsidR="00BF0C99">
        <w:rPr>
          <w:rFonts w:ascii="Cambria" w:hAnsi="Cambria"/>
          <w:lang w:val="en-US"/>
        </w:rPr>
        <w:t xml:space="preserve">a </w:t>
      </w:r>
      <w:r>
        <w:rPr>
          <w:rFonts w:ascii="Cambria" w:hAnsi="Cambria"/>
          <w:lang w:val="en-US"/>
        </w:rPr>
        <w:t xml:space="preserve">considerable unmeasured confounding </w:t>
      </w:r>
      <w:r w:rsidR="00BF0C99">
        <w:rPr>
          <w:rFonts w:ascii="Cambria" w:hAnsi="Cambria"/>
          <w:lang w:val="en-US"/>
        </w:rPr>
        <w:t xml:space="preserve">effect </w:t>
      </w:r>
      <w:proofErr w:type="gramStart"/>
      <w:r w:rsidR="00BF0C99">
        <w:rPr>
          <w:rFonts w:ascii="Cambria" w:hAnsi="Cambria"/>
          <w:lang w:val="en-US"/>
        </w:rPr>
        <w:t>is</w:t>
      </w:r>
      <w:r>
        <w:rPr>
          <w:rFonts w:ascii="Cambria" w:hAnsi="Cambria"/>
          <w:lang w:val="en-US"/>
        </w:rPr>
        <w:t xml:space="preserve"> needed</w:t>
      </w:r>
      <w:proofErr w:type="gramEnd"/>
      <w:r w:rsidR="007F630A">
        <w:rPr>
          <w:rFonts w:ascii="Cambria" w:hAnsi="Cambria"/>
          <w:lang w:val="en-US"/>
        </w:rPr>
        <w:t xml:space="preserve"> for the purpose</w:t>
      </w:r>
      <w:r>
        <w:rPr>
          <w:rFonts w:ascii="Cambria" w:hAnsi="Cambria"/>
          <w:lang w:val="en-US"/>
        </w:rPr>
        <w:t xml:space="preserve">. E-value can be determined for different effect measures, i.e., relative risk, odds ratio, hazard ratio, rate ratio, mean </w:t>
      </w:r>
      <w:proofErr w:type="gramStart"/>
      <w:r>
        <w:rPr>
          <w:rFonts w:ascii="Cambria" w:hAnsi="Cambria"/>
          <w:lang w:val="en-US"/>
        </w:rPr>
        <w:t>difference</w:t>
      </w:r>
      <w:proofErr w:type="gramEnd"/>
      <w:r>
        <w:rPr>
          <w:rFonts w:ascii="Cambria" w:hAnsi="Cambria"/>
          <w:lang w:val="en-US"/>
        </w:rPr>
        <w:t xml:space="preserve"> or a regression coefficient, but is expressed on </w:t>
      </w:r>
      <w:r w:rsidR="004D7BB6">
        <w:rPr>
          <w:rFonts w:ascii="Cambria" w:hAnsi="Cambria"/>
          <w:lang w:val="en-US"/>
        </w:rPr>
        <w:t>the</w:t>
      </w:r>
      <w:r>
        <w:rPr>
          <w:rFonts w:ascii="Cambria" w:hAnsi="Cambria"/>
          <w:lang w:val="en-US"/>
        </w:rPr>
        <w:t xml:space="preserve"> risk ratio scale [1]. The effect measure in the present study was geometric means ratio (GMR), i.e., </w:t>
      </w:r>
      <w:proofErr w:type="spellStart"/>
      <w:r>
        <w:rPr>
          <w:rFonts w:ascii="Cambria" w:hAnsi="Cambria"/>
          <w:lang w:val="en-US"/>
        </w:rPr>
        <w:t>exponentiated</w:t>
      </w:r>
      <w:proofErr w:type="spellEnd"/>
      <w:r>
        <w:rPr>
          <w:rFonts w:ascii="Cambria" w:hAnsi="Cambria"/>
          <w:lang w:val="en-US"/>
        </w:rPr>
        <w:t xml:space="preserve"> difference between two (adjusted) means of ln-transformed values of pharmacokinetic indicators. Calculation of E-value for difference in means is based on standardized difference (d), requires several effect measure conversions, several assumptions, and its interpretation is not very intuitive [1]. However, GMR and RR share some common features: (</w:t>
      </w:r>
      <w:proofErr w:type="spellStart"/>
      <w:r>
        <w:rPr>
          <w:rFonts w:ascii="Cambria" w:hAnsi="Cambria"/>
          <w:lang w:val="en-US"/>
        </w:rPr>
        <w:t>i</w:t>
      </w:r>
      <w:proofErr w:type="spellEnd"/>
      <w:r>
        <w:rPr>
          <w:rFonts w:ascii="Cambria" w:hAnsi="Cambria"/>
          <w:lang w:val="en-US"/>
        </w:rPr>
        <w:t>) both are exponents of difference in means</w:t>
      </w:r>
      <w:r w:rsidR="00497A6C">
        <w:rPr>
          <w:rFonts w:ascii="Cambria" w:hAnsi="Cambria"/>
          <w:lang w:val="en-US"/>
        </w:rPr>
        <w:t xml:space="preserve"> of ln-transformed quantities </w:t>
      </w:r>
      <w:r>
        <w:rPr>
          <w:rFonts w:ascii="Cambria" w:hAnsi="Cambria"/>
          <w:lang w:val="en-US"/>
        </w:rPr>
        <w:t xml:space="preserve">(risk or </w:t>
      </w:r>
      <w:r w:rsidR="00497A6C">
        <w:rPr>
          <w:rFonts w:ascii="Cambria" w:hAnsi="Cambria"/>
          <w:lang w:val="en-US"/>
        </w:rPr>
        <w:t>a</w:t>
      </w:r>
      <w:r w:rsidR="007F630A">
        <w:rPr>
          <w:rFonts w:ascii="Cambria" w:hAnsi="Cambria"/>
          <w:lang w:val="en-US"/>
        </w:rPr>
        <w:t xml:space="preserve"> </w:t>
      </w:r>
      <w:r>
        <w:rPr>
          <w:rFonts w:ascii="Cambria" w:hAnsi="Cambria"/>
          <w:lang w:val="en-US"/>
        </w:rPr>
        <w:t xml:space="preserve">continuous variable); (ii) both </w:t>
      </w:r>
      <w:proofErr w:type="gramStart"/>
      <w:r>
        <w:rPr>
          <w:rFonts w:ascii="Cambria" w:hAnsi="Cambria"/>
          <w:lang w:val="en-US"/>
        </w:rPr>
        <w:t>ln(</w:t>
      </w:r>
      <w:proofErr w:type="gramEnd"/>
      <w:r>
        <w:rPr>
          <w:rFonts w:ascii="Cambria" w:hAnsi="Cambria"/>
          <w:lang w:val="en-US"/>
        </w:rPr>
        <w:t xml:space="preserve">risk) and ln(right-tailed continuous variable) have a normal distribution and their interpretation is similar </w:t>
      </w:r>
      <w:r w:rsidR="00497A6C">
        <w:rPr>
          <w:rFonts w:ascii="Cambria" w:hAnsi="Cambria"/>
          <w:lang w:val="en-US"/>
        </w:rPr>
        <w:t>as</w:t>
      </w:r>
      <w:r>
        <w:rPr>
          <w:rFonts w:ascii="Cambria" w:hAnsi="Cambria"/>
          <w:lang w:val="en-US"/>
        </w:rPr>
        <w:t xml:space="preserve"> they provide information about a relative difference between a treatment and a control. If for a treatment vs. control RR &gt;1.0, e.g., 1.5, it means relatively by 50% higher risk with treatment, </w:t>
      </w:r>
      <w:r w:rsidR="00551E40">
        <w:rPr>
          <w:rFonts w:ascii="Cambria" w:hAnsi="Cambria"/>
          <w:lang w:val="en-US"/>
        </w:rPr>
        <w:t>just as is the case with</w:t>
      </w:r>
      <w:r>
        <w:rPr>
          <w:rFonts w:ascii="Cambria" w:hAnsi="Cambria"/>
          <w:lang w:val="en-US"/>
        </w:rPr>
        <w:t xml:space="preserve"> GMR</w:t>
      </w:r>
      <w:r w:rsidR="00551E40">
        <w:rPr>
          <w:rFonts w:ascii="Cambria" w:hAnsi="Cambria"/>
          <w:lang w:val="en-US"/>
        </w:rPr>
        <w:t>: if</w:t>
      </w:r>
      <w:r>
        <w:rPr>
          <w:rFonts w:ascii="Cambria" w:hAnsi="Cambria"/>
          <w:lang w:val="en-US"/>
        </w:rPr>
        <w:t xml:space="preserve"> 1.5, it means relatively by 50% higher value of the measured quantity with treatment</w:t>
      </w:r>
      <w:r w:rsidR="00551E40">
        <w:rPr>
          <w:rFonts w:ascii="Cambria" w:hAnsi="Cambria"/>
          <w:lang w:val="en-US"/>
        </w:rPr>
        <w:t xml:space="preserve">. </w:t>
      </w:r>
      <w:r>
        <w:rPr>
          <w:rFonts w:ascii="Cambria" w:hAnsi="Cambria"/>
          <w:lang w:val="en-US"/>
        </w:rPr>
        <w:t>Similar</w:t>
      </w:r>
      <w:r w:rsidR="004D7BB6">
        <w:rPr>
          <w:rFonts w:ascii="Cambria" w:hAnsi="Cambria"/>
          <w:lang w:val="en-US"/>
        </w:rPr>
        <w:t xml:space="preserve"> is the</w:t>
      </w:r>
      <w:r>
        <w:rPr>
          <w:rFonts w:ascii="Cambria" w:hAnsi="Cambria"/>
          <w:lang w:val="en-US"/>
        </w:rPr>
        <w:t xml:space="preserve"> relationship between a relative risk (risk ratio) and relative rate (rate ratio), where E-value calculation for a relative rate is identical as for the relative risk [1]. Therefore, in calculation of E-values we “treated” GMRs as relative risks. One can calculate E-value that indicates size of the effect of unmeasured confounding needed to completely explain away the observed effect, </w:t>
      </w:r>
      <w:r w:rsidR="00551E40">
        <w:rPr>
          <w:rFonts w:ascii="Cambria" w:hAnsi="Cambria"/>
          <w:lang w:val="en-US"/>
        </w:rPr>
        <w:t>i.e.,</w:t>
      </w:r>
      <w:r>
        <w:rPr>
          <w:rFonts w:ascii="Cambria" w:hAnsi="Cambria"/>
          <w:lang w:val="en-US"/>
        </w:rPr>
        <w:t xml:space="preserve"> to “push” the estimate of a ratio to 1.0 or a difference to 0.0; but E-value can be determined in respect to any desired level [1]. </w:t>
      </w:r>
      <w:r w:rsidR="00A85A57">
        <w:rPr>
          <w:rFonts w:ascii="Cambria" w:hAnsi="Cambria"/>
          <w:lang w:val="en-US"/>
        </w:rPr>
        <w:t>W</w:t>
      </w:r>
      <w:r>
        <w:rPr>
          <w:rFonts w:ascii="Cambria" w:hAnsi="Cambria"/>
          <w:lang w:val="en-US"/>
        </w:rPr>
        <w:t xml:space="preserve">e determined E-values needed to “push” </w:t>
      </w:r>
      <w:r w:rsidR="00786C43">
        <w:rPr>
          <w:rFonts w:ascii="Cambria" w:hAnsi="Cambria"/>
          <w:lang w:val="en-US"/>
        </w:rPr>
        <w:t>the GMR point-estimates</w:t>
      </w:r>
      <w:r>
        <w:rPr>
          <w:rFonts w:ascii="Cambria" w:hAnsi="Cambria"/>
          <w:lang w:val="en-US"/>
        </w:rPr>
        <w:t xml:space="preserve"> to 1.20. We considered that GMR</w:t>
      </w:r>
      <w:r w:rsidR="00835F7E">
        <w:rPr>
          <w:rFonts w:ascii="Cambria" w:hAnsi="Cambria"/>
          <w:lang w:val="en-US"/>
        </w:rPr>
        <w:t xml:space="preserve"> 1.20 indicated a cut-off </w:t>
      </w:r>
      <w:r>
        <w:rPr>
          <w:rFonts w:ascii="Cambria" w:hAnsi="Cambria"/>
          <w:lang w:val="en-US"/>
        </w:rPr>
        <w:t>value at which difference (1.20 and higher) becomes practically relevant</w:t>
      </w:r>
      <w:r w:rsidR="00835F7E">
        <w:rPr>
          <w:rFonts w:ascii="Cambria" w:hAnsi="Cambria"/>
          <w:lang w:val="en-US"/>
        </w:rPr>
        <w:t>:</w:t>
      </w:r>
      <w:r w:rsidR="002B7B35">
        <w:rPr>
          <w:rFonts w:ascii="Cambria" w:hAnsi="Cambria"/>
          <w:lang w:val="en-US"/>
        </w:rPr>
        <w:t xml:space="preserve"> in the classical context of equivalent relative exposure, GMR point-estimates of 1.20 are at the upper limit of the conventional </w:t>
      </w:r>
      <w:r w:rsidR="00C04516">
        <w:rPr>
          <w:rFonts w:ascii="Cambria" w:hAnsi="Cambria"/>
          <w:lang w:val="en-US"/>
        </w:rPr>
        <w:t>acceptance range</w:t>
      </w:r>
      <w:r w:rsidR="002B7B35">
        <w:rPr>
          <w:rFonts w:ascii="Cambria" w:hAnsi="Cambria"/>
          <w:lang w:val="en-US"/>
        </w:rPr>
        <w:t>.</w:t>
      </w:r>
      <w:r w:rsidR="00C40D87">
        <w:rPr>
          <w:rFonts w:ascii="Cambria" w:hAnsi="Cambria"/>
          <w:lang w:val="en-US"/>
        </w:rPr>
        <w:t xml:space="preserve"> E-value </w:t>
      </w:r>
      <w:proofErr w:type="gramStart"/>
      <w:r w:rsidR="00C40D87">
        <w:rPr>
          <w:rFonts w:ascii="Cambria" w:hAnsi="Cambria"/>
          <w:lang w:val="en-US"/>
        </w:rPr>
        <w:t>may be considered</w:t>
      </w:r>
      <w:proofErr w:type="gramEnd"/>
      <w:r w:rsidR="00C40D87">
        <w:rPr>
          <w:rFonts w:ascii="Cambria" w:hAnsi="Cambria"/>
          <w:lang w:val="en-US"/>
        </w:rPr>
        <w:t xml:space="preserve"> as a total effect of </w:t>
      </w:r>
      <w:r w:rsidR="009E4E65">
        <w:rPr>
          <w:rFonts w:ascii="Cambria" w:hAnsi="Cambria"/>
          <w:lang w:val="en-US"/>
        </w:rPr>
        <w:t>all</w:t>
      </w:r>
      <w:r w:rsidR="00C40D87">
        <w:rPr>
          <w:rFonts w:ascii="Cambria" w:hAnsi="Cambria"/>
          <w:lang w:val="en-US"/>
        </w:rPr>
        <w:t xml:space="preserve"> u</w:t>
      </w:r>
      <w:r w:rsidR="00497A6C">
        <w:rPr>
          <w:rFonts w:ascii="Cambria" w:hAnsi="Cambria"/>
          <w:lang w:val="en-US"/>
        </w:rPr>
        <w:t>nmeasured confounding.</w:t>
      </w:r>
    </w:p>
    <w:p w14:paraId="7D457D42" w14:textId="071D3725" w:rsidR="00071224" w:rsidRDefault="00C40D87" w:rsidP="001414DE">
      <w:pPr>
        <w:spacing w:after="0" w:line="360" w:lineRule="auto"/>
        <w:rPr>
          <w:rFonts w:ascii="Cambria" w:hAnsi="Cambria"/>
          <w:lang w:val="en-US"/>
        </w:rPr>
      </w:pPr>
      <w:proofErr w:type="gramStart"/>
      <w:r>
        <w:rPr>
          <w:rFonts w:ascii="Cambria" w:hAnsi="Cambria"/>
          <w:lang w:val="en-US"/>
        </w:rPr>
        <w:t>Since current literature data [2</w:t>
      </w:r>
      <w:r w:rsidR="00497A6C">
        <w:rPr>
          <w:rFonts w:ascii="Cambria" w:hAnsi="Cambria"/>
          <w:lang w:val="en-US"/>
        </w:rPr>
        <w:t>,3</w:t>
      </w:r>
      <w:r>
        <w:rPr>
          <w:rFonts w:ascii="Cambria" w:hAnsi="Cambria"/>
          <w:lang w:val="en-US"/>
        </w:rPr>
        <w:t xml:space="preserve">] suggest </w:t>
      </w:r>
      <w:r w:rsidRPr="00EE2836">
        <w:rPr>
          <w:rFonts w:ascii="Cambria" w:hAnsi="Cambria"/>
          <w:i/>
          <w:color w:val="000000" w:themeColor="text1"/>
          <w:lang w:val="en-US"/>
        </w:rPr>
        <w:t>SLCO1B3 c.334</w:t>
      </w:r>
      <w:r w:rsidR="009E4E65">
        <w:rPr>
          <w:rFonts w:ascii="Cambria" w:hAnsi="Cambria"/>
          <w:i/>
          <w:color w:val="000000" w:themeColor="text1"/>
          <w:lang w:val="en-US"/>
        </w:rPr>
        <w:t>T&gt;G</w:t>
      </w:r>
      <w:r>
        <w:rPr>
          <w:rFonts w:ascii="Cambria" w:hAnsi="Cambria"/>
          <w:color w:val="000000" w:themeColor="text1"/>
          <w:lang w:val="en-US"/>
        </w:rPr>
        <w:t xml:space="preserve"> </w:t>
      </w:r>
      <w:r w:rsidR="00B22C13">
        <w:rPr>
          <w:rFonts w:ascii="Cambria" w:hAnsi="Cambria"/>
          <w:color w:val="000000" w:themeColor="text1"/>
          <w:lang w:val="en-US"/>
        </w:rPr>
        <w:t xml:space="preserve">and </w:t>
      </w:r>
      <w:r w:rsidR="00B22C13" w:rsidRPr="00B22C13">
        <w:rPr>
          <w:rFonts w:ascii="Cambria" w:hAnsi="Cambria"/>
          <w:i/>
          <w:color w:val="000000" w:themeColor="text1"/>
          <w:lang w:val="en-US"/>
        </w:rPr>
        <w:t>UGT1A9 c.98T&gt;C</w:t>
      </w:r>
      <w:r w:rsidR="00B22C13">
        <w:rPr>
          <w:rFonts w:ascii="Cambria" w:hAnsi="Cambria"/>
          <w:color w:val="000000" w:themeColor="text1"/>
          <w:lang w:val="en-US"/>
        </w:rPr>
        <w:t xml:space="preserve"> </w:t>
      </w:r>
      <w:r>
        <w:rPr>
          <w:rFonts w:ascii="Cambria" w:hAnsi="Cambria"/>
          <w:color w:val="000000" w:themeColor="text1"/>
          <w:lang w:val="en-US"/>
        </w:rPr>
        <w:t>SNP</w:t>
      </w:r>
      <w:r w:rsidR="00B22C13">
        <w:rPr>
          <w:rFonts w:ascii="Cambria" w:hAnsi="Cambria"/>
          <w:color w:val="000000" w:themeColor="text1"/>
          <w:lang w:val="en-US"/>
        </w:rPr>
        <w:t>s as</w:t>
      </w:r>
      <w:r>
        <w:rPr>
          <w:rFonts w:ascii="Cambria" w:hAnsi="Cambria"/>
          <w:color w:val="000000" w:themeColor="text1"/>
          <w:lang w:val="en-US"/>
        </w:rPr>
        <w:t xml:space="preserve"> potentially relevant </w:t>
      </w:r>
      <w:r w:rsidR="007C6B9C">
        <w:rPr>
          <w:rFonts w:ascii="Cambria" w:hAnsi="Cambria"/>
          <w:color w:val="000000" w:themeColor="text1"/>
          <w:lang w:val="en-US"/>
        </w:rPr>
        <w:t>factor</w:t>
      </w:r>
      <w:r w:rsidR="00B22C13">
        <w:rPr>
          <w:rFonts w:ascii="Cambria" w:hAnsi="Cambria"/>
          <w:color w:val="000000" w:themeColor="text1"/>
          <w:lang w:val="en-US"/>
        </w:rPr>
        <w:t>s</w:t>
      </w:r>
      <w:r>
        <w:rPr>
          <w:rFonts w:ascii="Cambria" w:hAnsi="Cambria"/>
          <w:color w:val="000000" w:themeColor="text1"/>
          <w:lang w:val="en-US"/>
        </w:rPr>
        <w:t xml:space="preserve"> for MPA bioavailability</w:t>
      </w:r>
      <w:r w:rsidR="007C6B9C">
        <w:rPr>
          <w:rFonts w:ascii="Cambria" w:hAnsi="Cambria"/>
          <w:color w:val="000000" w:themeColor="text1"/>
          <w:lang w:val="en-US"/>
        </w:rPr>
        <w:t xml:space="preserve"> </w:t>
      </w:r>
      <w:r>
        <w:rPr>
          <w:rFonts w:ascii="Cambria" w:hAnsi="Cambria"/>
          <w:color w:val="000000" w:themeColor="text1"/>
          <w:lang w:val="en-US"/>
        </w:rPr>
        <w:t xml:space="preserve">– which remained unmeasured in the present </w:t>
      </w:r>
      <w:r>
        <w:rPr>
          <w:rFonts w:ascii="Cambria" w:hAnsi="Cambria"/>
          <w:color w:val="000000" w:themeColor="text1"/>
          <w:lang w:val="en-US"/>
        </w:rPr>
        <w:lastRenderedPageBreak/>
        <w:t xml:space="preserve">study (Figure S1) </w:t>
      </w:r>
      <w:r w:rsidR="007C6B9C">
        <w:rPr>
          <w:rFonts w:ascii="Cambria" w:hAnsi="Cambria"/>
          <w:color w:val="000000" w:themeColor="text1"/>
          <w:lang w:val="en-US"/>
        </w:rPr>
        <w:t>–</w:t>
      </w:r>
      <w:r>
        <w:rPr>
          <w:rFonts w:ascii="Cambria" w:hAnsi="Cambria"/>
          <w:color w:val="000000" w:themeColor="text1"/>
          <w:lang w:val="en-US"/>
        </w:rPr>
        <w:t xml:space="preserve"> </w:t>
      </w:r>
      <w:r w:rsidR="007C6B9C">
        <w:rPr>
          <w:rFonts w:ascii="Cambria" w:hAnsi="Cambria"/>
          <w:color w:val="000000" w:themeColor="text1"/>
          <w:lang w:val="en-US"/>
        </w:rPr>
        <w:t xml:space="preserve">the estimated GMRs (for variant </w:t>
      </w:r>
      <w:r w:rsidR="007C6B9C" w:rsidRPr="007C6B9C">
        <w:rPr>
          <w:rFonts w:ascii="Cambria" w:hAnsi="Cambria"/>
          <w:i/>
          <w:color w:val="000000" w:themeColor="text1"/>
          <w:lang w:val="en-US"/>
        </w:rPr>
        <w:t>ABCG2 c.421C&gt;A</w:t>
      </w:r>
      <w:r w:rsidR="007C6B9C">
        <w:rPr>
          <w:rFonts w:ascii="Cambria" w:hAnsi="Cambria"/>
          <w:color w:val="000000" w:themeColor="text1"/>
          <w:lang w:val="en-US"/>
        </w:rPr>
        <w:t xml:space="preserve"> vs. </w:t>
      </w:r>
      <w:proofErr w:type="spellStart"/>
      <w:r w:rsidR="007C6B9C">
        <w:rPr>
          <w:rFonts w:ascii="Cambria" w:hAnsi="Cambria"/>
          <w:color w:val="000000" w:themeColor="text1"/>
          <w:lang w:val="en-US"/>
        </w:rPr>
        <w:t>wt</w:t>
      </w:r>
      <w:proofErr w:type="spellEnd"/>
      <w:r w:rsidR="007C6B9C">
        <w:rPr>
          <w:rFonts w:ascii="Cambria" w:hAnsi="Cambria"/>
          <w:color w:val="000000" w:themeColor="text1"/>
          <w:lang w:val="en-US"/>
        </w:rPr>
        <w:t xml:space="preserve"> genotype) were submitted to a sensitivity analysis in which they were corrected for bias arising from not adjusting for the </w:t>
      </w:r>
      <w:r w:rsidR="00B22C13" w:rsidRPr="00B22C13">
        <w:rPr>
          <w:rFonts w:ascii="Cambria" w:hAnsi="Cambria"/>
          <w:color w:val="000000" w:themeColor="text1"/>
          <w:lang w:val="en-US"/>
        </w:rPr>
        <w:t>these two SNPs</w:t>
      </w:r>
      <w:r w:rsidR="007C6B9C">
        <w:rPr>
          <w:rFonts w:ascii="Cambria" w:hAnsi="Cambria"/>
          <w:color w:val="000000" w:themeColor="text1"/>
          <w:lang w:val="en-US"/>
        </w:rPr>
        <w:t xml:space="preserve"> [</w:t>
      </w:r>
      <w:r w:rsidR="00497A6C">
        <w:rPr>
          <w:rFonts w:ascii="Cambria" w:hAnsi="Cambria"/>
          <w:color w:val="000000" w:themeColor="text1"/>
          <w:lang w:val="en-US"/>
        </w:rPr>
        <w:t>4</w:t>
      </w:r>
      <w:r w:rsidR="007C6B9C">
        <w:rPr>
          <w:rFonts w:ascii="Cambria" w:hAnsi="Cambria"/>
          <w:color w:val="000000" w:themeColor="text1"/>
          <w:lang w:val="en-US"/>
        </w:rPr>
        <w:t>].</w:t>
      </w:r>
      <w:proofErr w:type="gramEnd"/>
      <w:r w:rsidR="007C6B9C">
        <w:rPr>
          <w:rFonts w:ascii="Cambria" w:hAnsi="Cambria"/>
          <w:color w:val="000000" w:themeColor="text1"/>
          <w:lang w:val="en-US"/>
        </w:rPr>
        <w:t xml:space="preserve"> For this purpose</w:t>
      </w:r>
      <w:r w:rsidR="009E4E65">
        <w:rPr>
          <w:rFonts w:ascii="Cambria" w:hAnsi="Cambria"/>
          <w:color w:val="000000" w:themeColor="text1"/>
          <w:lang w:val="en-US"/>
        </w:rPr>
        <w:t xml:space="preserve">, </w:t>
      </w:r>
      <w:r w:rsidR="00497A6C">
        <w:rPr>
          <w:rFonts w:ascii="Cambria" w:hAnsi="Cambria"/>
          <w:color w:val="000000" w:themeColor="text1"/>
          <w:lang w:val="en-US"/>
        </w:rPr>
        <w:t xml:space="preserve">using two recent systematic reviews [2,3], </w:t>
      </w:r>
      <w:r w:rsidR="009E4E65">
        <w:rPr>
          <w:rFonts w:ascii="Cambria" w:hAnsi="Cambria"/>
          <w:color w:val="000000" w:themeColor="text1"/>
          <w:lang w:val="en-US"/>
        </w:rPr>
        <w:t xml:space="preserve">we identified studies reporting on associations between </w:t>
      </w:r>
      <w:r w:rsidR="009E4E65" w:rsidRPr="009E4E65">
        <w:rPr>
          <w:rFonts w:ascii="Cambria" w:hAnsi="Cambria"/>
          <w:i/>
          <w:color w:val="000000" w:themeColor="text1"/>
          <w:lang w:val="en-US"/>
        </w:rPr>
        <w:t>SLCO1B3 c.334T&gt;G</w:t>
      </w:r>
      <w:r w:rsidR="00B22C13">
        <w:rPr>
          <w:rFonts w:ascii="Cambria" w:hAnsi="Cambria"/>
          <w:color w:val="000000" w:themeColor="text1"/>
          <w:lang w:val="en-US"/>
        </w:rPr>
        <w:t xml:space="preserve"> (as a contrast between TT/</w:t>
      </w:r>
      <w:r w:rsidR="009E4E65">
        <w:rPr>
          <w:rFonts w:ascii="Cambria" w:hAnsi="Cambria"/>
          <w:color w:val="000000" w:themeColor="text1"/>
          <w:lang w:val="en-US"/>
        </w:rPr>
        <w:t>TG patients vs. GG patients</w:t>
      </w:r>
      <w:r w:rsidR="00B22C13">
        <w:rPr>
          <w:rFonts w:ascii="Cambria" w:hAnsi="Cambria"/>
          <w:color w:val="000000" w:themeColor="text1"/>
          <w:lang w:val="en-US"/>
        </w:rPr>
        <w:t xml:space="preserve">) and </w:t>
      </w:r>
      <w:r w:rsidR="00B22C13" w:rsidRPr="00B22C13">
        <w:rPr>
          <w:rFonts w:ascii="Cambria" w:hAnsi="Cambria"/>
          <w:i/>
          <w:color w:val="000000" w:themeColor="text1"/>
          <w:lang w:val="en-US"/>
        </w:rPr>
        <w:t>UGT1A9 c.98T&gt;C</w:t>
      </w:r>
      <w:r w:rsidR="00B22C13">
        <w:rPr>
          <w:rFonts w:ascii="Cambria" w:hAnsi="Cambria"/>
          <w:color w:val="000000" w:themeColor="text1"/>
          <w:lang w:val="en-US"/>
        </w:rPr>
        <w:t xml:space="preserve">  (as a contrast between variant allele carriers and </w:t>
      </w:r>
      <w:proofErr w:type="spellStart"/>
      <w:r w:rsidR="00B22C13">
        <w:rPr>
          <w:rFonts w:ascii="Cambria" w:hAnsi="Cambria"/>
          <w:color w:val="000000" w:themeColor="text1"/>
          <w:lang w:val="en-US"/>
        </w:rPr>
        <w:t>wt</w:t>
      </w:r>
      <w:proofErr w:type="spellEnd"/>
      <w:r w:rsidR="00B22C13">
        <w:rPr>
          <w:rFonts w:ascii="Cambria" w:hAnsi="Cambria"/>
          <w:color w:val="000000" w:themeColor="text1"/>
          <w:lang w:val="en-US"/>
        </w:rPr>
        <w:t xml:space="preserve"> subjects) SNPs</w:t>
      </w:r>
      <w:r w:rsidR="009E4E65">
        <w:rPr>
          <w:rFonts w:ascii="Cambria" w:hAnsi="Cambria"/>
          <w:color w:val="000000" w:themeColor="text1"/>
          <w:lang w:val="en-US"/>
        </w:rPr>
        <w:t xml:space="preserve">, and MPA </w:t>
      </w:r>
      <w:r w:rsidR="007F630A">
        <w:rPr>
          <w:rFonts w:ascii="Cambria" w:hAnsi="Cambria"/>
          <w:color w:val="000000" w:themeColor="text1"/>
          <w:lang w:val="en-US"/>
        </w:rPr>
        <w:t>AUC</w:t>
      </w:r>
      <w:r w:rsidR="007F630A" w:rsidRPr="007F630A">
        <w:rPr>
          <w:rFonts w:ascii="Cambria" w:hAnsi="Cambria"/>
          <w:color w:val="000000" w:themeColor="text1"/>
          <w:vertAlign w:val="subscript"/>
          <w:lang w:val="en-US"/>
        </w:rPr>
        <w:sym w:font="Symbol" w:char="F074"/>
      </w:r>
      <w:r w:rsidR="007F630A" w:rsidRPr="007F630A">
        <w:rPr>
          <w:rFonts w:ascii="Cambria" w:hAnsi="Cambria"/>
          <w:color w:val="000000" w:themeColor="text1"/>
          <w:vertAlign w:val="subscript"/>
          <w:lang w:val="en-US"/>
        </w:rPr>
        <w:t>,</w:t>
      </w:r>
      <w:proofErr w:type="spellStart"/>
      <w:r w:rsidR="007F630A" w:rsidRPr="007F630A">
        <w:rPr>
          <w:rFonts w:ascii="Cambria" w:hAnsi="Cambria"/>
          <w:color w:val="000000" w:themeColor="text1"/>
          <w:vertAlign w:val="subscript"/>
          <w:lang w:val="en-US"/>
        </w:rPr>
        <w:t>ss</w:t>
      </w:r>
      <w:proofErr w:type="spellEnd"/>
      <w:r w:rsidR="00786C43">
        <w:rPr>
          <w:rFonts w:ascii="Cambria" w:hAnsi="Cambria"/>
          <w:color w:val="000000" w:themeColor="text1"/>
          <w:lang w:val="en-US"/>
        </w:rPr>
        <w:t xml:space="preserve">, and we generated meta-analytical pooled estimates (random-effects, REML variance estimator and </w:t>
      </w:r>
      <w:proofErr w:type="spellStart"/>
      <w:r w:rsidR="00786C43">
        <w:rPr>
          <w:rFonts w:ascii="Cambria" w:hAnsi="Cambria"/>
          <w:color w:val="000000" w:themeColor="text1"/>
          <w:lang w:val="en-US"/>
        </w:rPr>
        <w:t>Hartung</w:t>
      </w:r>
      <w:proofErr w:type="spellEnd"/>
      <w:r w:rsidR="00786C43">
        <w:rPr>
          <w:rFonts w:ascii="Cambria" w:hAnsi="Cambria"/>
          <w:color w:val="000000" w:themeColor="text1"/>
          <w:lang w:val="en-US"/>
        </w:rPr>
        <w:t>-Knapp-</w:t>
      </w:r>
      <w:proofErr w:type="spellStart"/>
      <w:r w:rsidR="00786C43">
        <w:rPr>
          <w:rFonts w:ascii="Cambria" w:hAnsi="Cambria"/>
          <w:color w:val="000000" w:themeColor="text1"/>
          <w:lang w:val="en-US"/>
        </w:rPr>
        <w:t>Sidik</w:t>
      </w:r>
      <w:proofErr w:type="spellEnd"/>
      <w:r w:rsidR="00786C43">
        <w:rPr>
          <w:rFonts w:ascii="Cambria" w:hAnsi="Cambria"/>
          <w:color w:val="000000" w:themeColor="text1"/>
          <w:lang w:val="en-US"/>
        </w:rPr>
        <w:t>-</w:t>
      </w:r>
      <w:proofErr w:type="spellStart"/>
      <w:r w:rsidR="00786C43">
        <w:rPr>
          <w:rFonts w:ascii="Cambria" w:hAnsi="Cambria"/>
          <w:color w:val="000000" w:themeColor="text1"/>
          <w:lang w:val="en-US"/>
        </w:rPr>
        <w:t>Jonkman</w:t>
      </w:r>
      <w:proofErr w:type="spellEnd"/>
      <w:r w:rsidR="00786C43">
        <w:rPr>
          <w:rFonts w:ascii="Cambria" w:hAnsi="Cambria"/>
          <w:color w:val="000000" w:themeColor="text1"/>
          <w:lang w:val="en-US"/>
        </w:rPr>
        <w:t xml:space="preserve"> correction using package </w:t>
      </w:r>
      <w:r w:rsidR="00786C43" w:rsidRPr="00786C43">
        <w:rPr>
          <w:rFonts w:ascii="Cambria" w:hAnsi="Cambria"/>
          <w:i/>
          <w:color w:val="000000" w:themeColor="text1"/>
          <w:lang w:val="en-US"/>
        </w:rPr>
        <w:t>meta</w:t>
      </w:r>
      <w:r w:rsidR="00786C43">
        <w:rPr>
          <w:rFonts w:ascii="Cambria" w:hAnsi="Cambria"/>
          <w:color w:val="000000" w:themeColor="text1"/>
          <w:lang w:val="en-US"/>
        </w:rPr>
        <w:t xml:space="preserve"> in R [</w:t>
      </w:r>
      <w:r w:rsidR="00497A6C">
        <w:rPr>
          <w:rFonts w:ascii="Cambria" w:hAnsi="Cambria"/>
          <w:color w:val="000000" w:themeColor="text1"/>
          <w:lang w:val="en-US"/>
        </w:rPr>
        <w:t>5</w:t>
      </w:r>
      <w:r w:rsidR="00786C43">
        <w:rPr>
          <w:rFonts w:ascii="Cambria" w:hAnsi="Cambria"/>
          <w:color w:val="000000" w:themeColor="text1"/>
          <w:lang w:val="en-US"/>
        </w:rPr>
        <w:t>]) expressed as ratios of means (ROM) [</w:t>
      </w:r>
      <w:r w:rsidR="00497A6C">
        <w:rPr>
          <w:rFonts w:ascii="Cambria" w:hAnsi="Cambria"/>
          <w:color w:val="000000" w:themeColor="text1"/>
          <w:lang w:val="en-US"/>
        </w:rPr>
        <w:t>6</w:t>
      </w:r>
      <w:r w:rsidR="00786C43">
        <w:rPr>
          <w:rFonts w:ascii="Cambria" w:hAnsi="Cambria"/>
          <w:color w:val="000000" w:themeColor="text1"/>
          <w:lang w:val="en-US"/>
        </w:rPr>
        <w:t>].</w:t>
      </w:r>
      <w:r w:rsidR="00B22C13">
        <w:rPr>
          <w:rFonts w:ascii="Cambria" w:hAnsi="Cambria"/>
          <w:color w:val="000000" w:themeColor="text1"/>
          <w:lang w:val="en-US"/>
        </w:rPr>
        <w:t xml:space="preserve"> We also </w:t>
      </w:r>
      <w:r w:rsidR="00966C17">
        <w:rPr>
          <w:rFonts w:ascii="Cambria" w:hAnsi="Cambria"/>
          <w:color w:val="000000" w:themeColor="text1"/>
          <w:lang w:val="en-US"/>
        </w:rPr>
        <w:t xml:space="preserve">identified studies conducted in samples from European </w:t>
      </w:r>
      <w:r w:rsidR="00497A6C">
        <w:rPr>
          <w:rFonts w:ascii="Cambria" w:hAnsi="Cambria"/>
          <w:color w:val="000000" w:themeColor="text1"/>
          <w:lang w:val="en-US"/>
        </w:rPr>
        <w:t>populations</w:t>
      </w:r>
      <w:r w:rsidR="00966C17">
        <w:rPr>
          <w:rFonts w:ascii="Cambria" w:hAnsi="Cambria"/>
          <w:color w:val="000000" w:themeColor="text1"/>
          <w:lang w:val="en-US"/>
        </w:rPr>
        <w:t xml:space="preserve"> that provide</w:t>
      </w:r>
      <w:r w:rsidR="003362F3">
        <w:rPr>
          <w:rFonts w:ascii="Cambria" w:hAnsi="Cambria"/>
          <w:color w:val="000000" w:themeColor="text1"/>
          <w:lang w:val="en-US"/>
        </w:rPr>
        <w:t>d</w:t>
      </w:r>
      <w:r w:rsidR="00966C17">
        <w:rPr>
          <w:rFonts w:ascii="Cambria" w:hAnsi="Cambria"/>
          <w:color w:val="000000" w:themeColor="text1"/>
          <w:lang w:val="en-US"/>
        </w:rPr>
        <w:t xml:space="preserve"> information about prevalence of </w:t>
      </w:r>
      <w:r w:rsidR="00966C17" w:rsidRPr="003362F3">
        <w:rPr>
          <w:rFonts w:ascii="Cambria" w:hAnsi="Cambria"/>
          <w:i/>
          <w:color w:val="000000" w:themeColor="text1"/>
          <w:lang w:val="en-US"/>
        </w:rPr>
        <w:t>SLCO</w:t>
      </w:r>
      <w:r w:rsidR="007A1F8B">
        <w:rPr>
          <w:rFonts w:ascii="Cambria" w:hAnsi="Cambria"/>
          <w:i/>
          <w:color w:val="000000" w:themeColor="text1"/>
          <w:lang w:val="en-US"/>
        </w:rPr>
        <w:t>1B3</w:t>
      </w:r>
      <w:bookmarkStart w:id="0" w:name="_GoBack"/>
      <w:bookmarkEnd w:id="0"/>
      <w:r w:rsidR="00966C17" w:rsidRPr="003362F3">
        <w:rPr>
          <w:rFonts w:ascii="Cambria" w:hAnsi="Cambria"/>
          <w:i/>
          <w:color w:val="000000" w:themeColor="text1"/>
          <w:lang w:val="en-US"/>
        </w:rPr>
        <w:t xml:space="preserve"> c.334</w:t>
      </w:r>
      <w:r w:rsidR="00966C17">
        <w:rPr>
          <w:rFonts w:ascii="Cambria" w:hAnsi="Cambria"/>
          <w:color w:val="000000" w:themeColor="text1"/>
          <w:lang w:val="en-US"/>
        </w:rPr>
        <w:t xml:space="preserve"> TT/TG patients and of </w:t>
      </w:r>
      <w:r w:rsidR="00966C17" w:rsidRPr="003362F3">
        <w:rPr>
          <w:rFonts w:ascii="Cambria" w:hAnsi="Cambria"/>
          <w:i/>
          <w:color w:val="000000" w:themeColor="text1"/>
          <w:lang w:val="en-US"/>
        </w:rPr>
        <w:t>UGT1A9 c.98T&gt;C</w:t>
      </w:r>
      <w:r w:rsidR="00966C17">
        <w:rPr>
          <w:rFonts w:ascii="Cambria" w:hAnsi="Cambria"/>
          <w:color w:val="000000" w:themeColor="text1"/>
          <w:lang w:val="en-US"/>
        </w:rPr>
        <w:t xml:space="preserve"> variant carriers to generate prevalence estimates </w:t>
      </w:r>
      <w:r w:rsidR="007F630A">
        <w:rPr>
          <w:rFonts w:ascii="Cambria" w:hAnsi="Cambria"/>
          <w:color w:val="000000" w:themeColor="text1"/>
          <w:lang w:val="en-US"/>
        </w:rPr>
        <w:t xml:space="preserve">(random-effects, generalized linear mixed model fitted to logit-transformed proportions with ML variance estimator, package </w:t>
      </w:r>
      <w:r w:rsidR="007F630A" w:rsidRPr="007F630A">
        <w:rPr>
          <w:rFonts w:ascii="Cambria" w:hAnsi="Cambria"/>
          <w:i/>
          <w:color w:val="000000" w:themeColor="text1"/>
          <w:lang w:val="en-US"/>
        </w:rPr>
        <w:t>meta</w:t>
      </w:r>
      <w:r w:rsidR="007F630A">
        <w:rPr>
          <w:rFonts w:ascii="Cambria" w:hAnsi="Cambria"/>
          <w:color w:val="000000" w:themeColor="text1"/>
          <w:lang w:val="en-US"/>
        </w:rPr>
        <w:t xml:space="preserve"> in R [5]) </w:t>
      </w:r>
      <w:r w:rsidR="00966C17">
        <w:rPr>
          <w:rFonts w:ascii="Cambria" w:hAnsi="Cambria"/>
          <w:color w:val="000000" w:themeColor="text1"/>
          <w:lang w:val="en-US"/>
        </w:rPr>
        <w:t>need</w:t>
      </w:r>
      <w:r w:rsidR="003362F3">
        <w:rPr>
          <w:rFonts w:ascii="Cambria" w:hAnsi="Cambria"/>
          <w:color w:val="000000" w:themeColor="text1"/>
          <w:lang w:val="en-US"/>
        </w:rPr>
        <w:t>ed</w:t>
      </w:r>
      <w:r w:rsidR="00966C17">
        <w:rPr>
          <w:rFonts w:ascii="Cambria" w:hAnsi="Cambria"/>
          <w:color w:val="000000" w:themeColor="text1"/>
          <w:lang w:val="en-US"/>
        </w:rPr>
        <w:t xml:space="preserve"> for </w:t>
      </w:r>
      <w:r w:rsidR="007F630A">
        <w:rPr>
          <w:rFonts w:ascii="Cambria" w:hAnsi="Cambria"/>
          <w:color w:val="000000" w:themeColor="text1"/>
          <w:lang w:val="en-US"/>
        </w:rPr>
        <w:t>the sensitivity analysis</w:t>
      </w:r>
      <w:r w:rsidR="00966C17">
        <w:rPr>
          <w:rFonts w:ascii="Cambria" w:hAnsi="Cambria"/>
          <w:color w:val="000000" w:themeColor="text1"/>
          <w:lang w:val="en-US"/>
        </w:rPr>
        <w:t xml:space="preserve">. </w:t>
      </w:r>
      <w:r w:rsidR="00786C43">
        <w:rPr>
          <w:rFonts w:ascii="Cambria" w:hAnsi="Cambria"/>
          <w:color w:val="000000" w:themeColor="text1"/>
          <w:lang w:val="en-US"/>
        </w:rPr>
        <w:t xml:space="preserve">We “treated” GMRs and ROMs as relative risks, and calculated bias-adjusted GMRs at different levels of confounder effects using package </w:t>
      </w:r>
      <w:proofErr w:type="spellStart"/>
      <w:r w:rsidR="00786C43" w:rsidRPr="00786C43">
        <w:rPr>
          <w:rFonts w:ascii="Cambria" w:hAnsi="Cambria"/>
          <w:i/>
          <w:color w:val="000000" w:themeColor="text1"/>
          <w:lang w:val="en-US"/>
        </w:rPr>
        <w:t>episensr</w:t>
      </w:r>
      <w:proofErr w:type="spellEnd"/>
      <w:r w:rsidR="00786C43">
        <w:rPr>
          <w:rFonts w:ascii="Cambria" w:hAnsi="Cambria"/>
          <w:color w:val="000000" w:themeColor="text1"/>
          <w:lang w:val="en-US"/>
        </w:rPr>
        <w:t xml:space="preserve"> in R [</w:t>
      </w:r>
      <w:r w:rsidR="00497A6C">
        <w:rPr>
          <w:rFonts w:ascii="Cambria" w:hAnsi="Cambria"/>
          <w:color w:val="000000" w:themeColor="text1"/>
          <w:lang w:val="en-US"/>
        </w:rPr>
        <w:t>7</w:t>
      </w:r>
      <w:r w:rsidR="00786C43">
        <w:rPr>
          <w:rFonts w:ascii="Cambria" w:hAnsi="Cambria"/>
          <w:color w:val="000000" w:themeColor="text1"/>
          <w:lang w:val="en-US"/>
        </w:rPr>
        <w:t>].</w:t>
      </w:r>
    </w:p>
    <w:p w14:paraId="0E355739" w14:textId="09D510C6" w:rsidR="00C04516" w:rsidRDefault="00C04516" w:rsidP="001414DE">
      <w:pPr>
        <w:spacing w:after="0" w:line="360" w:lineRule="auto"/>
        <w:rPr>
          <w:rFonts w:ascii="Cambria" w:hAnsi="Cambria"/>
          <w:lang w:val="en-US"/>
        </w:rPr>
      </w:pPr>
    </w:p>
    <w:p w14:paraId="00268FE1" w14:textId="4FB81647" w:rsidR="00DC5D07" w:rsidRPr="00A9796C" w:rsidRDefault="00A9796C" w:rsidP="001414DE">
      <w:pPr>
        <w:spacing w:after="0" w:line="360" w:lineRule="auto"/>
        <w:rPr>
          <w:rFonts w:ascii="Cambria" w:hAnsi="Cambria"/>
          <w:b/>
          <w:lang w:val="en-US"/>
        </w:rPr>
      </w:pPr>
      <w:r w:rsidRPr="00A9796C">
        <w:rPr>
          <w:rFonts w:ascii="Cambria" w:hAnsi="Cambria"/>
          <w:b/>
          <w:lang w:val="en-US"/>
        </w:rPr>
        <w:t>References</w:t>
      </w:r>
    </w:p>
    <w:p w14:paraId="134747C1" w14:textId="77777777" w:rsidR="00C40D87" w:rsidRDefault="006D2C83" w:rsidP="00C40D87">
      <w:pPr>
        <w:pStyle w:val="ListParagraph"/>
        <w:numPr>
          <w:ilvl w:val="0"/>
          <w:numId w:val="10"/>
        </w:numPr>
        <w:spacing w:after="0" w:line="360" w:lineRule="auto"/>
        <w:ind w:left="357" w:hanging="357"/>
        <w:rPr>
          <w:rFonts w:ascii="Cambria" w:hAnsi="Cambria"/>
          <w:lang w:val="en-US"/>
        </w:rPr>
      </w:pPr>
      <w:proofErr w:type="spellStart"/>
      <w:r w:rsidRPr="00EE2836">
        <w:rPr>
          <w:rFonts w:ascii="Cambria" w:hAnsi="Cambria"/>
          <w:lang w:val="en-US"/>
        </w:rPr>
        <w:t>VanderWeele</w:t>
      </w:r>
      <w:proofErr w:type="spellEnd"/>
      <w:r w:rsidRPr="00EE2836">
        <w:rPr>
          <w:rFonts w:ascii="Cambria" w:hAnsi="Cambria"/>
          <w:lang w:val="en-US"/>
        </w:rPr>
        <w:t xml:space="preserve"> TJ, Ding P. Sensitivity analysis in observational research: introducing the E-value. Ann Intern Med 2017; 167: 268-274.</w:t>
      </w:r>
    </w:p>
    <w:p w14:paraId="2BA6DAE1" w14:textId="63AA09D2" w:rsidR="00C40D87" w:rsidRPr="00497A6C" w:rsidRDefault="00C40D87" w:rsidP="00C40D87">
      <w:pPr>
        <w:pStyle w:val="ListParagraph"/>
        <w:numPr>
          <w:ilvl w:val="0"/>
          <w:numId w:val="10"/>
        </w:numPr>
        <w:spacing w:after="0" w:line="360" w:lineRule="auto"/>
        <w:ind w:left="357" w:hanging="357"/>
        <w:rPr>
          <w:rFonts w:ascii="Cambria" w:hAnsi="Cambria"/>
          <w:lang w:val="en-US"/>
        </w:rPr>
      </w:pPr>
      <w:proofErr w:type="spellStart"/>
      <w:r w:rsidRPr="00C40D87">
        <w:rPr>
          <w:rFonts w:ascii="Cambria" w:hAnsi="Cambria"/>
        </w:rPr>
        <w:t>Dalla</w:t>
      </w:r>
      <w:proofErr w:type="spellEnd"/>
      <w:r w:rsidRPr="00C40D87">
        <w:rPr>
          <w:rFonts w:ascii="Cambria" w:hAnsi="Cambria"/>
        </w:rPr>
        <w:t xml:space="preserve"> </w:t>
      </w:r>
      <w:proofErr w:type="spellStart"/>
      <w:r w:rsidRPr="00C40D87">
        <w:rPr>
          <w:rFonts w:ascii="Cambria" w:hAnsi="Cambria"/>
        </w:rPr>
        <w:t>Vecchia</w:t>
      </w:r>
      <w:proofErr w:type="spellEnd"/>
      <w:r w:rsidRPr="00C40D87">
        <w:rPr>
          <w:rFonts w:ascii="Cambria" w:hAnsi="Cambria"/>
        </w:rPr>
        <w:t xml:space="preserve"> </w:t>
      </w:r>
      <w:proofErr w:type="spellStart"/>
      <w:r w:rsidRPr="00C40D87">
        <w:rPr>
          <w:rFonts w:ascii="Cambria" w:hAnsi="Cambria"/>
        </w:rPr>
        <w:t>Genvigir</w:t>
      </w:r>
      <w:proofErr w:type="spellEnd"/>
      <w:r w:rsidRPr="00C40D87">
        <w:rPr>
          <w:rFonts w:ascii="Cambria" w:hAnsi="Cambria"/>
        </w:rPr>
        <w:t xml:space="preserve"> F, Cerda A, Dominguez Crespo Hirata T, Hirata MH, Dominguez Crespo Hirata R. Mycophenolic acid pharmacogenomics in kidney transplantation. J </w:t>
      </w:r>
      <w:proofErr w:type="spellStart"/>
      <w:r w:rsidRPr="00C40D87">
        <w:rPr>
          <w:rFonts w:ascii="Cambria" w:hAnsi="Cambria"/>
        </w:rPr>
        <w:t>Transl</w:t>
      </w:r>
      <w:proofErr w:type="spellEnd"/>
      <w:r w:rsidRPr="00C40D87">
        <w:rPr>
          <w:rFonts w:ascii="Cambria" w:hAnsi="Cambria"/>
        </w:rPr>
        <w:t xml:space="preserve"> </w:t>
      </w:r>
      <w:proofErr w:type="spellStart"/>
      <w:r w:rsidRPr="00C40D87">
        <w:rPr>
          <w:rFonts w:ascii="Cambria" w:hAnsi="Cambria"/>
        </w:rPr>
        <w:t>Genet</w:t>
      </w:r>
      <w:proofErr w:type="spellEnd"/>
      <w:r w:rsidRPr="00C40D87">
        <w:rPr>
          <w:rFonts w:ascii="Cambria" w:hAnsi="Cambria"/>
        </w:rPr>
        <w:t xml:space="preserve"> Genom 2020; 4:320-355.</w:t>
      </w:r>
    </w:p>
    <w:p w14:paraId="0D479688" w14:textId="1DF60736" w:rsidR="00497A6C" w:rsidRPr="00C40D87" w:rsidRDefault="00497A6C" w:rsidP="00C40D87">
      <w:pPr>
        <w:pStyle w:val="ListParagraph"/>
        <w:numPr>
          <w:ilvl w:val="0"/>
          <w:numId w:val="10"/>
        </w:numPr>
        <w:spacing w:after="0" w:line="360" w:lineRule="auto"/>
        <w:ind w:left="357" w:hanging="357"/>
        <w:rPr>
          <w:rFonts w:ascii="Cambria" w:hAnsi="Cambria"/>
          <w:lang w:val="en-US"/>
        </w:rPr>
      </w:pPr>
      <w:proofErr w:type="spellStart"/>
      <w:r>
        <w:rPr>
          <w:rFonts w:ascii="Cambria" w:hAnsi="Cambria"/>
        </w:rPr>
        <w:t>Takuathung</w:t>
      </w:r>
      <w:proofErr w:type="spellEnd"/>
      <w:r>
        <w:rPr>
          <w:rFonts w:ascii="Cambria" w:hAnsi="Cambria"/>
        </w:rPr>
        <w:t xml:space="preserve"> MN, </w:t>
      </w:r>
      <w:proofErr w:type="spellStart"/>
      <w:r>
        <w:rPr>
          <w:rFonts w:ascii="Cambria" w:hAnsi="Cambria"/>
        </w:rPr>
        <w:t>Sakuludomkan</w:t>
      </w:r>
      <w:proofErr w:type="spellEnd"/>
      <w:r>
        <w:rPr>
          <w:rFonts w:ascii="Cambria" w:hAnsi="Cambria"/>
        </w:rPr>
        <w:t xml:space="preserve"> W, </w:t>
      </w:r>
      <w:proofErr w:type="spellStart"/>
      <w:r>
        <w:rPr>
          <w:rFonts w:ascii="Cambria" w:hAnsi="Cambria"/>
        </w:rPr>
        <w:t>Koonrungsesomboon</w:t>
      </w:r>
      <w:proofErr w:type="spellEnd"/>
      <w:r>
        <w:rPr>
          <w:rFonts w:ascii="Cambria" w:hAnsi="Cambria"/>
        </w:rPr>
        <w:t xml:space="preserve"> N. </w:t>
      </w:r>
      <w:proofErr w:type="spellStart"/>
      <w:r>
        <w:rPr>
          <w:rFonts w:ascii="Cambria" w:hAnsi="Cambria"/>
        </w:rPr>
        <w:t>The</w:t>
      </w:r>
      <w:proofErr w:type="spellEnd"/>
      <w:r>
        <w:rPr>
          <w:rFonts w:ascii="Cambria" w:hAnsi="Cambria"/>
        </w:rPr>
        <w:t xml:space="preserve"> </w:t>
      </w:r>
      <w:proofErr w:type="spellStart"/>
      <w:r>
        <w:rPr>
          <w:rFonts w:ascii="Cambria" w:hAnsi="Cambria"/>
        </w:rPr>
        <w:t>impact</w:t>
      </w:r>
      <w:proofErr w:type="spellEnd"/>
      <w:r>
        <w:rPr>
          <w:rFonts w:ascii="Cambria" w:hAnsi="Cambria"/>
        </w:rPr>
        <w:t xml:space="preserve"> of </w:t>
      </w:r>
      <w:proofErr w:type="spellStart"/>
      <w:r>
        <w:rPr>
          <w:rFonts w:ascii="Cambria" w:hAnsi="Cambria"/>
        </w:rPr>
        <w:t>genetic</w:t>
      </w:r>
      <w:proofErr w:type="spellEnd"/>
      <w:r>
        <w:rPr>
          <w:rFonts w:ascii="Cambria" w:hAnsi="Cambria"/>
        </w:rPr>
        <w:t xml:space="preserve"> </w:t>
      </w:r>
      <w:proofErr w:type="spellStart"/>
      <w:r>
        <w:rPr>
          <w:rFonts w:ascii="Cambria" w:hAnsi="Cambria"/>
        </w:rPr>
        <w:t>polymorphisms</w:t>
      </w:r>
      <w:proofErr w:type="spellEnd"/>
      <w:r>
        <w:rPr>
          <w:rFonts w:ascii="Cambria" w:hAnsi="Cambria"/>
        </w:rPr>
        <w:t xml:space="preserve"> on </w:t>
      </w:r>
      <w:proofErr w:type="spellStart"/>
      <w:r>
        <w:rPr>
          <w:rFonts w:ascii="Cambria" w:hAnsi="Cambria"/>
        </w:rPr>
        <w:t>the</w:t>
      </w:r>
      <w:proofErr w:type="spellEnd"/>
      <w:r>
        <w:rPr>
          <w:rFonts w:ascii="Cambria" w:hAnsi="Cambria"/>
        </w:rPr>
        <w:t xml:space="preserve"> </w:t>
      </w:r>
      <w:proofErr w:type="spellStart"/>
      <w:r>
        <w:rPr>
          <w:rFonts w:ascii="Cambria" w:hAnsi="Cambria"/>
        </w:rPr>
        <w:t>pharmacokinetics</w:t>
      </w:r>
      <w:proofErr w:type="spellEnd"/>
      <w:r>
        <w:rPr>
          <w:rFonts w:ascii="Cambria" w:hAnsi="Cambria"/>
        </w:rPr>
        <w:t xml:space="preserve"> and </w:t>
      </w:r>
      <w:proofErr w:type="spellStart"/>
      <w:r>
        <w:rPr>
          <w:rFonts w:ascii="Cambria" w:hAnsi="Cambria"/>
        </w:rPr>
        <w:t>pharmacodynamics</w:t>
      </w:r>
      <w:proofErr w:type="spellEnd"/>
      <w:r>
        <w:rPr>
          <w:rFonts w:ascii="Cambria" w:hAnsi="Cambria"/>
        </w:rPr>
        <w:t xml:space="preserve"> of </w:t>
      </w:r>
      <w:proofErr w:type="spellStart"/>
      <w:r>
        <w:rPr>
          <w:rFonts w:ascii="Cambria" w:hAnsi="Cambria"/>
        </w:rPr>
        <w:t>mycophenolic</w:t>
      </w:r>
      <w:proofErr w:type="spellEnd"/>
      <w:r>
        <w:rPr>
          <w:rFonts w:ascii="Cambria" w:hAnsi="Cambria"/>
        </w:rPr>
        <w:t xml:space="preserve"> </w:t>
      </w:r>
      <w:proofErr w:type="spellStart"/>
      <w:r>
        <w:rPr>
          <w:rFonts w:ascii="Cambria" w:hAnsi="Cambria"/>
        </w:rPr>
        <w:t>acid</w:t>
      </w:r>
      <w:proofErr w:type="spellEnd"/>
      <w:r>
        <w:rPr>
          <w:rFonts w:ascii="Cambria" w:hAnsi="Cambria"/>
        </w:rPr>
        <w:t xml:space="preserve">: </w:t>
      </w:r>
      <w:proofErr w:type="spellStart"/>
      <w:r>
        <w:rPr>
          <w:rFonts w:ascii="Cambria" w:hAnsi="Cambria"/>
        </w:rPr>
        <w:t>systematic</w:t>
      </w:r>
      <w:proofErr w:type="spellEnd"/>
      <w:r>
        <w:rPr>
          <w:rFonts w:ascii="Cambria" w:hAnsi="Cambria"/>
        </w:rPr>
        <w:t xml:space="preserve"> </w:t>
      </w:r>
      <w:proofErr w:type="spellStart"/>
      <w:r>
        <w:rPr>
          <w:rFonts w:ascii="Cambria" w:hAnsi="Cambria"/>
        </w:rPr>
        <w:t>review</w:t>
      </w:r>
      <w:proofErr w:type="spellEnd"/>
      <w:r>
        <w:rPr>
          <w:rFonts w:ascii="Cambria" w:hAnsi="Cambria"/>
        </w:rPr>
        <w:t xml:space="preserve"> and meta-</w:t>
      </w:r>
      <w:proofErr w:type="spellStart"/>
      <w:r>
        <w:rPr>
          <w:rFonts w:ascii="Cambria" w:hAnsi="Cambria"/>
        </w:rPr>
        <w:t>analysis</w:t>
      </w:r>
      <w:proofErr w:type="spellEnd"/>
      <w:r>
        <w:rPr>
          <w:rFonts w:ascii="Cambria" w:hAnsi="Cambria"/>
        </w:rPr>
        <w:t xml:space="preserve">. </w:t>
      </w:r>
      <w:proofErr w:type="spellStart"/>
      <w:r>
        <w:rPr>
          <w:rFonts w:ascii="Cambria" w:hAnsi="Cambria"/>
        </w:rPr>
        <w:t>Clin</w:t>
      </w:r>
      <w:proofErr w:type="spellEnd"/>
      <w:r>
        <w:rPr>
          <w:rFonts w:ascii="Cambria" w:hAnsi="Cambria"/>
        </w:rPr>
        <w:t xml:space="preserve"> </w:t>
      </w:r>
      <w:proofErr w:type="spellStart"/>
      <w:r>
        <w:rPr>
          <w:rFonts w:ascii="Cambria" w:hAnsi="Cambria"/>
        </w:rPr>
        <w:t>Pharmacokinet</w:t>
      </w:r>
      <w:proofErr w:type="spellEnd"/>
      <w:r>
        <w:rPr>
          <w:rFonts w:ascii="Cambria" w:hAnsi="Cambria"/>
        </w:rPr>
        <w:t xml:space="preserve"> 2021; 60:1291-1302.</w:t>
      </w:r>
    </w:p>
    <w:p w14:paraId="20A3B0BD" w14:textId="2BE86579" w:rsidR="002C181C" w:rsidRPr="00EE2836" w:rsidRDefault="001B58EA" w:rsidP="002B7B35">
      <w:pPr>
        <w:pStyle w:val="ListParagraph"/>
        <w:numPr>
          <w:ilvl w:val="0"/>
          <w:numId w:val="10"/>
        </w:numPr>
        <w:spacing w:after="0" w:line="360" w:lineRule="auto"/>
        <w:ind w:left="357" w:hanging="357"/>
        <w:rPr>
          <w:rFonts w:ascii="Cambria" w:hAnsi="Cambria"/>
          <w:lang w:val="en-US"/>
        </w:rPr>
      </w:pPr>
      <w:proofErr w:type="spellStart"/>
      <w:r w:rsidRPr="00EE2836">
        <w:rPr>
          <w:rFonts w:ascii="Cambria" w:hAnsi="Cambria"/>
          <w:lang w:val="en-US"/>
        </w:rPr>
        <w:t>Schneeweiss</w:t>
      </w:r>
      <w:proofErr w:type="spellEnd"/>
      <w:r w:rsidRPr="00EE2836">
        <w:rPr>
          <w:rFonts w:ascii="Cambria" w:hAnsi="Cambria"/>
          <w:lang w:val="en-US"/>
        </w:rPr>
        <w:t xml:space="preserve"> S. Sensitivity analysis and external adjustment for unmeasured confounders in epidemiological database studies of therapeutics. </w:t>
      </w:r>
      <w:proofErr w:type="spellStart"/>
      <w:r w:rsidRPr="00EE2836">
        <w:rPr>
          <w:rFonts w:ascii="Cambria" w:hAnsi="Cambria"/>
          <w:lang w:val="en-US"/>
        </w:rPr>
        <w:t>Pharmacoepidemol</w:t>
      </w:r>
      <w:proofErr w:type="spellEnd"/>
      <w:r w:rsidRPr="00EE2836">
        <w:rPr>
          <w:rFonts w:ascii="Cambria" w:hAnsi="Cambria"/>
          <w:lang w:val="en-US"/>
        </w:rPr>
        <w:t xml:space="preserve"> Drug </w:t>
      </w:r>
      <w:proofErr w:type="spellStart"/>
      <w:r w:rsidRPr="00EE2836">
        <w:rPr>
          <w:rFonts w:ascii="Cambria" w:hAnsi="Cambria"/>
          <w:lang w:val="en-US"/>
        </w:rPr>
        <w:t>Saf</w:t>
      </w:r>
      <w:proofErr w:type="spellEnd"/>
      <w:r w:rsidRPr="00EE2836">
        <w:rPr>
          <w:rFonts w:ascii="Cambria" w:hAnsi="Cambria"/>
          <w:lang w:val="en-US"/>
        </w:rPr>
        <w:t xml:space="preserve"> 2006; 15:291-303.</w:t>
      </w:r>
    </w:p>
    <w:p w14:paraId="5F8FB37F" w14:textId="77777777" w:rsidR="009E4E65" w:rsidRPr="00EE2836" w:rsidRDefault="009E4E65" w:rsidP="009E4E65">
      <w:pPr>
        <w:pStyle w:val="ListParagraph"/>
        <w:numPr>
          <w:ilvl w:val="0"/>
          <w:numId w:val="10"/>
        </w:numPr>
        <w:spacing w:after="0" w:line="360" w:lineRule="auto"/>
        <w:ind w:left="357" w:hanging="357"/>
        <w:rPr>
          <w:rFonts w:ascii="Cambria" w:hAnsi="Cambria"/>
          <w:lang w:val="en-US"/>
        </w:rPr>
      </w:pPr>
      <w:proofErr w:type="spellStart"/>
      <w:r w:rsidRPr="00EE2836">
        <w:rPr>
          <w:rFonts w:ascii="Cambria" w:hAnsi="Cambria"/>
          <w:lang w:val="en-US"/>
        </w:rPr>
        <w:t>Balduzzi</w:t>
      </w:r>
      <w:proofErr w:type="spellEnd"/>
      <w:r w:rsidRPr="00EE2836">
        <w:rPr>
          <w:rFonts w:ascii="Cambria" w:hAnsi="Cambria"/>
          <w:lang w:val="en-US"/>
        </w:rPr>
        <w:t xml:space="preserve"> S, </w:t>
      </w:r>
      <w:proofErr w:type="spellStart"/>
      <w:r w:rsidRPr="00EE2836">
        <w:rPr>
          <w:rFonts w:ascii="Cambria" w:hAnsi="Cambria"/>
          <w:lang w:val="en-US"/>
        </w:rPr>
        <w:t>Rücker</w:t>
      </w:r>
      <w:proofErr w:type="spellEnd"/>
      <w:r w:rsidRPr="00EE2836">
        <w:rPr>
          <w:rFonts w:ascii="Cambria" w:hAnsi="Cambria"/>
          <w:lang w:val="en-US"/>
        </w:rPr>
        <w:t xml:space="preserve"> G, </w:t>
      </w:r>
      <w:proofErr w:type="spellStart"/>
      <w:r w:rsidRPr="00EE2836">
        <w:rPr>
          <w:rFonts w:ascii="Cambria" w:hAnsi="Cambria"/>
          <w:lang w:val="en-US"/>
        </w:rPr>
        <w:t>Schwarzer</w:t>
      </w:r>
      <w:proofErr w:type="spellEnd"/>
      <w:r w:rsidRPr="00EE2836">
        <w:rPr>
          <w:rFonts w:ascii="Cambria" w:hAnsi="Cambria"/>
          <w:lang w:val="en-US"/>
        </w:rPr>
        <w:t xml:space="preserve"> G. How to perform a meta-analysis with R: a practical tutorial. </w:t>
      </w:r>
      <w:proofErr w:type="spellStart"/>
      <w:r w:rsidRPr="00EE2836">
        <w:rPr>
          <w:rFonts w:ascii="Cambria" w:hAnsi="Cambria"/>
          <w:iCs/>
          <w:lang w:val="en-US"/>
        </w:rPr>
        <w:t>Evid</w:t>
      </w:r>
      <w:proofErr w:type="spellEnd"/>
      <w:r w:rsidRPr="00EE2836">
        <w:rPr>
          <w:rFonts w:ascii="Cambria" w:hAnsi="Cambria"/>
          <w:iCs/>
          <w:lang w:val="en-US"/>
        </w:rPr>
        <w:t xml:space="preserve"> Based </w:t>
      </w:r>
      <w:proofErr w:type="spellStart"/>
      <w:r w:rsidRPr="00EE2836">
        <w:rPr>
          <w:rFonts w:ascii="Cambria" w:hAnsi="Cambria"/>
          <w:iCs/>
          <w:lang w:val="en-US"/>
        </w:rPr>
        <w:t>Ment</w:t>
      </w:r>
      <w:proofErr w:type="spellEnd"/>
      <w:r w:rsidRPr="00EE2836">
        <w:rPr>
          <w:rFonts w:ascii="Cambria" w:hAnsi="Cambria"/>
          <w:iCs/>
          <w:lang w:val="en-US"/>
        </w:rPr>
        <w:t xml:space="preserve"> Health</w:t>
      </w:r>
      <w:r w:rsidRPr="00EE2836">
        <w:rPr>
          <w:rFonts w:ascii="Cambria" w:hAnsi="Cambria"/>
          <w:lang w:val="en-US"/>
        </w:rPr>
        <w:t xml:space="preserve"> 2019</w:t>
      </w:r>
      <w:proofErr w:type="gramStart"/>
      <w:r w:rsidRPr="00EE2836">
        <w:rPr>
          <w:rFonts w:ascii="Cambria" w:hAnsi="Cambria"/>
          <w:lang w:val="en-US"/>
        </w:rPr>
        <w:t>;22:153</w:t>
      </w:r>
      <w:proofErr w:type="gramEnd"/>
      <w:r w:rsidRPr="00EE2836">
        <w:rPr>
          <w:rFonts w:ascii="Cambria" w:hAnsi="Cambria"/>
          <w:lang w:val="en-US"/>
        </w:rPr>
        <w:t>-160.</w:t>
      </w:r>
    </w:p>
    <w:p w14:paraId="26E5EBE6" w14:textId="77777777" w:rsidR="009E4E65" w:rsidRPr="00EE2836" w:rsidRDefault="009E4E65" w:rsidP="009E4E65">
      <w:pPr>
        <w:pStyle w:val="ListParagraph"/>
        <w:numPr>
          <w:ilvl w:val="0"/>
          <w:numId w:val="10"/>
        </w:numPr>
        <w:spacing w:after="0" w:line="360" w:lineRule="auto"/>
        <w:ind w:left="357" w:hanging="357"/>
        <w:rPr>
          <w:rFonts w:ascii="Cambria" w:hAnsi="Cambria"/>
          <w:lang w:val="en-US"/>
        </w:rPr>
      </w:pPr>
      <w:r w:rsidRPr="00EE2836">
        <w:rPr>
          <w:rFonts w:ascii="Cambria" w:hAnsi="Cambria"/>
          <w:lang w:val="en-US"/>
        </w:rPr>
        <w:t xml:space="preserve">Friedrich JO, </w:t>
      </w:r>
      <w:proofErr w:type="spellStart"/>
      <w:r w:rsidRPr="00EE2836">
        <w:rPr>
          <w:rFonts w:ascii="Cambria" w:hAnsi="Cambria"/>
          <w:lang w:val="en-US"/>
        </w:rPr>
        <w:t>Adhikari</w:t>
      </w:r>
      <w:proofErr w:type="spellEnd"/>
      <w:r w:rsidRPr="00EE2836">
        <w:rPr>
          <w:rFonts w:ascii="Cambria" w:hAnsi="Cambria"/>
          <w:lang w:val="en-US"/>
        </w:rPr>
        <w:t xml:space="preserve"> NKJ, </w:t>
      </w:r>
      <w:proofErr w:type="spellStart"/>
      <w:r w:rsidRPr="00EE2836">
        <w:rPr>
          <w:rFonts w:ascii="Cambria" w:hAnsi="Cambria"/>
          <w:lang w:val="en-US"/>
        </w:rPr>
        <w:t>Beyene</w:t>
      </w:r>
      <w:proofErr w:type="spellEnd"/>
      <w:r w:rsidRPr="00EE2836">
        <w:rPr>
          <w:rFonts w:ascii="Cambria" w:hAnsi="Cambria"/>
          <w:lang w:val="en-US"/>
        </w:rPr>
        <w:t xml:space="preserve"> J. The ratio of means method as an alternative to mean differences for analyzing continuous outcome variables in meta-analysis: a simulation study. BMC Med Res Methodology 2008; 8:32 </w:t>
      </w:r>
      <w:proofErr w:type="spellStart"/>
      <w:r w:rsidRPr="00EE2836">
        <w:rPr>
          <w:rFonts w:ascii="Cambria" w:hAnsi="Cambria"/>
          <w:lang w:val="en-US"/>
        </w:rPr>
        <w:t>doi</w:t>
      </w:r>
      <w:proofErr w:type="spellEnd"/>
      <w:r w:rsidRPr="00EE2836">
        <w:rPr>
          <w:rFonts w:ascii="Cambria" w:hAnsi="Cambria"/>
          <w:lang w:val="en-US"/>
        </w:rPr>
        <w:t>: 10.1186/1471-2288-8-32.</w:t>
      </w:r>
    </w:p>
    <w:p w14:paraId="07D818F4" w14:textId="481E54DB" w:rsidR="00A9796C" w:rsidRPr="00497A6C" w:rsidRDefault="001B58EA" w:rsidP="00096590">
      <w:pPr>
        <w:pStyle w:val="ListParagraph"/>
        <w:numPr>
          <w:ilvl w:val="0"/>
          <w:numId w:val="10"/>
        </w:numPr>
        <w:spacing w:after="0" w:line="360" w:lineRule="auto"/>
        <w:ind w:left="357" w:hanging="357"/>
        <w:rPr>
          <w:rFonts w:ascii="Cambria" w:hAnsi="Cambria"/>
          <w:lang w:val="en-US"/>
        </w:rPr>
      </w:pPr>
      <w:proofErr w:type="spellStart"/>
      <w:r w:rsidRPr="00497A6C">
        <w:rPr>
          <w:rFonts w:ascii="Cambria" w:hAnsi="Cambria"/>
          <w:lang w:val="en-US"/>
        </w:rPr>
        <w:t>Haine</w:t>
      </w:r>
      <w:proofErr w:type="spellEnd"/>
      <w:r w:rsidRPr="00497A6C">
        <w:rPr>
          <w:rFonts w:ascii="Cambria" w:hAnsi="Cambria"/>
          <w:lang w:val="en-US"/>
        </w:rPr>
        <w:t xml:space="preserve"> D. The </w:t>
      </w:r>
      <w:proofErr w:type="spellStart"/>
      <w:r w:rsidRPr="00497A6C">
        <w:rPr>
          <w:rFonts w:ascii="Cambria" w:hAnsi="Cambria"/>
          <w:lang w:val="en-US"/>
        </w:rPr>
        <w:t>episensr</w:t>
      </w:r>
      <w:proofErr w:type="spellEnd"/>
      <w:r w:rsidRPr="00497A6C">
        <w:rPr>
          <w:rFonts w:ascii="Cambria" w:hAnsi="Cambria"/>
          <w:lang w:val="en-US"/>
        </w:rPr>
        <w:t xml:space="preserve"> package: basic sensitivity analysis of epidemiological results. </w:t>
      </w:r>
      <w:proofErr w:type="spellStart"/>
      <w:r w:rsidRPr="00497A6C">
        <w:rPr>
          <w:rFonts w:ascii="Cambria" w:hAnsi="Cambria"/>
          <w:lang w:val="en-US"/>
        </w:rPr>
        <w:t>doi</w:t>
      </w:r>
      <w:proofErr w:type="spellEnd"/>
      <w:r w:rsidRPr="00497A6C">
        <w:rPr>
          <w:rFonts w:ascii="Cambria" w:hAnsi="Cambria"/>
          <w:lang w:val="en-US"/>
        </w:rPr>
        <w:t xml:space="preserve">: 10.5281/zenodo.4554553, R package version 1.1.0, </w:t>
      </w:r>
      <w:hyperlink r:id="rId12" w:history="1">
        <w:r w:rsidRPr="00497A6C">
          <w:rPr>
            <w:rStyle w:val="Hyperlink"/>
            <w:rFonts w:ascii="Cambria" w:hAnsi="Cambria"/>
            <w:lang w:val="en-US"/>
          </w:rPr>
          <w:t>https://dhaine.github.io/episensr</w:t>
        </w:r>
      </w:hyperlink>
      <w:r w:rsidR="00A9796C" w:rsidRPr="00497A6C">
        <w:rPr>
          <w:rFonts w:ascii="Cambria" w:hAnsi="Cambria"/>
          <w:lang w:val="en-US"/>
        </w:rPr>
        <w:br w:type="page"/>
      </w:r>
    </w:p>
    <w:p w14:paraId="65DB142F" w14:textId="74CE9FD9" w:rsidR="00A9796C" w:rsidRPr="00E926E4" w:rsidRDefault="00A9796C" w:rsidP="00A9796C">
      <w:pPr>
        <w:pStyle w:val="BodyText"/>
        <w:spacing w:before="0" w:after="240" w:line="360" w:lineRule="auto"/>
        <w:jc w:val="left"/>
        <w:rPr>
          <w:rFonts w:ascii="Cambria" w:hAnsi="Cambria"/>
          <w:b/>
          <w:color w:val="000000" w:themeColor="text1"/>
          <w:sz w:val="24"/>
          <w:szCs w:val="24"/>
          <w:lang w:val="hr-HR"/>
        </w:rPr>
      </w:pPr>
      <w:r w:rsidRPr="00A65DF6">
        <w:rPr>
          <w:rFonts w:ascii="Cambria" w:hAnsi="Cambria"/>
          <w:b/>
          <w:color w:val="00B0F0"/>
          <w:sz w:val="24"/>
          <w:szCs w:val="24"/>
        </w:rPr>
        <w:lastRenderedPageBreak/>
        <w:t xml:space="preserve">Supplemental Results </w:t>
      </w:r>
      <w:r w:rsidRPr="00A65DF6">
        <w:rPr>
          <w:rFonts w:ascii="Cambria" w:hAnsi="Cambria"/>
          <w:b/>
          <w:color w:val="000000" w:themeColor="text1"/>
          <w:sz w:val="24"/>
          <w:szCs w:val="24"/>
        </w:rPr>
        <w:t xml:space="preserve">– </w:t>
      </w:r>
      <w:r w:rsidR="00BB57C2">
        <w:rPr>
          <w:rFonts w:ascii="Cambria" w:hAnsi="Cambria"/>
          <w:b/>
          <w:color w:val="000000" w:themeColor="text1"/>
          <w:sz w:val="24"/>
          <w:szCs w:val="24"/>
        </w:rPr>
        <w:t>Sensitivity analysis (</w:t>
      </w:r>
      <w:r w:rsidRPr="00A65DF6">
        <w:rPr>
          <w:rFonts w:ascii="Cambria" w:hAnsi="Cambria"/>
          <w:b/>
          <w:color w:val="000000" w:themeColor="text1"/>
          <w:sz w:val="24"/>
          <w:szCs w:val="24"/>
        </w:rPr>
        <w:t>Figure</w:t>
      </w:r>
      <w:r w:rsidR="00BB57C2">
        <w:rPr>
          <w:rFonts w:ascii="Cambria" w:hAnsi="Cambria"/>
          <w:b/>
          <w:color w:val="000000" w:themeColor="text1"/>
          <w:sz w:val="24"/>
          <w:szCs w:val="24"/>
        </w:rPr>
        <w:t>s</w:t>
      </w:r>
      <w:r w:rsidRPr="00A65DF6">
        <w:rPr>
          <w:rFonts w:ascii="Cambria" w:hAnsi="Cambria"/>
          <w:b/>
          <w:color w:val="000000" w:themeColor="text1"/>
          <w:sz w:val="24"/>
          <w:szCs w:val="24"/>
        </w:rPr>
        <w:t xml:space="preserve"> S2</w:t>
      </w:r>
      <w:r w:rsidR="00BB57C2">
        <w:rPr>
          <w:rFonts w:ascii="Cambria" w:hAnsi="Cambria"/>
          <w:b/>
          <w:color w:val="000000" w:themeColor="text1"/>
          <w:sz w:val="24"/>
          <w:szCs w:val="24"/>
        </w:rPr>
        <w:t>-</w:t>
      </w:r>
      <w:r w:rsidR="00B22C13">
        <w:rPr>
          <w:rFonts w:ascii="Cambria" w:hAnsi="Cambria"/>
          <w:b/>
          <w:color w:val="000000" w:themeColor="text1"/>
          <w:sz w:val="24"/>
          <w:szCs w:val="24"/>
        </w:rPr>
        <w:t>S4</w:t>
      </w:r>
      <w:r w:rsidR="00CF0BB5">
        <w:rPr>
          <w:rFonts w:ascii="Cambria" w:hAnsi="Cambria"/>
          <w:b/>
          <w:color w:val="000000" w:themeColor="text1"/>
          <w:sz w:val="24"/>
          <w:szCs w:val="24"/>
        </w:rPr>
        <w:t xml:space="preserve">, Table </w:t>
      </w:r>
      <w:proofErr w:type="gramStart"/>
      <w:r w:rsidR="00CF0BB5">
        <w:rPr>
          <w:rFonts w:ascii="Cambria" w:hAnsi="Cambria"/>
          <w:b/>
          <w:color w:val="000000" w:themeColor="text1"/>
          <w:sz w:val="24"/>
          <w:szCs w:val="24"/>
        </w:rPr>
        <w:t>S1</w:t>
      </w:r>
      <w:proofErr w:type="gramEnd"/>
      <w:r w:rsidR="00BB57C2">
        <w:rPr>
          <w:rFonts w:ascii="Cambria" w:hAnsi="Cambria"/>
          <w:b/>
          <w:color w:val="000000" w:themeColor="text1"/>
          <w:sz w:val="24"/>
          <w:szCs w:val="24"/>
        </w:rPr>
        <w:t xml:space="preserve"> and </w:t>
      </w:r>
      <w:r w:rsidR="00E442F6">
        <w:rPr>
          <w:rFonts w:ascii="Cambria" w:hAnsi="Cambria"/>
          <w:b/>
          <w:color w:val="000000" w:themeColor="text1"/>
          <w:sz w:val="24"/>
          <w:szCs w:val="24"/>
        </w:rPr>
        <w:t>S2</w:t>
      </w:r>
      <w:r w:rsidR="00BB57C2">
        <w:rPr>
          <w:rFonts w:ascii="Cambria" w:hAnsi="Cambria"/>
          <w:b/>
          <w:color w:val="000000" w:themeColor="text1"/>
          <w:sz w:val="24"/>
          <w:szCs w:val="24"/>
        </w:rPr>
        <w:t>)</w:t>
      </w:r>
    </w:p>
    <w:p w14:paraId="08F61F94" w14:textId="31437A9A" w:rsidR="00BB57C2" w:rsidRPr="00BB57C2" w:rsidRDefault="00BB57C2" w:rsidP="00BB57C2">
      <w:pPr>
        <w:pStyle w:val="ListParagraph"/>
        <w:spacing w:after="120" w:line="360" w:lineRule="auto"/>
        <w:ind w:left="0"/>
        <w:contextualSpacing w:val="0"/>
        <w:rPr>
          <w:rFonts w:ascii="Cambria" w:hAnsi="Cambria"/>
          <w:b/>
          <w:i/>
          <w:lang w:val="en-US"/>
        </w:rPr>
      </w:pPr>
      <w:r w:rsidRPr="00BB57C2">
        <w:rPr>
          <w:rFonts w:ascii="Cambria" w:hAnsi="Cambria"/>
          <w:b/>
          <w:i/>
          <w:lang w:val="en-US"/>
        </w:rPr>
        <w:t>Identification of unmeasured confounder effects and prevalence</w:t>
      </w:r>
    </w:p>
    <w:p w14:paraId="54E89AAA" w14:textId="12EF7F5F" w:rsidR="00B65BFD" w:rsidRPr="00A65DF6" w:rsidRDefault="00A65DF6" w:rsidP="00A9796C">
      <w:pPr>
        <w:pStyle w:val="ListParagraph"/>
        <w:spacing w:after="0" w:line="360" w:lineRule="auto"/>
        <w:ind w:left="0"/>
        <w:rPr>
          <w:rFonts w:ascii="Cambria" w:hAnsi="Cambria"/>
          <w:lang w:val="en-US"/>
        </w:rPr>
      </w:pPr>
      <w:r w:rsidRPr="00A65DF6">
        <w:rPr>
          <w:rFonts w:ascii="Cambria" w:hAnsi="Cambria"/>
          <w:lang w:val="en-US"/>
        </w:rPr>
        <w:t xml:space="preserve">We identified </w:t>
      </w:r>
      <w:r w:rsidR="002708C1">
        <w:rPr>
          <w:rFonts w:ascii="Cambria" w:hAnsi="Cambria"/>
          <w:lang w:val="en-US"/>
        </w:rPr>
        <w:t xml:space="preserve">4 </w:t>
      </w:r>
      <w:r w:rsidRPr="00A65DF6">
        <w:rPr>
          <w:rFonts w:ascii="Cambria" w:hAnsi="Cambria"/>
          <w:lang w:val="en-US"/>
        </w:rPr>
        <w:t xml:space="preserve">studies </w:t>
      </w:r>
      <w:r>
        <w:rPr>
          <w:rFonts w:ascii="Cambria" w:hAnsi="Cambria"/>
          <w:lang w:val="en-US"/>
        </w:rPr>
        <w:t>reporting total exposure to MPA over dosing interval at steady-state [AUC</w:t>
      </w:r>
      <w:r w:rsidRPr="00A65DF6">
        <w:rPr>
          <w:rFonts w:ascii="Cambria" w:hAnsi="Cambria"/>
          <w:vertAlign w:val="subscript"/>
          <w:lang w:val="en-US"/>
        </w:rPr>
        <w:t>0-12</w:t>
      </w:r>
      <w:r>
        <w:rPr>
          <w:rFonts w:ascii="Cambria" w:hAnsi="Cambria"/>
          <w:lang w:val="en-US"/>
        </w:rPr>
        <w:t xml:space="preserve"> (mg </w:t>
      </w:r>
      <w:r>
        <w:rPr>
          <w:rFonts w:ascii="Cambria" w:hAnsi="Cambria"/>
          <w:lang w:val="en-US"/>
        </w:rPr>
        <w:sym w:font="Symbol" w:char="F0B4"/>
      </w:r>
      <w:r>
        <w:rPr>
          <w:rFonts w:ascii="Cambria" w:hAnsi="Cambria"/>
          <w:lang w:val="en-US"/>
        </w:rPr>
        <w:t>h/L) calculated based on dose-adjusted MPA concentrations] in renal transplant patients</w:t>
      </w:r>
      <w:r w:rsidR="00C44B74">
        <w:rPr>
          <w:rFonts w:ascii="Cambria" w:hAnsi="Cambria"/>
          <w:lang w:val="en-US"/>
        </w:rPr>
        <w:t xml:space="preserve"> classified in respect to the </w:t>
      </w:r>
      <w:r w:rsidR="00C44B74" w:rsidRPr="00A65DF6">
        <w:rPr>
          <w:rFonts w:ascii="Cambria" w:hAnsi="Cambria"/>
          <w:i/>
          <w:lang w:val="en-US"/>
        </w:rPr>
        <w:t>SCLO1B3 c.334T&gt;G</w:t>
      </w:r>
      <w:r w:rsidR="00C44B74">
        <w:rPr>
          <w:rFonts w:ascii="Cambria" w:hAnsi="Cambria"/>
          <w:lang w:val="en-US"/>
        </w:rPr>
        <w:t xml:space="preserve"> SNP as combined TT/TG subjects vs. GG subjects</w:t>
      </w:r>
      <w:r>
        <w:rPr>
          <w:rFonts w:ascii="Cambria" w:hAnsi="Cambria"/>
          <w:lang w:val="en-US"/>
        </w:rPr>
        <w:t>: one French (Picard 2010 [1]) and one Dutch (</w:t>
      </w:r>
      <w:proofErr w:type="spellStart"/>
      <w:r>
        <w:rPr>
          <w:rFonts w:ascii="Cambria" w:hAnsi="Cambria"/>
          <w:lang w:val="en-US"/>
        </w:rPr>
        <w:t>Bouamar</w:t>
      </w:r>
      <w:proofErr w:type="spellEnd"/>
      <w:r>
        <w:rPr>
          <w:rFonts w:ascii="Cambria" w:hAnsi="Cambria"/>
          <w:lang w:val="en-US"/>
        </w:rPr>
        <w:t xml:space="preserve"> 2012 [2])</w:t>
      </w:r>
      <w:r w:rsidR="00714B81">
        <w:rPr>
          <w:rFonts w:ascii="Cambria" w:hAnsi="Cambria"/>
          <w:lang w:val="en-US"/>
        </w:rPr>
        <w:t xml:space="preserve"> study,</w:t>
      </w:r>
      <w:r>
        <w:rPr>
          <w:rFonts w:ascii="Cambria" w:hAnsi="Cambria"/>
          <w:lang w:val="en-US"/>
        </w:rPr>
        <w:t xml:space="preserve"> each reporting (separately) values in patients on IR MMF co-treated with either </w:t>
      </w:r>
      <w:proofErr w:type="spellStart"/>
      <w:r>
        <w:rPr>
          <w:rFonts w:ascii="Cambria" w:hAnsi="Cambria"/>
          <w:lang w:val="en-US"/>
        </w:rPr>
        <w:t>CsA</w:t>
      </w:r>
      <w:proofErr w:type="spellEnd"/>
      <w:r>
        <w:rPr>
          <w:rFonts w:ascii="Cambria" w:hAnsi="Cambria"/>
          <w:lang w:val="en-US"/>
        </w:rPr>
        <w:t xml:space="preserve"> or </w:t>
      </w:r>
      <w:proofErr w:type="spellStart"/>
      <w:r>
        <w:rPr>
          <w:rFonts w:ascii="Cambria" w:hAnsi="Cambria"/>
          <w:lang w:val="en-US"/>
        </w:rPr>
        <w:t>macrolactams</w:t>
      </w:r>
      <w:proofErr w:type="spellEnd"/>
      <w:r>
        <w:rPr>
          <w:rFonts w:ascii="Cambria" w:hAnsi="Cambria"/>
          <w:lang w:val="en-US"/>
        </w:rPr>
        <w:t xml:space="preserve"> (mostly tacrolimus, less commonly </w:t>
      </w:r>
      <w:proofErr w:type="spellStart"/>
      <w:r>
        <w:rPr>
          <w:rFonts w:ascii="Cambria" w:hAnsi="Cambria"/>
          <w:lang w:val="en-US"/>
        </w:rPr>
        <w:t>sirolimus</w:t>
      </w:r>
      <w:proofErr w:type="spellEnd"/>
      <w:r>
        <w:rPr>
          <w:rFonts w:ascii="Cambria" w:hAnsi="Cambria"/>
          <w:lang w:val="en-US"/>
        </w:rPr>
        <w:t>); one Chinese study (</w:t>
      </w:r>
      <w:proofErr w:type="spellStart"/>
      <w:r>
        <w:rPr>
          <w:rFonts w:ascii="Cambria" w:hAnsi="Cambria"/>
          <w:lang w:val="en-US"/>
        </w:rPr>
        <w:t>Geng</w:t>
      </w:r>
      <w:proofErr w:type="spellEnd"/>
      <w:r>
        <w:rPr>
          <w:rFonts w:ascii="Cambria" w:hAnsi="Cambria"/>
          <w:lang w:val="en-US"/>
        </w:rPr>
        <w:t xml:space="preserve"> 2012 [3]) in which IR MMF was combined with </w:t>
      </w:r>
      <w:proofErr w:type="spellStart"/>
      <w:r>
        <w:rPr>
          <w:rFonts w:ascii="Cambria" w:hAnsi="Cambria"/>
          <w:lang w:val="en-US"/>
        </w:rPr>
        <w:t>CsA</w:t>
      </w:r>
      <w:proofErr w:type="spellEnd"/>
      <w:r>
        <w:rPr>
          <w:rFonts w:ascii="Cambria" w:hAnsi="Cambria"/>
          <w:lang w:val="en-US"/>
        </w:rPr>
        <w:t>; and one Japanese study (Miura 2007 [4]) in which IR MMF was combined with tacrolimus. All values were crude, unadjusted mean</w:t>
      </w:r>
      <w:r>
        <w:rPr>
          <w:rFonts w:ascii="Cambria" w:hAnsi="Cambria"/>
          <w:lang w:val="en-US"/>
        </w:rPr>
        <w:sym w:font="Symbol" w:char="F0B1"/>
      </w:r>
      <w:r>
        <w:rPr>
          <w:rFonts w:ascii="Cambria" w:hAnsi="Cambria"/>
          <w:lang w:val="en-US"/>
        </w:rPr>
        <w:t>SD AUC</w:t>
      </w:r>
      <w:r w:rsidRPr="00A65DF6">
        <w:rPr>
          <w:rFonts w:ascii="Cambria" w:hAnsi="Cambria"/>
          <w:vertAlign w:val="subscript"/>
          <w:lang w:val="en-US"/>
        </w:rPr>
        <w:t>0-12</w:t>
      </w:r>
      <w:r>
        <w:rPr>
          <w:rFonts w:ascii="Cambria" w:hAnsi="Cambria"/>
          <w:lang w:val="en-US"/>
        </w:rPr>
        <w:t xml:space="preserve"> quantified at different post-transplantation times (Figure S2)</w:t>
      </w:r>
      <w:r w:rsidR="00576231">
        <w:rPr>
          <w:rFonts w:ascii="Cambria" w:hAnsi="Cambria"/>
          <w:lang w:val="en-US"/>
        </w:rPr>
        <w:t>.</w:t>
      </w:r>
    </w:p>
    <w:p w14:paraId="06CAD76F" w14:textId="2EB77765" w:rsidR="009964A4" w:rsidRPr="00A65DF6" w:rsidRDefault="009964A4" w:rsidP="00A9796C">
      <w:pPr>
        <w:spacing w:after="0" w:line="360" w:lineRule="auto"/>
        <w:rPr>
          <w:rFonts w:ascii="Cambria" w:hAnsi="Cambria"/>
          <w:lang w:val="en-US"/>
        </w:rPr>
      </w:pPr>
    </w:p>
    <w:p w14:paraId="4F6C2EC3" w14:textId="1ACF44DA" w:rsidR="009964A4" w:rsidRPr="00D674C0" w:rsidRDefault="00192F65" w:rsidP="00A9796C">
      <w:pPr>
        <w:spacing w:after="0" w:line="360" w:lineRule="auto"/>
        <w:rPr>
          <w:rFonts w:ascii="Cambria" w:hAnsi="Cambria"/>
          <w:lang w:val="en-US"/>
        </w:rPr>
      </w:pPr>
      <w:r>
        <w:rPr>
          <w:rFonts w:ascii="Cambria" w:hAnsi="Cambria"/>
          <w:noProof/>
          <w:lang w:val="en-US"/>
        </w:rPr>
        <w:drawing>
          <wp:inline distT="0" distB="0" distL="0" distR="0" wp14:anchorId="1C9126C1" wp14:editId="0D293804">
            <wp:extent cx="5760720" cy="2768600"/>
            <wp:effectExtent l="0" t="0" r="0" b="0"/>
            <wp:docPr id="5"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Borić Fig S2.TIF"/>
                    <pic:cNvPicPr/>
                  </pic:nvPicPr>
                  <pic:blipFill>
                    <a:blip r:embed="rId13" cstate="print">
                      <a:extLst>
                        <a:ext uri="{28A0092B-C50C-407E-A947-70E740481C1C}">
                          <a14:useLocalDpi xmlns:a14="http://schemas.microsoft.com/office/drawing/2010/main" val="0"/>
                        </a:ext>
                      </a:extLst>
                    </a:blip>
                    <a:stretch>
                      <a:fillRect/>
                    </a:stretch>
                  </pic:blipFill>
                  <pic:spPr>
                    <a:xfrm>
                      <a:off x="0" y="0"/>
                      <a:ext cx="5760720" cy="2768600"/>
                    </a:xfrm>
                    <a:prstGeom prst="rect">
                      <a:avLst/>
                    </a:prstGeom>
                  </pic:spPr>
                </pic:pic>
              </a:graphicData>
            </a:graphic>
          </wp:inline>
        </w:drawing>
      </w:r>
    </w:p>
    <w:p w14:paraId="47152973" w14:textId="1592B7E7" w:rsidR="009964A4" w:rsidRDefault="00235E72" w:rsidP="00A9796C">
      <w:pPr>
        <w:spacing w:after="0" w:line="360" w:lineRule="auto"/>
        <w:rPr>
          <w:rFonts w:ascii="Cambria" w:hAnsi="Cambria"/>
          <w:lang w:val="en-US"/>
        </w:rPr>
      </w:pPr>
      <w:r w:rsidRPr="00235E72">
        <w:rPr>
          <w:rFonts w:ascii="Cambria" w:hAnsi="Cambria"/>
          <w:b/>
          <w:lang w:val="en-US"/>
        </w:rPr>
        <w:t>Figure S2</w:t>
      </w:r>
      <w:r>
        <w:rPr>
          <w:rFonts w:ascii="Cambria" w:hAnsi="Cambria"/>
          <w:lang w:val="en-US"/>
        </w:rPr>
        <w:t xml:space="preserve">. Meta-analysis of studies reporting </w:t>
      </w:r>
      <w:r w:rsidR="00576231">
        <w:rPr>
          <w:rFonts w:ascii="Cambria" w:hAnsi="Cambria"/>
          <w:lang w:val="en-US"/>
        </w:rPr>
        <w:t>mean</w:t>
      </w:r>
      <w:r w:rsidR="00576231">
        <w:rPr>
          <w:rFonts w:ascii="Cambria" w:hAnsi="Cambria"/>
          <w:lang w:val="en-US"/>
        </w:rPr>
        <w:sym w:font="Symbol" w:char="F0B1"/>
      </w:r>
      <w:r w:rsidR="00576231">
        <w:rPr>
          <w:rFonts w:ascii="Cambria" w:hAnsi="Cambria"/>
          <w:lang w:val="en-US"/>
        </w:rPr>
        <w:t>SD MPA AUC</w:t>
      </w:r>
      <w:r w:rsidR="00576231" w:rsidRPr="00A65DF6">
        <w:rPr>
          <w:rFonts w:ascii="Cambria" w:hAnsi="Cambria"/>
          <w:vertAlign w:val="subscript"/>
          <w:lang w:val="en-US"/>
        </w:rPr>
        <w:t>0-12</w:t>
      </w:r>
      <w:r w:rsidR="00576231">
        <w:rPr>
          <w:rFonts w:ascii="Cambria" w:hAnsi="Cambria"/>
          <w:lang w:val="en-US"/>
        </w:rPr>
        <w:t xml:space="preserve"> at steady-state in renal transplant recipients treated with IR MMF and co-treated with </w:t>
      </w:r>
      <w:proofErr w:type="spellStart"/>
      <w:r w:rsidR="00576231">
        <w:rPr>
          <w:rFonts w:ascii="Cambria" w:hAnsi="Cambria"/>
          <w:lang w:val="en-US"/>
        </w:rPr>
        <w:t>CsA</w:t>
      </w:r>
      <w:proofErr w:type="spellEnd"/>
      <w:r w:rsidR="00576231">
        <w:rPr>
          <w:rFonts w:ascii="Cambria" w:hAnsi="Cambria"/>
          <w:lang w:val="en-US"/>
        </w:rPr>
        <w:t xml:space="preserve"> or </w:t>
      </w:r>
      <w:proofErr w:type="spellStart"/>
      <w:r w:rsidR="00576231">
        <w:rPr>
          <w:rFonts w:ascii="Cambria" w:hAnsi="Cambria"/>
          <w:lang w:val="en-US"/>
        </w:rPr>
        <w:t>macrolactams</w:t>
      </w:r>
      <w:proofErr w:type="spellEnd"/>
      <w:r w:rsidR="00576231">
        <w:rPr>
          <w:rFonts w:ascii="Cambria" w:hAnsi="Cambria"/>
          <w:lang w:val="en-US"/>
        </w:rPr>
        <w:t xml:space="preserve"> (tacrolimus or </w:t>
      </w:r>
      <w:proofErr w:type="spellStart"/>
      <w:r w:rsidR="00576231">
        <w:rPr>
          <w:rFonts w:ascii="Cambria" w:hAnsi="Cambria"/>
          <w:lang w:val="en-US"/>
        </w:rPr>
        <w:t>sirolimus</w:t>
      </w:r>
      <w:proofErr w:type="spellEnd"/>
      <w:r w:rsidR="00576231">
        <w:rPr>
          <w:rFonts w:ascii="Cambria" w:hAnsi="Cambria"/>
          <w:lang w:val="en-US"/>
        </w:rPr>
        <w:t>)</w:t>
      </w:r>
      <w:r w:rsidR="002D1E02">
        <w:rPr>
          <w:rFonts w:ascii="Cambria" w:hAnsi="Cambria"/>
          <w:lang w:val="en-US"/>
        </w:rPr>
        <w:t xml:space="preserve"> and genotyped for </w:t>
      </w:r>
      <w:r w:rsidR="002D1E02" w:rsidRPr="002D1E02">
        <w:rPr>
          <w:rFonts w:ascii="Cambria" w:hAnsi="Cambria"/>
          <w:i/>
          <w:lang w:val="en-US"/>
        </w:rPr>
        <w:t>SLCO1B3 c.334T&gt;G</w:t>
      </w:r>
      <w:r w:rsidR="002D1E02">
        <w:rPr>
          <w:rFonts w:ascii="Cambria" w:hAnsi="Cambria"/>
          <w:lang w:val="en-US"/>
        </w:rPr>
        <w:t xml:space="preserve"> SNP, classified as TT/TG vs. GG patients</w:t>
      </w:r>
      <w:r w:rsidR="00576231">
        <w:rPr>
          <w:rFonts w:ascii="Cambria" w:hAnsi="Cambria"/>
          <w:lang w:val="en-US"/>
        </w:rPr>
        <w:t>. The effect measure is ratio of means (ROM).</w:t>
      </w:r>
    </w:p>
    <w:p w14:paraId="683520C7" w14:textId="2605D4B3" w:rsidR="00576231" w:rsidRDefault="00576231" w:rsidP="00A9796C">
      <w:pPr>
        <w:spacing w:after="0" w:line="360" w:lineRule="auto"/>
        <w:rPr>
          <w:rFonts w:ascii="Cambria" w:hAnsi="Cambria"/>
          <w:lang w:val="en-US"/>
        </w:rPr>
      </w:pPr>
    </w:p>
    <w:p w14:paraId="48BD9704" w14:textId="77777777" w:rsidR="00576231" w:rsidRDefault="00576231" w:rsidP="00A9796C">
      <w:pPr>
        <w:spacing w:after="0" w:line="360" w:lineRule="auto"/>
        <w:rPr>
          <w:rFonts w:ascii="Cambria" w:hAnsi="Cambria"/>
          <w:lang w:val="en-US"/>
        </w:rPr>
      </w:pPr>
    </w:p>
    <w:p w14:paraId="2152AD14" w14:textId="50A708AE" w:rsidR="00576231" w:rsidRDefault="00576231" w:rsidP="00A9796C">
      <w:pPr>
        <w:spacing w:after="0" w:line="360" w:lineRule="auto"/>
        <w:rPr>
          <w:rFonts w:ascii="Cambria" w:hAnsi="Cambria"/>
          <w:lang w:val="en-US"/>
        </w:rPr>
      </w:pPr>
      <w:r>
        <w:rPr>
          <w:rFonts w:ascii="Cambria" w:hAnsi="Cambria"/>
          <w:lang w:val="en-US"/>
        </w:rPr>
        <w:t xml:space="preserve">In </w:t>
      </w:r>
      <w:proofErr w:type="spellStart"/>
      <w:r>
        <w:rPr>
          <w:rFonts w:ascii="Cambria" w:hAnsi="Cambria"/>
          <w:lang w:val="en-US"/>
        </w:rPr>
        <w:t>CsA</w:t>
      </w:r>
      <w:proofErr w:type="spellEnd"/>
      <w:r>
        <w:rPr>
          <w:rFonts w:ascii="Cambria" w:hAnsi="Cambria"/>
          <w:lang w:val="en-US"/>
        </w:rPr>
        <w:t xml:space="preserve"> co-treated subjects, one study indicated no relevant difference between TT/TG and GG patients, while two suggested somewhat higher AUC in TT/TG patients: the pooled estimate was ROM=1.173 (0.941-1.461) (Figure S2) indicating a tendency of slightly higher exposure in TT/TG patients (total N=110) than in GG patients (total N=208).</w:t>
      </w:r>
    </w:p>
    <w:p w14:paraId="6D45F05A" w14:textId="77777777" w:rsidR="00576231" w:rsidRDefault="00576231" w:rsidP="00A9796C">
      <w:pPr>
        <w:spacing w:after="0" w:line="360" w:lineRule="auto"/>
        <w:rPr>
          <w:rFonts w:ascii="Cambria" w:hAnsi="Cambria"/>
          <w:lang w:val="en-US"/>
        </w:rPr>
      </w:pPr>
      <w:r>
        <w:rPr>
          <w:rFonts w:ascii="Cambria" w:hAnsi="Cambria"/>
          <w:lang w:val="en-US"/>
        </w:rPr>
        <w:lastRenderedPageBreak/>
        <w:t xml:space="preserve">In </w:t>
      </w:r>
      <w:proofErr w:type="spellStart"/>
      <w:r>
        <w:rPr>
          <w:rFonts w:ascii="Cambria" w:hAnsi="Cambria"/>
          <w:lang w:val="en-US"/>
        </w:rPr>
        <w:t>macrolactam</w:t>
      </w:r>
      <w:proofErr w:type="spellEnd"/>
      <w:r>
        <w:rPr>
          <w:rFonts w:ascii="Cambria" w:hAnsi="Cambria"/>
          <w:lang w:val="en-US"/>
        </w:rPr>
        <w:t xml:space="preserve"> co-treated patients, two studies suggested somewhat higher AUC in TT/TG vs. GG patients, and one suggested somewhat lower values: the pooled estimate was ROM=1.121 (0.594-2.114) (Figure S2) not indicating any relevant difference in exposure between TT/TG (total N=131) and GG patients (total N=192).</w:t>
      </w:r>
    </w:p>
    <w:p w14:paraId="3EC308B9" w14:textId="1EDE32A0" w:rsidR="00576231" w:rsidRDefault="00576231" w:rsidP="00A9796C">
      <w:pPr>
        <w:spacing w:after="0" w:line="360" w:lineRule="auto"/>
        <w:rPr>
          <w:rFonts w:ascii="Cambria" w:hAnsi="Cambria"/>
          <w:lang w:val="en-US"/>
        </w:rPr>
      </w:pPr>
      <w:r>
        <w:rPr>
          <w:rFonts w:ascii="Cambria" w:hAnsi="Cambria"/>
          <w:lang w:val="en-US"/>
        </w:rPr>
        <w:t>The overall estimate (ROM=1.136, 0.949-1.361) (Figure S2) indicated a possibility of slightly higher exposure in TT/TG (total N=241) than in GG patients (total N=400)</w:t>
      </w:r>
      <w:r w:rsidR="00C44B74">
        <w:rPr>
          <w:rFonts w:ascii="Cambria" w:hAnsi="Cambria"/>
          <w:lang w:val="en-US"/>
        </w:rPr>
        <w:t xml:space="preserve">, but uncertainty (due to heterogeneity </w:t>
      </w:r>
      <w:r w:rsidR="00884A4C">
        <w:rPr>
          <w:rFonts w:ascii="Cambria" w:hAnsi="Cambria"/>
          <w:lang w:val="en-US"/>
        </w:rPr>
        <w:t xml:space="preserve">best </w:t>
      </w:r>
      <w:r w:rsidR="00C44B74">
        <w:rPr>
          <w:rFonts w:ascii="Cambria" w:hAnsi="Cambria"/>
          <w:lang w:val="en-US"/>
        </w:rPr>
        <w:t>illustrated by the wide prediction intervals</w:t>
      </w:r>
      <w:r w:rsidR="00E926E4">
        <w:rPr>
          <w:rFonts w:ascii="Cambria" w:hAnsi="Cambria"/>
          <w:lang w:val="en-US"/>
        </w:rPr>
        <w:t xml:space="preserve"> extending from 27% lower to 77% higher AUC</w:t>
      </w:r>
      <w:r w:rsidR="00C44B74">
        <w:rPr>
          <w:rFonts w:ascii="Cambria" w:hAnsi="Cambria"/>
          <w:lang w:val="en-US"/>
        </w:rPr>
        <w:t>) about the size of the effect (difference) was considerable</w:t>
      </w:r>
      <w:r>
        <w:rPr>
          <w:rFonts w:ascii="Cambria" w:hAnsi="Cambria"/>
          <w:lang w:val="en-US"/>
        </w:rPr>
        <w:t>.</w:t>
      </w:r>
    </w:p>
    <w:p w14:paraId="321BBAAA" w14:textId="237FCA37" w:rsidR="000402FC" w:rsidRDefault="000402FC" w:rsidP="00A9796C">
      <w:pPr>
        <w:spacing w:after="0" w:line="360" w:lineRule="auto"/>
        <w:rPr>
          <w:rFonts w:ascii="Cambria" w:hAnsi="Cambria"/>
          <w:lang w:val="en-US"/>
        </w:rPr>
      </w:pPr>
    </w:p>
    <w:p w14:paraId="3AB5FB94" w14:textId="7EF82C95" w:rsidR="000402FC" w:rsidRDefault="002708C1" w:rsidP="00A9796C">
      <w:pPr>
        <w:spacing w:after="0" w:line="360" w:lineRule="auto"/>
        <w:rPr>
          <w:rFonts w:ascii="Cambria" w:hAnsi="Cambria"/>
          <w:lang w:val="en-US"/>
        </w:rPr>
      </w:pPr>
      <w:r w:rsidRPr="00A65DF6">
        <w:rPr>
          <w:rFonts w:ascii="Cambria" w:hAnsi="Cambria"/>
          <w:lang w:val="en-US"/>
        </w:rPr>
        <w:t xml:space="preserve">We identified </w:t>
      </w:r>
      <w:r>
        <w:rPr>
          <w:rFonts w:ascii="Cambria" w:hAnsi="Cambria"/>
          <w:lang w:val="en-US"/>
        </w:rPr>
        <w:t xml:space="preserve">3 </w:t>
      </w:r>
      <w:r w:rsidRPr="00A65DF6">
        <w:rPr>
          <w:rFonts w:ascii="Cambria" w:hAnsi="Cambria"/>
          <w:lang w:val="en-US"/>
        </w:rPr>
        <w:t xml:space="preserve">studies </w:t>
      </w:r>
      <w:r>
        <w:rPr>
          <w:rFonts w:ascii="Cambria" w:hAnsi="Cambria"/>
          <w:lang w:val="en-US"/>
        </w:rPr>
        <w:t>reporting total exposure to MPA over dosing interval at steady-state [AUC</w:t>
      </w:r>
      <w:r w:rsidRPr="00A65DF6">
        <w:rPr>
          <w:rFonts w:ascii="Cambria" w:hAnsi="Cambria"/>
          <w:vertAlign w:val="subscript"/>
          <w:lang w:val="en-US"/>
        </w:rPr>
        <w:t>0-12</w:t>
      </w:r>
      <w:r>
        <w:rPr>
          <w:rFonts w:ascii="Cambria" w:hAnsi="Cambria"/>
          <w:lang w:val="en-US"/>
        </w:rPr>
        <w:t xml:space="preserve"> (mg </w:t>
      </w:r>
      <w:r>
        <w:rPr>
          <w:rFonts w:ascii="Cambria" w:hAnsi="Cambria"/>
          <w:lang w:val="en-US"/>
        </w:rPr>
        <w:sym w:font="Symbol" w:char="F0B4"/>
      </w:r>
      <w:r>
        <w:rPr>
          <w:rFonts w:ascii="Cambria" w:hAnsi="Cambria"/>
          <w:lang w:val="en-US"/>
        </w:rPr>
        <w:t xml:space="preserve">h/L) calculated based on dose-adjusted MPA concentrations] in renal transplant patients classified in respect to the </w:t>
      </w:r>
      <w:r w:rsidR="00B63495">
        <w:rPr>
          <w:rFonts w:ascii="Cambria" w:hAnsi="Cambria"/>
          <w:i/>
          <w:lang w:val="en-US"/>
        </w:rPr>
        <w:t>UGT1A9</w:t>
      </w:r>
      <w:r w:rsidRPr="00A65DF6">
        <w:rPr>
          <w:rFonts w:ascii="Cambria" w:hAnsi="Cambria"/>
          <w:i/>
          <w:lang w:val="en-US"/>
        </w:rPr>
        <w:t xml:space="preserve"> c.</w:t>
      </w:r>
      <w:r w:rsidR="00B63495">
        <w:rPr>
          <w:rFonts w:ascii="Cambria" w:hAnsi="Cambria"/>
          <w:i/>
          <w:lang w:val="en-US"/>
        </w:rPr>
        <w:t>98T</w:t>
      </w:r>
      <w:r w:rsidRPr="00A65DF6">
        <w:rPr>
          <w:rFonts w:ascii="Cambria" w:hAnsi="Cambria"/>
          <w:i/>
          <w:lang w:val="en-US"/>
        </w:rPr>
        <w:t>&gt;</w:t>
      </w:r>
      <w:r w:rsidR="00B63495">
        <w:rPr>
          <w:rFonts w:ascii="Cambria" w:hAnsi="Cambria"/>
          <w:i/>
          <w:lang w:val="en-US"/>
        </w:rPr>
        <w:t>C</w:t>
      </w:r>
      <w:r>
        <w:rPr>
          <w:rFonts w:ascii="Cambria" w:hAnsi="Cambria"/>
          <w:lang w:val="en-US"/>
        </w:rPr>
        <w:t xml:space="preserve"> SNP as </w:t>
      </w:r>
      <w:r w:rsidR="00B63495">
        <w:rPr>
          <w:rFonts w:ascii="Cambria" w:hAnsi="Cambria"/>
          <w:lang w:val="en-US"/>
        </w:rPr>
        <w:t>variant carriers (TC)</w:t>
      </w:r>
      <w:r>
        <w:rPr>
          <w:rFonts w:ascii="Cambria" w:hAnsi="Cambria"/>
          <w:lang w:val="en-US"/>
        </w:rPr>
        <w:t xml:space="preserve"> vs. </w:t>
      </w:r>
      <w:r w:rsidR="00B63495">
        <w:rPr>
          <w:rFonts w:ascii="Cambria" w:hAnsi="Cambria"/>
          <w:lang w:val="en-US"/>
        </w:rPr>
        <w:t>wild type</w:t>
      </w:r>
      <w:r>
        <w:rPr>
          <w:rFonts w:ascii="Cambria" w:hAnsi="Cambria"/>
          <w:lang w:val="en-US"/>
        </w:rPr>
        <w:t xml:space="preserve"> subjects</w:t>
      </w:r>
      <w:r w:rsidR="00B63495">
        <w:rPr>
          <w:rFonts w:ascii="Cambria" w:hAnsi="Cambria"/>
          <w:lang w:val="en-US"/>
        </w:rPr>
        <w:t xml:space="preserve"> (TT)</w:t>
      </w:r>
      <w:r>
        <w:rPr>
          <w:rFonts w:ascii="Cambria" w:hAnsi="Cambria"/>
          <w:lang w:val="en-US"/>
        </w:rPr>
        <w:t>:</w:t>
      </w:r>
      <w:r w:rsidR="00D43056">
        <w:rPr>
          <w:rFonts w:ascii="Cambria" w:hAnsi="Cambria"/>
          <w:lang w:val="en-US"/>
        </w:rPr>
        <w:t xml:space="preserve"> one French (Picard 2010 [1]) and one Dutch (van Schaik 2009 [5]), each reporting values in patients on IR MMF co-treated with either </w:t>
      </w:r>
      <w:proofErr w:type="spellStart"/>
      <w:r w:rsidR="00D43056">
        <w:rPr>
          <w:rFonts w:ascii="Cambria" w:hAnsi="Cambria"/>
          <w:lang w:val="en-US"/>
        </w:rPr>
        <w:t>CsA</w:t>
      </w:r>
      <w:proofErr w:type="spellEnd"/>
      <w:r w:rsidR="00D43056">
        <w:rPr>
          <w:rFonts w:ascii="Cambria" w:hAnsi="Cambria"/>
          <w:lang w:val="en-US"/>
        </w:rPr>
        <w:t xml:space="preserve"> or </w:t>
      </w:r>
      <w:proofErr w:type="spellStart"/>
      <w:r w:rsidR="00D43056">
        <w:rPr>
          <w:rFonts w:ascii="Cambria" w:hAnsi="Cambria"/>
          <w:lang w:val="en-US"/>
        </w:rPr>
        <w:t>macrolactams</w:t>
      </w:r>
      <w:proofErr w:type="spellEnd"/>
      <w:r w:rsidR="00D43056">
        <w:rPr>
          <w:rFonts w:ascii="Cambria" w:hAnsi="Cambria"/>
          <w:lang w:val="en-US"/>
        </w:rPr>
        <w:t>; one Belgian (</w:t>
      </w:r>
      <w:proofErr w:type="spellStart"/>
      <w:r w:rsidR="00D43056">
        <w:rPr>
          <w:rFonts w:ascii="Cambria" w:hAnsi="Cambria"/>
          <w:lang w:val="en-US"/>
        </w:rPr>
        <w:t>Kuypers</w:t>
      </w:r>
      <w:proofErr w:type="spellEnd"/>
      <w:r w:rsidR="00D43056">
        <w:rPr>
          <w:rFonts w:ascii="Cambria" w:hAnsi="Cambria"/>
          <w:lang w:val="en-US"/>
        </w:rPr>
        <w:t xml:space="preserve"> 2005 [6]) in which MMF was combined with tacrolimus. </w:t>
      </w:r>
      <w:r w:rsidR="00A76175">
        <w:rPr>
          <w:rFonts w:ascii="Cambria" w:hAnsi="Cambria"/>
          <w:lang w:val="en-US"/>
        </w:rPr>
        <w:t xml:space="preserve">Two studies (Picard 2010, </w:t>
      </w:r>
      <w:proofErr w:type="spellStart"/>
      <w:r w:rsidR="00A76175">
        <w:rPr>
          <w:rFonts w:ascii="Cambria" w:hAnsi="Cambria"/>
          <w:lang w:val="en-US"/>
        </w:rPr>
        <w:t>Kuypers</w:t>
      </w:r>
      <w:proofErr w:type="spellEnd"/>
      <w:r w:rsidR="00A76175">
        <w:rPr>
          <w:rFonts w:ascii="Cambria" w:hAnsi="Cambria"/>
          <w:lang w:val="en-US"/>
        </w:rPr>
        <w:t xml:space="preserve"> 2005 [1, 6]] reported crude</w:t>
      </w:r>
      <w:r w:rsidR="00D43056">
        <w:rPr>
          <w:rFonts w:ascii="Cambria" w:hAnsi="Cambria"/>
          <w:lang w:val="en-US"/>
        </w:rPr>
        <w:t>, unadjusted mean</w:t>
      </w:r>
      <w:r w:rsidR="00D43056">
        <w:rPr>
          <w:rFonts w:ascii="Cambria" w:hAnsi="Cambria"/>
          <w:lang w:val="en-US"/>
        </w:rPr>
        <w:sym w:font="Symbol" w:char="F0B1"/>
      </w:r>
      <w:r w:rsidR="00D43056">
        <w:rPr>
          <w:rFonts w:ascii="Cambria" w:hAnsi="Cambria"/>
          <w:lang w:val="en-US"/>
        </w:rPr>
        <w:t>SD AUC</w:t>
      </w:r>
      <w:r w:rsidR="00D43056" w:rsidRPr="00A65DF6">
        <w:rPr>
          <w:rFonts w:ascii="Cambria" w:hAnsi="Cambria"/>
          <w:vertAlign w:val="subscript"/>
          <w:lang w:val="en-US"/>
        </w:rPr>
        <w:t>0-12</w:t>
      </w:r>
      <w:r w:rsidR="00D43056">
        <w:rPr>
          <w:rFonts w:ascii="Cambria" w:hAnsi="Cambria"/>
          <w:lang w:val="en-US"/>
        </w:rPr>
        <w:t xml:space="preserve"> quantified at different post-transplantation times (Figure S</w:t>
      </w:r>
      <w:r w:rsidR="00A76175">
        <w:rPr>
          <w:rFonts w:ascii="Cambria" w:hAnsi="Cambria"/>
          <w:lang w:val="en-US"/>
        </w:rPr>
        <w:t>3</w:t>
      </w:r>
      <w:r w:rsidR="00D43056">
        <w:rPr>
          <w:rFonts w:ascii="Cambria" w:hAnsi="Cambria"/>
          <w:lang w:val="en-US"/>
        </w:rPr>
        <w:t>).</w:t>
      </w:r>
      <w:r w:rsidR="00A76175">
        <w:rPr>
          <w:rFonts w:ascii="Cambria" w:hAnsi="Cambria"/>
          <w:lang w:val="en-US"/>
        </w:rPr>
        <w:t xml:space="preserve"> </w:t>
      </w:r>
    </w:p>
    <w:p w14:paraId="61F62B88" w14:textId="3BF0E509" w:rsidR="000402FC" w:rsidRDefault="000402FC" w:rsidP="00A9796C">
      <w:pPr>
        <w:spacing w:after="0" w:line="360" w:lineRule="auto"/>
        <w:rPr>
          <w:rFonts w:ascii="Cambria" w:hAnsi="Cambria"/>
          <w:lang w:val="en-US"/>
        </w:rPr>
      </w:pPr>
    </w:p>
    <w:p w14:paraId="238F61F0" w14:textId="0E46B441" w:rsidR="000402FC" w:rsidRDefault="00D43056" w:rsidP="00A9796C">
      <w:pPr>
        <w:spacing w:after="0" w:line="360" w:lineRule="auto"/>
        <w:rPr>
          <w:rFonts w:ascii="Cambria" w:hAnsi="Cambria"/>
          <w:lang w:val="en-US"/>
        </w:rPr>
      </w:pPr>
      <w:r>
        <w:rPr>
          <w:rFonts w:ascii="Cambria" w:hAnsi="Cambria"/>
          <w:noProof/>
          <w:lang w:val="en-US"/>
        </w:rPr>
        <w:drawing>
          <wp:inline distT="0" distB="0" distL="0" distR="0" wp14:anchorId="497DEC8B" wp14:editId="31D899B7">
            <wp:extent cx="5760720" cy="2563495"/>
            <wp:effectExtent l="0" t="0" r="0" b="8255"/>
            <wp:docPr id="11" name="Picture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 name="Borić FigS3.TIF"/>
                    <pic:cNvPicPr/>
                  </pic:nvPicPr>
                  <pic:blipFill>
                    <a:blip r:embed="rId14" cstate="print">
                      <a:extLst>
                        <a:ext uri="{28A0092B-C50C-407E-A947-70E740481C1C}">
                          <a14:useLocalDpi xmlns:a14="http://schemas.microsoft.com/office/drawing/2010/main" val="0"/>
                        </a:ext>
                      </a:extLst>
                    </a:blip>
                    <a:stretch>
                      <a:fillRect/>
                    </a:stretch>
                  </pic:blipFill>
                  <pic:spPr>
                    <a:xfrm>
                      <a:off x="0" y="0"/>
                      <a:ext cx="5760720" cy="2563495"/>
                    </a:xfrm>
                    <a:prstGeom prst="rect">
                      <a:avLst/>
                    </a:prstGeom>
                  </pic:spPr>
                </pic:pic>
              </a:graphicData>
            </a:graphic>
          </wp:inline>
        </w:drawing>
      </w:r>
    </w:p>
    <w:p w14:paraId="2BC9492C" w14:textId="5BDAEB64" w:rsidR="002D1E02" w:rsidRDefault="002D1E02" w:rsidP="002D1E02">
      <w:pPr>
        <w:spacing w:after="0" w:line="360" w:lineRule="auto"/>
        <w:rPr>
          <w:rFonts w:ascii="Cambria" w:hAnsi="Cambria"/>
          <w:lang w:val="en-US"/>
        </w:rPr>
      </w:pPr>
      <w:r w:rsidRPr="00235E72">
        <w:rPr>
          <w:rFonts w:ascii="Cambria" w:hAnsi="Cambria"/>
          <w:b/>
          <w:lang w:val="en-US"/>
        </w:rPr>
        <w:t>Figure S</w:t>
      </w:r>
      <w:r>
        <w:rPr>
          <w:rFonts w:ascii="Cambria" w:hAnsi="Cambria"/>
          <w:b/>
          <w:lang w:val="en-US"/>
        </w:rPr>
        <w:t>3</w:t>
      </w:r>
      <w:r>
        <w:rPr>
          <w:rFonts w:ascii="Cambria" w:hAnsi="Cambria"/>
          <w:lang w:val="en-US"/>
        </w:rPr>
        <w:t>. Meta-analysis of studies reporting mean</w:t>
      </w:r>
      <w:r>
        <w:rPr>
          <w:rFonts w:ascii="Cambria" w:hAnsi="Cambria"/>
          <w:lang w:val="en-US"/>
        </w:rPr>
        <w:sym w:font="Symbol" w:char="F0B1"/>
      </w:r>
      <w:r>
        <w:rPr>
          <w:rFonts w:ascii="Cambria" w:hAnsi="Cambria"/>
          <w:lang w:val="en-US"/>
        </w:rPr>
        <w:t>SD MPA AUC</w:t>
      </w:r>
      <w:r w:rsidRPr="00A65DF6">
        <w:rPr>
          <w:rFonts w:ascii="Cambria" w:hAnsi="Cambria"/>
          <w:vertAlign w:val="subscript"/>
          <w:lang w:val="en-US"/>
        </w:rPr>
        <w:t>0-12</w:t>
      </w:r>
      <w:r>
        <w:rPr>
          <w:rFonts w:ascii="Cambria" w:hAnsi="Cambria"/>
          <w:lang w:val="en-US"/>
        </w:rPr>
        <w:t xml:space="preserve"> at steady-state in renal transplant recipients treated with IR MMF and co-treated with </w:t>
      </w:r>
      <w:proofErr w:type="spellStart"/>
      <w:r>
        <w:rPr>
          <w:rFonts w:ascii="Cambria" w:hAnsi="Cambria"/>
          <w:lang w:val="en-US"/>
        </w:rPr>
        <w:t>CsA</w:t>
      </w:r>
      <w:proofErr w:type="spellEnd"/>
      <w:r>
        <w:rPr>
          <w:rFonts w:ascii="Cambria" w:hAnsi="Cambria"/>
          <w:lang w:val="en-US"/>
        </w:rPr>
        <w:t xml:space="preserve"> or </w:t>
      </w:r>
      <w:proofErr w:type="spellStart"/>
      <w:r>
        <w:rPr>
          <w:rFonts w:ascii="Cambria" w:hAnsi="Cambria"/>
          <w:lang w:val="en-US"/>
        </w:rPr>
        <w:t>macrolactams</w:t>
      </w:r>
      <w:proofErr w:type="spellEnd"/>
      <w:r>
        <w:rPr>
          <w:rFonts w:ascii="Cambria" w:hAnsi="Cambria"/>
          <w:lang w:val="en-US"/>
        </w:rPr>
        <w:t xml:space="preserve"> (tacrolimus or </w:t>
      </w:r>
      <w:proofErr w:type="spellStart"/>
      <w:r>
        <w:rPr>
          <w:rFonts w:ascii="Cambria" w:hAnsi="Cambria"/>
          <w:lang w:val="en-US"/>
        </w:rPr>
        <w:t>sirolimus</w:t>
      </w:r>
      <w:proofErr w:type="spellEnd"/>
      <w:r>
        <w:rPr>
          <w:rFonts w:ascii="Cambria" w:hAnsi="Cambria"/>
          <w:lang w:val="en-US"/>
        </w:rPr>
        <w:t xml:space="preserve">) and genotyped for </w:t>
      </w:r>
      <w:r w:rsidRPr="002D1E02">
        <w:rPr>
          <w:rFonts w:ascii="Cambria" w:hAnsi="Cambria"/>
          <w:i/>
          <w:lang w:val="en-US"/>
        </w:rPr>
        <w:t>UGT1A9*3 (c.98T&gt;C)</w:t>
      </w:r>
      <w:r>
        <w:rPr>
          <w:rFonts w:ascii="Cambria" w:hAnsi="Cambria"/>
          <w:lang w:val="en-US"/>
        </w:rPr>
        <w:t xml:space="preserve"> SNP, classified as variant carriers (heterozygous, TC) vs. wild type homozygous subjects. The effect measure is ratio of means (ROM).</w:t>
      </w:r>
    </w:p>
    <w:p w14:paraId="06905EA8" w14:textId="0A1F259E" w:rsidR="00576231" w:rsidRDefault="00576231" w:rsidP="00A9796C">
      <w:pPr>
        <w:spacing w:after="0" w:line="360" w:lineRule="auto"/>
        <w:rPr>
          <w:rFonts w:ascii="Cambria" w:hAnsi="Cambria"/>
          <w:lang w:val="en-US"/>
        </w:rPr>
      </w:pPr>
    </w:p>
    <w:p w14:paraId="7D0F9E70" w14:textId="65C01BDB" w:rsidR="002D1E02" w:rsidRDefault="002D1E02" w:rsidP="00A9796C">
      <w:pPr>
        <w:spacing w:after="0" w:line="360" w:lineRule="auto"/>
        <w:rPr>
          <w:rFonts w:ascii="Cambria" w:hAnsi="Cambria"/>
          <w:lang w:val="en-US"/>
        </w:rPr>
      </w:pPr>
      <w:proofErr w:type="gramStart"/>
      <w:r>
        <w:rPr>
          <w:rFonts w:ascii="Cambria" w:hAnsi="Cambria"/>
          <w:lang w:val="en-US"/>
        </w:rPr>
        <w:lastRenderedPageBreak/>
        <w:t>van</w:t>
      </w:r>
      <w:proofErr w:type="gramEnd"/>
      <w:r>
        <w:rPr>
          <w:rFonts w:ascii="Cambria" w:hAnsi="Cambria"/>
          <w:lang w:val="en-US"/>
        </w:rPr>
        <w:t xml:space="preserve"> Schaik 2009 [5] used reduced sampling schedule (at pre-dose, 0.5 and 2 hours post-dose) to project AUC</w:t>
      </w:r>
      <w:r w:rsidRPr="002D1E02">
        <w:rPr>
          <w:rFonts w:ascii="Cambria" w:hAnsi="Cambria"/>
          <w:vertAlign w:val="subscript"/>
          <w:lang w:val="en-US"/>
        </w:rPr>
        <w:t>0-12</w:t>
      </w:r>
      <w:r>
        <w:rPr>
          <w:rFonts w:ascii="Cambria" w:hAnsi="Cambria"/>
          <w:lang w:val="en-US"/>
        </w:rPr>
        <w:t xml:space="preserve"> at 3 and 10 days, and at 1, 3, 6 and 12 months postoperatively. They graphically reported geometric mean AUCs (no measures of spread or precision) at the</w:t>
      </w:r>
      <w:r w:rsidR="003140D3">
        <w:rPr>
          <w:rFonts w:ascii="Cambria" w:hAnsi="Cambria"/>
          <w:lang w:val="en-US"/>
        </w:rPr>
        <w:t xml:space="preserve">se time-points for 5 variant vs. 170 </w:t>
      </w:r>
      <w:proofErr w:type="spellStart"/>
      <w:r w:rsidR="003140D3">
        <w:rPr>
          <w:rFonts w:ascii="Cambria" w:hAnsi="Cambria"/>
          <w:lang w:val="en-US"/>
        </w:rPr>
        <w:t>wt</w:t>
      </w:r>
      <w:proofErr w:type="spellEnd"/>
      <w:r w:rsidR="003140D3">
        <w:rPr>
          <w:rFonts w:ascii="Cambria" w:hAnsi="Cambria"/>
          <w:lang w:val="en-US"/>
        </w:rPr>
        <w:t xml:space="preserve"> patients co-treated with </w:t>
      </w:r>
      <w:proofErr w:type="spellStart"/>
      <w:r w:rsidR="003140D3">
        <w:rPr>
          <w:rFonts w:ascii="Cambria" w:hAnsi="Cambria"/>
          <w:lang w:val="en-US"/>
        </w:rPr>
        <w:t>CsA</w:t>
      </w:r>
      <w:proofErr w:type="spellEnd"/>
      <w:r w:rsidR="003140D3">
        <w:rPr>
          <w:rFonts w:ascii="Cambria" w:hAnsi="Cambria"/>
          <w:lang w:val="en-US"/>
        </w:rPr>
        <w:t xml:space="preserve"> and, separately, for 5 variant vs. 158 </w:t>
      </w:r>
      <w:proofErr w:type="spellStart"/>
      <w:r w:rsidR="003140D3">
        <w:rPr>
          <w:rFonts w:ascii="Cambria" w:hAnsi="Cambria"/>
          <w:lang w:val="en-US"/>
        </w:rPr>
        <w:t>wt</w:t>
      </w:r>
      <w:proofErr w:type="spellEnd"/>
      <w:r w:rsidR="003140D3">
        <w:rPr>
          <w:rFonts w:ascii="Cambria" w:hAnsi="Cambria"/>
          <w:lang w:val="en-US"/>
        </w:rPr>
        <w:t xml:space="preserve"> patients co-treated with tacrolimus (Figure 3 in [5]). We graph-read (using digitizing software) the geometric mean values at Day 10 (considering the timing of the present measurements) and </w:t>
      </w:r>
      <w:r w:rsidR="0055792D">
        <w:rPr>
          <w:rFonts w:ascii="Cambria" w:hAnsi="Cambria"/>
          <w:lang w:val="en-US"/>
        </w:rPr>
        <w:t>used</w:t>
      </w:r>
      <w:r w:rsidR="003140D3">
        <w:rPr>
          <w:rFonts w:ascii="Cambria" w:hAnsi="Cambria"/>
          <w:lang w:val="en-US"/>
        </w:rPr>
        <w:t xml:space="preserve"> p-values to recover common SD – this is shown in Figure S3.</w:t>
      </w:r>
    </w:p>
    <w:p w14:paraId="7BFB6E2D" w14:textId="586C6913" w:rsidR="002D1E02" w:rsidRDefault="002D1E02" w:rsidP="00A9796C">
      <w:pPr>
        <w:spacing w:after="0" w:line="360" w:lineRule="auto"/>
        <w:rPr>
          <w:rFonts w:ascii="Cambria" w:hAnsi="Cambria"/>
          <w:lang w:val="en-US"/>
        </w:rPr>
      </w:pPr>
    </w:p>
    <w:p w14:paraId="15CD7B6D" w14:textId="2A67E24F" w:rsidR="005673A5" w:rsidRDefault="005673A5" w:rsidP="00A9796C">
      <w:pPr>
        <w:spacing w:after="0" w:line="360" w:lineRule="auto"/>
        <w:rPr>
          <w:rFonts w:ascii="Cambria" w:hAnsi="Cambria"/>
          <w:lang w:val="en-US"/>
        </w:rPr>
      </w:pPr>
      <w:r>
        <w:rPr>
          <w:rFonts w:ascii="Cambria" w:hAnsi="Cambria"/>
          <w:lang w:val="en-US"/>
        </w:rPr>
        <w:t xml:space="preserve">The number of variant allele carriers was very low in each individual study and across studies by co-treatment and overall (Figure S3). van Schaik [5] reported that based on mixed-modelling of repeatedly assessed AUCs over time (at 6 time-points), among tacrolimus co-treated subjects, 5 TC patients vs. 158 </w:t>
      </w:r>
      <w:proofErr w:type="spellStart"/>
      <w:r>
        <w:rPr>
          <w:rFonts w:ascii="Cambria" w:hAnsi="Cambria"/>
          <w:lang w:val="en-US"/>
        </w:rPr>
        <w:t>wt</w:t>
      </w:r>
      <w:proofErr w:type="spellEnd"/>
      <w:r>
        <w:rPr>
          <w:rFonts w:ascii="Cambria" w:hAnsi="Cambria"/>
          <w:lang w:val="en-US"/>
        </w:rPr>
        <w:t xml:space="preserve"> subjects had by around 50% higher time-averaged AUCs (adjusted for age, sex, creatinine clearance, delayed-graft function and MPA measurement technique); and the same was reported for 5 TC subjects vs. 170 </w:t>
      </w:r>
      <w:proofErr w:type="spellStart"/>
      <w:r>
        <w:rPr>
          <w:rFonts w:ascii="Cambria" w:hAnsi="Cambria"/>
          <w:lang w:val="en-US"/>
        </w:rPr>
        <w:t>wt</w:t>
      </w:r>
      <w:proofErr w:type="spellEnd"/>
      <w:r>
        <w:rPr>
          <w:rFonts w:ascii="Cambria" w:hAnsi="Cambria"/>
          <w:lang w:val="en-US"/>
        </w:rPr>
        <w:t xml:space="preserve"> subjects co-treated with </w:t>
      </w:r>
      <w:proofErr w:type="spellStart"/>
      <w:r>
        <w:rPr>
          <w:rFonts w:ascii="Cambria" w:hAnsi="Cambria"/>
          <w:lang w:val="en-US"/>
        </w:rPr>
        <w:t>CsA</w:t>
      </w:r>
      <w:proofErr w:type="spellEnd"/>
      <w:r>
        <w:rPr>
          <w:rFonts w:ascii="Cambria" w:hAnsi="Cambria"/>
          <w:lang w:val="en-US"/>
        </w:rPr>
        <w:t xml:space="preserve"> [5]. However, considering the AUCs on postoperative day 10, the TC-</w:t>
      </w:r>
      <w:proofErr w:type="spellStart"/>
      <w:r>
        <w:rPr>
          <w:rFonts w:ascii="Cambria" w:hAnsi="Cambria"/>
          <w:lang w:val="en-US"/>
        </w:rPr>
        <w:t>wt</w:t>
      </w:r>
      <w:proofErr w:type="spellEnd"/>
      <w:r>
        <w:rPr>
          <w:rFonts w:ascii="Cambria" w:hAnsi="Cambria"/>
          <w:lang w:val="en-US"/>
        </w:rPr>
        <w:t xml:space="preserve"> difference in </w:t>
      </w:r>
      <w:proofErr w:type="spellStart"/>
      <w:r>
        <w:rPr>
          <w:rFonts w:ascii="Cambria" w:hAnsi="Cambria"/>
          <w:lang w:val="en-US"/>
        </w:rPr>
        <w:t>macrolactam</w:t>
      </w:r>
      <w:proofErr w:type="spellEnd"/>
      <w:r>
        <w:rPr>
          <w:rFonts w:ascii="Cambria" w:hAnsi="Cambria"/>
          <w:lang w:val="en-US"/>
        </w:rPr>
        <w:t xml:space="preserve"> co-tr</w:t>
      </w:r>
      <w:r w:rsidR="007204D9">
        <w:rPr>
          <w:rFonts w:ascii="Cambria" w:hAnsi="Cambria"/>
          <w:lang w:val="en-US"/>
        </w:rPr>
        <w:t>e</w:t>
      </w:r>
      <w:r>
        <w:rPr>
          <w:rFonts w:ascii="Cambria" w:hAnsi="Cambria"/>
          <w:lang w:val="en-US"/>
        </w:rPr>
        <w:t>ated subjects appeared even greater</w:t>
      </w:r>
      <w:r w:rsidR="007204D9">
        <w:rPr>
          <w:rFonts w:ascii="Cambria" w:hAnsi="Cambria"/>
          <w:lang w:val="en-US"/>
        </w:rPr>
        <w:t>, but there was apparently no TC-</w:t>
      </w:r>
      <w:proofErr w:type="spellStart"/>
      <w:r w:rsidR="007204D9">
        <w:rPr>
          <w:rFonts w:ascii="Cambria" w:hAnsi="Cambria"/>
          <w:lang w:val="en-US"/>
        </w:rPr>
        <w:t>wt</w:t>
      </w:r>
      <w:proofErr w:type="spellEnd"/>
      <w:r w:rsidR="007204D9">
        <w:rPr>
          <w:rFonts w:ascii="Cambria" w:hAnsi="Cambria"/>
          <w:lang w:val="en-US"/>
        </w:rPr>
        <w:t xml:space="preserve"> difference among </w:t>
      </w:r>
      <w:proofErr w:type="spellStart"/>
      <w:r w:rsidR="007204D9">
        <w:rPr>
          <w:rFonts w:ascii="Cambria" w:hAnsi="Cambria"/>
          <w:lang w:val="en-US"/>
        </w:rPr>
        <w:t>CsA</w:t>
      </w:r>
      <w:proofErr w:type="spellEnd"/>
      <w:r w:rsidR="007204D9">
        <w:rPr>
          <w:rFonts w:ascii="Cambria" w:hAnsi="Cambria"/>
          <w:lang w:val="en-US"/>
        </w:rPr>
        <w:t xml:space="preserve"> co-treated patients (Figure S3). </w:t>
      </w:r>
      <w:proofErr w:type="spellStart"/>
      <w:r w:rsidR="009D3A76">
        <w:rPr>
          <w:rFonts w:ascii="Cambria" w:hAnsi="Cambria"/>
          <w:lang w:val="en-US"/>
        </w:rPr>
        <w:t>Kuypers</w:t>
      </w:r>
      <w:proofErr w:type="spellEnd"/>
      <w:r w:rsidR="009D3A76">
        <w:rPr>
          <w:rFonts w:ascii="Cambria" w:hAnsi="Cambria"/>
          <w:lang w:val="en-US"/>
        </w:rPr>
        <w:t xml:space="preserve"> [6] reported hig</w:t>
      </w:r>
      <w:r>
        <w:rPr>
          <w:rFonts w:ascii="Cambria" w:hAnsi="Cambria"/>
          <w:lang w:val="en-US"/>
        </w:rPr>
        <w:t xml:space="preserve">her AUC in </w:t>
      </w:r>
      <w:proofErr w:type="gramStart"/>
      <w:r>
        <w:rPr>
          <w:rFonts w:ascii="Cambria" w:hAnsi="Cambria"/>
          <w:lang w:val="en-US"/>
        </w:rPr>
        <w:t>3</w:t>
      </w:r>
      <w:proofErr w:type="gramEnd"/>
      <w:r>
        <w:rPr>
          <w:rFonts w:ascii="Cambria" w:hAnsi="Cambria"/>
          <w:lang w:val="en-US"/>
        </w:rPr>
        <w:t xml:space="preserve"> TC vs. 92 </w:t>
      </w:r>
      <w:proofErr w:type="spellStart"/>
      <w:r>
        <w:rPr>
          <w:rFonts w:ascii="Cambria" w:hAnsi="Cambria"/>
          <w:lang w:val="en-US"/>
        </w:rPr>
        <w:t>wt</w:t>
      </w:r>
      <w:proofErr w:type="spellEnd"/>
      <w:r>
        <w:rPr>
          <w:rFonts w:ascii="Cambria" w:hAnsi="Cambria"/>
          <w:lang w:val="en-US"/>
        </w:rPr>
        <w:t xml:space="preserve"> subjects (Figure S3), while Picard [1] reported comparable AUCs in 10 TC vs. 105 </w:t>
      </w:r>
      <w:proofErr w:type="spellStart"/>
      <w:r>
        <w:rPr>
          <w:rFonts w:ascii="Cambria" w:hAnsi="Cambria"/>
          <w:lang w:val="en-US"/>
        </w:rPr>
        <w:t>wt</w:t>
      </w:r>
      <w:proofErr w:type="spellEnd"/>
      <w:r>
        <w:rPr>
          <w:rFonts w:ascii="Cambria" w:hAnsi="Cambria"/>
          <w:lang w:val="en-US"/>
        </w:rPr>
        <w:t xml:space="preserve"> subjects co-treated with </w:t>
      </w:r>
      <w:proofErr w:type="spellStart"/>
      <w:r>
        <w:rPr>
          <w:rFonts w:ascii="Cambria" w:hAnsi="Cambria"/>
          <w:lang w:val="en-US"/>
        </w:rPr>
        <w:t>CsA</w:t>
      </w:r>
      <w:proofErr w:type="spellEnd"/>
      <w:r>
        <w:rPr>
          <w:rFonts w:ascii="Cambria" w:hAnsi="Cambria"/>
          <w:lang w:val="en-US"/>
        </w:rPr>
        <w:t xml:space="preserve"> (Figu</w:t>
      </w:r>
      <w:r w:rsidR="0055792D">
        <w:rPr>
          <w:rFonts w:ascii="Cambria" w:hAnsi="Cambria"/>
          <w:lang w:val="en-US"/>
        </w:rPr>
        <w:t>re S3), and lower AUCs in 2 TC</w:t>
      </w:r>
      <w:r>
        <w:rPr>
          <w:rFonts w:ascii="Cambria" w:hAnsi="Cambria"/>
          <w:lang w:val="en-US"/>
        </w:rPr>
        <w:t xml:space="preserve"> vs. 68 </w:t>
      </w:r>
      <w:proofErr w:type="spellStart"/>
      <w:r>
        <w:rPr>
          <w:rFonts w:ascii="Cambria" w:hAnsi="Cambria"/>
          <w:lang w:val="en-US"/>
        </w:rPr>
        <w:t>wt</w:t>
      </w:r>
      <w:proofErr w:type="spellEnd"/>
      <w:r>
        <w:rPr>
          <w:rFonts w:ascii="Cambria" w:hAnsi="Cambria"/>
          <w:lang w:val="en-US"/>
        </w:rPr>
        <w:t xml:space="preserve"> subjects co-treated with tacrolimus (Figure S3). </w:t>
      </w:r>
      <w:r w:rsidR="007204D9">
        <w:rPr>
          <w:rFonts w:ascii="Cambria" w:hAnsi="Cambria"/>
          <w:lang w:val="en-US"/>
        </w:rPr>
        <w:t xml:space="preserve">When pooled, this scarce data rather consistently indicate lack of a relevant difference between TC (N=15) and </w:t>
      </w:r>
      <w:proofErr w:type="spellStart"/>
      <w:r w:rsidR="007204D9">
        <w:rPr>
          <w:rFonts w:ascii="Cambria" w:hAnsi="Cambria"/>
          <w:lang w:val="en-US"/>
        </w:rPr>
        <w:t>wt</w:t>
      </w:r>
      <w:proofErr w:type="spellEnd"/>
      <w:r w:rsidR="007204D9">
        <w:rPr>
          <w:rFonts w:ascii="Cambria" w:hAnsi="Cambria"/>
          <w:lang w:val="en-US"/>
        </w:rPr>
        <w:t xml:space="preserve"> subjects (N=275) when </w:t>
      </w:r>
      <w:proofErr w:type="spellStart"/>
      <w:r w:rsidR="007204D9">
        <w:rPr>
          <w:rFonts w:ascii="Cambria" w:hAnsi="Cambria"/>
          <w:lang w:val="en-US"/>
        </w:rPr>
        <w:t>CsA</w:t>
      </w:r>
      <w:proofErr w:type="spellEnd"/>
      <w:r w:rsidR="007204D9">
        <w:rPr>
          <w:rFonts w:ascii="Cambria" w:hAnsi="Cambria"/>
          <w:lang w:val="en-US"/>
        </w:rPr>
        <w:t xml:space="preserve"> is co-treatment (Figure S3). When </w:t>
      </w:r>
      <w:proofErr w:type="spellStart"/>
      <w:r w:rsidR="007204D9">
        <w:rPr>
          <w:rFonts w:ascii="Cambria" w:hAnsi="Cambria"/>
          <w:lang w:val="en-US"/>
        </w:rPr>
        <w:t>marcolactams</w:t>
      </w:r>
      <w:proofErr w:type="spellEnd"/>
      <w:r w:rsidR="007204D9">
        <w:rPr>
          <w:rFonts w:ascii="Cambria" w:hAnsi="Cambria"/>
          <w:lang w:val="en-US"/>
        </w:rPr>
        <w:t xml:space="preserve"> are co-treatment (Figure S3), individual study results are heterogeneous indicating also no major difference between TC (N=10) and </w:t>
      </w:r>
      <w:proofErr w:type="spellStart"/>
      <w:r w:rsidR="007204D9">
        <w:rPr>
          <w:rFonts w:ascii="Cambria" w:hAnsi="Cambria"/>
          <w:lang w:val="en-US"/>
        </w:rPr>
        <w:t>wt</w:t>
      </w:r>
      <w:proofErr w:type="spellEnd"/>
      <w:r w:rsidR="007204D9">
        <w:rPr>
          <w:rFonts w:ascii="Cambria" w:hAnsi="Cambria"/>
          <w:lang w:val="en-US"/>
        </w:rPr>
        <w:t xml:space="preserve"> subjects (N=318). In agreement, the overall pooled estimate (Figure S3) does not signal a major difference between TC (N=25) and </w:t>
      </w:r>
      <w:proofErr w:type="spellStart"/>
      <w:r w:rsidR="007204D9">
        <w:rPr>
          <w:rFonts w:ascii="Cambria" w:hAnsi="Cambria"/>
          <w:lang w:val="en-US"/>
        </w:rPr>
        <w:t>wt</w:t>
      </w:r>
      <w:proofErr w:type="spellEnd"/>
      <w:r w:rsidR="007204D9">
        <w:rPr>
          <w:rFonts w:ascii="Cambria" w:hAnsi="Cambria"/>
          <w:lang w:val="en-US"/>
        </w:rPr>
        <w:t xml:space="preserve"> subjects (N=593), but heterogeneity is huge, with 95% prediction intervals indicating from 7 times lower to 7 times higher AUCs in TC vs. wild-type subjects, i.e., approximately equal probability of TC being associated with a considerably lower or considerably higher exposure to MPA.</w:t>
      </w:r>
    </w:p>
    <w:p w14:paraId="5AA387BF" w14:textId="77777777" w:rsidR="005673A5" w:rsidRDefault="005673A5" w:rsidP="00A9796C">
      <w:pPr>
        <w:spacing w:after="0" w:line="360" w:lineRule="auto"/>
        <w:rPr>
          <w:rFonts w:ascii="Cambria" w:hAnsi="Cambria"/>
          <w:lang w:val="en-US"/>
        </w:rPr>
      </w:pPr>
    </w:p>
    <w:p w14:paraId="6B351D1C" w14:textId="3F0B4FA6" w:rsidR="005673A5" w:rsidRDefault="00FB66C1" w:rsidP="00A9796C">
      <w:pPr>
        <w:spacing w:after="0" w:line="360" w:lineRule="auto"/>
        <w:rPr>
          <w:rFonts w:ascii="Cambria" w:hAnsi="Cambria"/>
          <w:lang w:val="en-US"/>
        </w:rPr>
      </w:pPr>
      <w:r>
        <w:rPr>
          <w:rFonts w:ascii="Cambria" w:hAnsi="Cambria"/>
          <w:lang w:val="en-US"/>
        </w:rPr>
        <w:t>Based on studies including exclusively or predominantly Caucasians of European descent [</w:t>
      </w:r>
      <w:r w:rsidR="00CD7D20">
        <w:rPr>
          <w:rFonts w:ascii="Cambria" w:hAnsi="Cambria"/>
          <w:lang w:val="en-US"/>
        </w:rPr>
        <w:t xml:space="preserve">1,2, 5-12] </w:t>
      </w:r>
      <w:r>
        <w:rPr>
          <w:rFonts w:ascii="Cambria" w:hAnsi="Cambria"/>
          <w:lang w:val="en-US"/>
        </w:rPr>
        <w:t xml:space="preserve">(pertinent for the present sample), prevalence of the TT/TG </w:t>
      </w:r>
      <w:r w:rsidRPr="00CD7D20">
        <w:rPr>
          <w:rFonts w:ascii="Cambria" w:hAnsi="Cambria"/>
          <w:i/>
          <w:lang w:val="en-US"/>
        </w:rPr>
        <w:t>SLCO1B3 c.334T&gt;G</w:t>
      </w:r>
      <w:r>
        <w:rPr>
          <w:rFonts w:ascii="Cambria" w:hAnsi="Cambria"/>
          <w:lang w:val="en-US"/>
        </w:rPr>
        <w:t xml:space="preserve"> genotype is rather consistently estimated at 31.1% (95%CI 28.2-34.2; prediction interval 24.9-38.1) (Figure S4</w:t>
      </w:r>
      <w:r w:rsidR="00CD7D20">
        <w:rPr>
          <w:rFonts w:ascii="Cambria" w:hAnsi="Cambria"/>
          <w:lang w:val="en-US"/>
        </w:rPr>
        <w:t xml:space="preserve">), and prevalence of variant </w:t>
      </w:r>
      <w:r w:rsidR="00CD7D20" w:rsidRPr="00CD7D20">
        <w:rPr>
          <w:rFonts w:ascii="Cambria" w:hAnsi="Cambria"/>
          <w:i/>
          <w:lang w:val="en-US"/>
        </w:rPr>
        <w:t>UGT1A9*3 (c.98T&gt;C)</w:t>
      </w:r>
      <w:r w:rsidR="00CD7D20">
        <w:rPr>
          <w:rFonts w:ascii="Cambria" w:hAnsi="Cambria"/>
          <w:lang w:val="en-US"/>
        </w:rPr>
        <w:t xml:space="preserve"> allele carriage is consistently estimated at 3.9% (95%CI 3.1-4.9, prediction interval 3.0-5.2) (Figure S4).</w:t>
      </w:r>
    </w:p>
    <w:p w14:paraId="62866A31" w14:textId="59A4C971" w:rsidR="00FB66C1" w:rsidRDefault="00FB66C1" w:rsidP="00A9796C">
      <w:pPr>
        <w:spacing w:after="0" w:line="360" w:lineRule="auto"/>
        <w:rPr>
          <w:rFonts w:ascii="Cambria" w:hAnsi="Cambria"/>
          <w:lang w:val="en-US"/>
        </w:rPr>
      </w:pPr>
    </w:p>
    <w:p w14:paraId="21D0E69E" w14:textId="662C0AD2" w:rsidR="00FB66C1" w:rsidRDefault="00FB66C1" w:rsidP="00A9796C">
      <w:pPr>
        <w:spacing w:after="0" w:line="360" w:lineRule="auto"/>
        <w:rPr>
          <w:rFonts w:ascii="Cambria" w:hAnsi="Cambria"/>
          <w:lang w:val="en-US"/>
        </w:rPr>
      </w:pPr>
    </w:p>
    <w:p w14:paraId="7FDE11EB" w14:textId="116B9555" w:rsidR="005673A5" w:rsidRDefault="00CD7D20" w:rsidP="00A9796C">
      <w:pPr>
        <w:spacing w:after="0" w:line="360" w:lineRule="auto"/>
        <w:rPr>
          <w:rFonts w:ascii="Cambria" w:hAnsi="Cambria"/>
          <w:lang w:val="en-US"/>
        </w:rPr>
      </w:pPr>
      <w:r>
        <w:rPr>
          <w:rFonts w:ascii="Cambria" w:hAnsi="Cambria"/>
          <w:noProof/>
          <w:lang w:val="en-US"/>
        </w:rPr>
        <w:lastRenderedPageBreak/>
        <w:drawing>
          <wp:inline distT="0" distB="0" distL="0" distR="0" wp14:anchorId="674CA821" wp14:editId="28DB6806">
            <wp:extent cx="5536692" cy="4441698"/>
            <wp:effectExtent l="0" t="0" r="6985" b="0"/>
            <wp:docPr id="13" name="Picture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 name="Borić FigS4.TIF"/>
                    <pic:cNvPicPr/>
                  </pic:nvPicPr>
                  <pic:blipFill>
                    <a:blip r:embed="rId15" cstate="print">
                      <a:extLst>
                        <a:ext uri="{28A0092B-C50C-407E-A947-70E740481C1C}">
                          <a14:useLocalDpi xmlns:a14="http://schemas.microsoft.com/office/drawing/2010/main" val="0"/>
                        </a:ext>
                      </a:extLst>
                    </a:blip>
                    <a:stretch>
                      <a:fillRect/>
                    </a:stretch>
                  </pic:blipFill>
                  <pic:spPr>
                    <a:xfrm>
                      <a:off x="0" y="0"/>
                      <a:ext cx="5536692" cy="4441698"/>
                    </a:xfrm>
                    <a:prstGeom prst="rect">
                      <a:avLst/>
                    </a:prstGeom>
                  </pic:spPr>
                </pic:pic>
              </a:graphicData>
            </a:graphic>
          </wp:inline>
        </w:drawing>
      </w:r>
    </w:p>
    <w:p w14:paraId="4D827FCB" w14:textId="1C74EF7C" w:rsidR="00CD7D20" w:rsidRDefault="00CD7D20" w:rsidP="00A9796C">
      <w:pPr>
        <w:spacing w:after="0" w:line="360" w:lineRule="auto"/>
        <w:rPr>
          <w:rFonts w:ascii="Cambria" w:hAnsi="Cambria"/>
          <w:lang w:val="en-US"/>
        </w:rPr>
      </w:pPr>
      <w:r w:rsidRPr="00CD7D20">
        <w:rPr>
          <w:rFonts w:ascii="Cambria" w:hAnsi="Cambria"/>
          <w:b/>
          <w:lang w:val="en-US"/>
        </w:rPr>
        <w:t>Figure S4</w:t>
      </w:r>
      <w:r>
        <w:rPr>
          <w:rFonts w:ascii="Cambria" w:hAnsi="Cambria"/>
          <w:lang w:val="en-US"/>
        </w:rPr>
        <w:t xml:space="preserve">. Meta-analysis of prevalence of TT/TG </w:t>
      </w:r>
      <w:r w:rsidRPr="00CD7D20">
        <w:rPr>
          <w:rFonts w:ascii="Cambria" w:hAnsi="Cambria"/>
          <w:i/>
          <w:lang w:val="en-US"/>
        </w:rPr>
        <w:t>SCLO1B3 c.334T&gt;G</w:t>
      </w:r>
      <w:r>
        <w:rPr>
          <w:rFonts w:ascii="Cambria" w:hAnsi="Cambria"/>
          <w:lang w:val="en-US"/>
        </w:rPr>
        <w:t xml:space="preserve"> genotype and of variant </w:t>
      </w:r>
      <w:r w:rsidRPr="00CD7D20">
        <w:rPr>
          <w:rFonts w:ascii="Cambria" w:hAnsi="Cambria"/>
          <w:i/>
          <w:lang w:val="en-US"/>
        </w:rPr>
        <w:t>UGT1A9 c.98T&gt;C</w:t>
      </w:r>
      <w:r>
        <w:rPr>
          <w:rFonts w:ascii="Cambria" w:hAnsi="Cambria"/>
          <w:lang w:val="en-US"/>
        </w:rPr>
        <w:t xml:space="preserve"> allele carriage in studies including exclusively or predominantly Caucasian Europeans</w:t>
      </w:r>
      <w:r w:rsidR="0046073B">
        <w:rPr>
          <w:rFonts w:ascii="Cambria" w:hAnsi="Cambria"/>
          <w:lang w:val="en-US"/>
        </w:rPr>
        <w:t>.</w:t>
      </w:r>
    </w:p>
    <w:p w14:paraId="5D968E87" w14:textId="73E6C6D4" w:rsidR="00CD7D20" w:rsidRDefault="00CD7D20" w:rsidP="00A9796C">
      <w:pPr>
        <w:spacing w:after="0" w:line="360" w:lineRule="auto"/>
        <w:rPr>
          <w:rFonts w:ascii="Cambria" w:hAnsi="Cambria"/>
          <w:lang w:val="en-US"/>
        </w:rPr>
      </w:pPr>
    </w:p>
    <w:p w14:paraId="7766A188" w14:textId="48CB1EDC" w:rsidR="00CD7D20" w:rsidRDefault="00CD7D20" w:rsidP="00A9796C">
      <w:pPr>
        <w:spacing w:after="0" w:line="360" w:lineRule="auto"/>
        <w:rPr>
          <w:rFonts w:ascii="Cambria" w:hAnsi="Cambria"/>
          <w:lang w:val="en-US"/>
        </w:rPr>
      </w:pPr>
    </w:p>
    <w:p w14:paraId="336BC061" w14:textId="45B80576" w:rsidR="00BB57C2" w:rsidRPr="00BB57C2" w:rsidRDefault="00BB57C2" w:rsidP="00BB57C2">
      <w:pPr>
        <w:spacing w:after="120" w:line="360" w:lineRule="auto"/>
        <w:rPr>
          <w:rFonts w:ascii="Cambria" w:hAnsi="Cambria"/>
          <w:b/>
          <w:i/>
          <w:lang w:val="en-US"/>
        </w:rPr>
      </w:pPr>
      <w:r w:rsidRPr="00BB57C2">
        <w:rPr>
          <w:rFonts w:ascii="Cambria" w:hAnsi="Cambria"/>
          <w:b/>
          <w:i/>
          <w:lang w:val="en-US"/>
        </w:rPr>
        <w:t>Sensitivity to bias due to SLCO1B3 c.334T&gt;G SNP</w:t>
      </w:r>
    </w:p>
    <w:p w14:paraId="36829D63" w14:textId="2A752169" w:rsidR="002850B8" w:rsidRDefault="002E5329" w:rsidP="00A9796C">
      <w:pPr>
        <w:spacing w:after="0" w:line="360" w:lineRule="auto"/>
        <w:rPr>
          <w:rFonts w:ascii="Cambria" w:hAnsi="Cambria"/>
          <w:lang w:val="en-US"/>
        </w:rPr>
      </w:pPr>
      <w:r>
        <w:rPr>
          <w:rFonts w:ascii="Cambria" w:hAnsi="Cambria"/>
          <w:lang w:val="en-US"/>
        </w:rPr>
        <w:t xml:space="preserve">There is no biologically plausible reason to expect prevalence of TT/TG </w:t>
      </w:r>
      <w:r w:rsidRPr="004259A4">
        <w:rPr>
          <w:rFonts w:ascii="Cambria" w:hAnsi="Cambria"/>
          <w:i/>
          <w:lang w:val="en-US"/>
        </w:rPr>
        <w:t>SLCO1B3 c.334T&gt;G</w:t>
      </w:r>
      <w:r>
        <w:rPr>
          <w:rFonts w:ascii="Cambria" w:hAnsi="Cambria"/>
          <w:lang w:val="en-US"/>
        </w:rPr>
        <w:t xml:space="preserve"> genotype (estimate</w:t>
      </w:r>
      <w:r w:rsidR="004259A4">
        <w:rPr>
          <w:rFonts w:ascii="Cambria" w:hAnsi="Cambria"/>
          <w:lang w:val="en-US"/>
        </w:rPr>
        <w:t>d</w:t>
      </w:r>
      <w:r>
        <w:rPr>
          <w:rFonts w:ascii="Cambria" w:hAnsi="Cambria"/>
          <w:lang w:val="en-US"/>
        </w:rPr>
        <w:t xml:space="preserve"> in Figure S4 at 31% in Caucasian Europeans) </w:t>
      </w:r>
      <w:r w:rsidR="002850B8">
        <w:rPr>
          <w:rFonts w:ascii="Cambria" w:hAnsi="Cambria"/>
          <w:lang w:val="en-US"/>
        </w:rPr>
        <w:t>to</w:t>
      </w:r>
      <w:r>
        <w:rPr>
          <w:rFonts w:ascii="Cambria" w:hAnsi="Cambria"/>
          <w:lang w:val="en-US"/>
        </w:rPr>
        <w:t xml:space="preserve"> differ between </w:t>
      </w:r>
      <w:r w:rsidRPr="004259A4">
        <w:rPr>
          <w:rFonts w:ascii="Cambria" w:hAnsi="Cambria"/>
          <w:i/>
          <w:lang w:val="en-US"/>
        </w:rPr>
        <w:t>ABCG2 c.421C&gt;A</w:t>
      </w:r>
      <w:r>
        <w:rPr>
          <w:rFonts w:ascii="Cambria" w:hAnsi="Cambria"/>
          <w:lang w:val="en-US"/>
        </w:rPr>
        <w:t xml:space="preserve"> variant carriers (“treated”) and </w:t>
      </w:r>
      <w:proofErr w:type="spellStart"/>
      <w:r>
        <w:rPr>
          <w:rFonts w:ascii="Cambria" w:hAnsi="Cambria"/>
          <w:lang w:val="en-US"/>
        </w:rPr>
        <w:t>wt</w:t>
      </w:r>
      <w:proofErr w:type="spellEnd"/>
      <w:r>
        <w:rPr>
          <w:rFonts w:ascii="Cambria" w:hAnsi="Cambria"/>
          <w:lang w:val="en-US"/>
        </w:rPr>
        <w:t xml:space="preserve"> subjects (“controls”). However, one could assume a range of different imbalances in prevalence of TT/TG subjects occurring by chance. Table S1 </w:t>
      </w:r>
      <w:r w:rsidR="00BB5BA4">
        <w:rPr>
          <w:rFonts w:ascii="Cambria" w:hAnsi="Cambria"/>
          <w:lang w:val="en-US"/>
        </w:rPr>
        <w:t xml:space="preserve">illustrates </w:t>
      </w:r>
      <w:r w:rsidR="002850B8">
        <w:rPr>
          <w:rFonts w:ascii="Cambria" w:hAnsi="Cambria"/>
          <w:lang w:val="en-US"/>
        </w:rPr>
        <w:t>scenarios</w:t>
      </w:r>
      <w:r w:rsidR="00C13B45">
        <w:rPr>
          <w:rFonts w:ascii="Cambria" w:hAnsi="Cambria"/>
          <w:lang w:val="en-US"/>
        </w:rPr>
        <w:t xml:space="preserve"> </w:t>
      </w:r>
      <w:r w:rsidR="00BB5BA4">
        <w:rPr>
          <w:rFonts w:ascii="Cambria" w:hAnsi="Cambria"/>
          <w:lang w:val="en-US"/>
        </w:rPr>
        <w:t xml:space="preserve">in which a considerable imbalance </w:t>
      </w:r>
      <w:r w:rsidR="004259A4">
        <w:rPr>
          <w:rFonts w:ascii="Cambria" w:hAnsi="Cambria"/>
          <w:lang w:val="en-US"/>
        </w:rPr>
        <w:t xml:space="preserve">occurred by chance - </w:t>
      </w:r>
      <w:r w:rsidR="00BB5BA4">
        <w:rPr>
          <w:rFonts w:ascii="Cambria" w:hAnsi="Cambria"/>
          <w:lang w:val="en-US"/>
        </w:rPr>
        <w:t>prevalence of TT/TG (associated with higher MPA AUC</w:t>
      </w:r>
      <w:r w:rsidR="00BB5BA4" w:rsidRPr="00C13B45">
        <w:rPr>
          <w:rFonts w:ascii="Cambria" w:hAnsi="Cambria"/>
          <w:vertAlign w:val="subscript"/>
          <w:lang w:val="en-US"/>
        </w:rPr>
        <w:t>0-12</w:t>
      </w:r>
      <w:r w:rsidR="00BB5BA4">
        <w:rPr>
          <w:rFonts w:ascii="Cambria" w:hAnsi="Cambria"/>
          <w:lang w:val="en-US"/>
        </w:rPr>
        <w:t xml:space="preserve">) </w:t>
      </w:r>
      <w:r w:rsidR="004259A4">
        <w:rPr>
          <w:rFonts w:ascii="Cambria" w:hAnsi="Cambria"/>
          <w:lang w:val="en-US"/>
        </w:rPr>
        <w:t xml:space="preserve">among </w:t>
      </w:r>
      <w:r w:rsidR="004259A4" w:rsidRPr="00C13B45">
        <w:rPr>
          <w:rFonts w:ascii="Cambria" w:hAnsi="Cambria"/>
          <w:i/>
          <w:lang w:val="en-US"/>
        </w:rPr>
        <w:t>ABCG2 c.421C&gt;A</w:t>
      </w:r>
      <w:r w:rsidR="004259A4">
        <w:rPr>
          <w:rFonts w:ascii="Cambria" w:hAnsi="Cambria"/>
          <w:lang w:val="en-US"/>
        </w:rPr>
        <w:t xml:space="preserve"> variant carriers </w:t>
      </w:r>
      <w:r w:rsidR="002850B8">
        <w:rPr>
          <w:rFonts w:ascii="Cambria" w:hAnsi="Cambria"/>
          <w:lang w:val="en-US"/>
        </w:rPr>
        <w:t xml:space="preserve">(treated) </w:t>
      </w:r>
      <w:r w:rsidR="004259A4">
        <w:rPr>
          <w:rFonts w:ascii="Cambria" w:hAnsi="Cambria"/>
          <w:lang w:val="en-US"/>
        </w:rPr>
        <w:t xml:space="preserve">is </w:t>
      </w:r>
      <w:r w:rsidR="002850B8">
        <w:rPr>
          <w:rFonts w:ascii="Cambria" w:hAnsi="Cambria"/>
          <w:lang w:val="en-US"/>
        </w:rPr>
        <w:t>at</w:t>
      </w:r>
      <w:r w:rsidR="004259A4">
        <w:rPr>
          <w:rFonts w:ascii="Cambria" w:hAnsi="Cambria"/>
          <w:lang w:val="en-US"/>
        </w:rPr>
        <w:t xml:space="preserve"> the upper limit of the 95% prediction interval</w:t>
      </w:r>
      <w:r w:rsidR="00C13B45">
        <w:rPr>
          <w:rFonts w:ascii="Cambria" w:hAnsi="Cambria"/>
          <w:lang w:val="en-US"/>
        </w:rPr>
        <w:t xml:space="preserve"> (Figure S4)</w:t>
      </w:r>
      <w:r w:rsidR="004259A4">
        <w:rPr>
          <w:rFonts w:ascii="Cambria" w:hAnsi="Cambria"/>
          <w:lang w:val="en-US"/>
        </w:rPr>
        <w:t xml:space="preserve"> and is </w:t>
      </w:r>
      <w:r w:rsidR="002850B8">
        <w:rPr>
          <w:rFonts w:ascii="Cambria" w:hAnsi="Cambria"/>
          <w:lang w:val="en-US"/>
        </w:rPr>
        <w:t xml:space="preserve">40%, while in </w:t>
      </w:r>
      <w:proofErr w:type="spellStart"/>
      <w:r w:rsidR="002850B8">
        <w:rPr>
          <w:rFonts w:ascii="Cambria" w:hAnsi="Cambria"/>
          <w:lang w:val="en-US"/>
        </w:rPr>
        <w:t>wt</w:t>
      </w:r>
      <w:proofErr w:type="spellEnd"/>
      <w:r w:rsidR="002850B8">
        <w:rPr>
          <w:rFonts w:ascii="Cambria" w:hAnsi="Cambria"/>
          <w:lang w:val="en-US"/>
        </w:rPr>
        <w:t xml:space="preserve"> subjects (controls) it is at the lower limit of the prediction interval and is 25%. It also illustrates scenarios with an even greater imbalance with 2.5-fold difference in prevalence of TT/TG in </w:t>
      </w:r>
      <w:r w:rsidR="002850B8" w:rsidRPr="002850B8">
        <w:rPr>
          <w:rFonts w:ascii="Cambria" w:hAnsi="Cambria"/>
          <w:i/>
          <w:lang w:val="en-US"/>
        </w:rPr>
        <w:t>ABCG2 c.421</w:t>
      </w:r>
      <w:r w:rsidR="002850B8">
        <w:rPr>
          <w:rFonts w:ascii="Cambria" w:hAnsi="Cambria"/>
          <w:lang w:val="en-US"/>
        </w:rPr>
        <w:t xml:space="preserve"> variant carriers (50%) and </w:t>
      </w:r>
      <w:proofErr w:type="spellStart"/>
      <w:r w:rsidR="002850B8">
        <w:rPr>
          <w:rFonts w:ascii="Cambria" w:hAnsi="Cambria"/>
          <w:lang w:val="en-US"/>
        </w:rPr>
        <w:t>wt</w:t>
      </w:r>
      <w:proofErr w:type="spellEnd"/>
      <w:r w:rsidR="002850B8">
        <w:rPr>
          <w:rFonts w:ascii="Cambria" w:hAnsi="Cambria"/>
          <w:lang w:val="en-US"/>
        </w:rPr>
        <w:t xml:space="preserve"> controls (20%). Even if the effect of TT/TG is much higher than estimated in Figure S2 (i.e., it is ROM=1.25, which should be considered markedly </w:t>
      </w:r>
      <w:r w:rsidR="002850B8">
        <w:rPr>
          <w:rFonts w:ascii="Cambria" w:hAnsi="Cambria"/>
          <w:lang w:val="en-US"/>
        </w:rPr>
        <w:lastRenderedPageBreak/>
        <w:t xml:space="preserve">higher than the pooled estimate, since it was based on raw, unadjusted [reported] values) – the effect of the variant </w:t>
      </w:r>
      <w:r w:rsidR="002850B8" w:rsidRPr="00BB57C2">
        <w:rPr>
          <w:rFonts w:ascii="Cambria" w:hAnsi="Cambria"/>
          <w:i/>
          <w:lang w:val="en-US"/>
        </w:rPr>
        <w:t>ABCG2 c.421</w:t>
      </w:r>
      <w:r w:rsidR="002850B8">
        <w:rPr>
          <w:rFonts w:ascii="Cambria" w:hAnsi="Cambria"/>
          <w:lang w:val="en-US"/>
        </w:rPr>
        <w:t xml:space="preserve"> allele would still be at least GMR=1.31 (vs. the estimated 1.40).</w:t>
      </w:r>
    </w:p>
    <w:p w14:paraId="3AFC5860" w14:textId="77777777" w:rsidR="00BB57C2" w:rsidRDefault="00BB57C2" w:rsidP="00A9796C">
      <w:pPr>
        <w:spacing w:after="0" w:line="360" w:lineRule="auto"/>
        <w:rPr>
          <w:rFonts w:ascii="Cambria" w:hAnsi="Cambria"/>
          <w:b/>
          <w:lang w:val="en-US"/>
        </w:rPr>
      </w:pPr>
    </w:p>
    <w:p w14:paraId="6BFE3BC6" w14:textId="2A716BAA" w:rsidR="002850B8" w:rsidRDefault="0015397F" w:rsidP="00A9796C">
      <w:pPr>
        <w:spacing w:after="0" w:line="360" w:lineRule="auto"/>
        <w:rPr>
          <w:rFonts w:ascii="Cambria" w:hAnsi="Cambria"/>
          <w:lang w:val="en-US"/>
        </w:rPr>
      </w:pPr>
      <w:r w:rsidRPr="0015397F">
        <w:rPr>
          <w:rFonts w:ascii="Cambria" w:hAnsi="Cambria"/>
          <w:b/>
          <w:lang w:val="en-US"/>
        </w:rPr>
        <w:t>Table S1</w:t>
      </w:r>
      <w:r>
        <w:rPr>
          <w:rFonts w:ascii="Cambria" w:hAnsi="Cambria"/>
          <w:lang w:val="en-US"/>
        </w:rPr>
        <w:t xml:space="preserve">. Sensitivity analysis of the effect of </w:t>
      </w:r>
      <w:r w:rsidRPr="00C23EF9">
        <w:rPr>
          <w:rFonts w:ascii="Cambria" w:hAnsi="Cambria"/>
          <w:i/>
          <w:lang w:val="en-US"/>
        </w:rPr>
        <w:t>ABCG2 c.421C&gt;A</w:t>
      </w:r>
      <w:r>
        <w:rPr>
          <w:rFonts w:ascii="Cambria" w:hAnsi="Cambria"/>
          <w:lang w:val="en-US"/>
        </w:rPr>
        <w:t xml:space="preserve"> variant allele on MPA AUC</w:t>
      </w:r>
      <w:r w:rsidRPr="00C23EF9">
        <w:rPr>
          <w:rFonts w:ascii="Cambria" w:hAnsi="Cambria"/>
          <w:vertAlign w:val="subscript"/>
          <w:lang w:val="en-US"/>
        </w:rPr>
        <w:sym w:font="Symbol" w:char="F074"/>
      </w:r>
      <w:proofErr w:type="gramStart"/>
      <w:r w:rsidRPr="00C23EF9">
        <w:rPr>
          <w:rFonts w:ascii="Cambria" w:hAnsi="Cambria"/>
          <w:vertAlign w:val="subscript"/>
          <w:lang w:val="en-US"/>
        </w:rPr>
        <w:t>,</w:t>
      </w:r>
      <w:proofErr w:type="spellStart"/>
      <w:r w:rsidRPr="00C23EF9">
        <w:rPr>
          <w:rFonts w:ascii="Cambria" w:hAnsi="Cambria"/>
          <w:vertAlign w:val="subscript"/>
          <w:lang w:val="en-US"/>
        </w:rPr>
        <w:t>ss</w:t>
      </w:r>
      <w:proofErr w:type="spellEnd"/>
      <w:proofErr w:type="gramEnd"/>
      <w:r>
        <w:rPr>
          <w:rFonts w:ascii="Cambria" w:hAnsi="Cambria"/>
          <w:lang w:val="en-US"/>
        </w:rPr>
        <w:t xml:space="preserve"> (estimated in the main analysis as GMR=1.40) to account for hypothetical bias arising from not accounting for the </w:t>
      </w:r>
      <w:r w:rsidRPr="0015397F">
        <w:rPr>
          <w:rFonts w:ascii="Cambria" w:hAnsi="Cambria"/>
          <w:i/>
          <w:lang w:val="en-US"/>
        </w:rPr>
        <w:t>SLCO1B3 c.334T&gt;G</w:t>
      </w:r>
      <w:r>
        <w:rPr>
          <w:rFonts w:ascii="Cambria" w:hAnsi="Cambria"/>
          <w:lang w:val="en-US"/>
        </w:rPr>
        <w:t xml:space="preserve"> SNP.</w:t>
      </w:r>
      <w:r w:rsidR="00C23EF9">
        <w:rPr>
          <w:rFonts w:ascii="Cambria" w:hAnsi="Cambria"/>
          <w:lang w:val="en-US"/>
        </w:rPr>
        <w:t xml:space="preserve"> The effect of the TT/TG (vs. GG) </w:t>
      </w:r>
      <w:r w:rsidR="00C23EF9" w:rsidRPr="00C23EF9">
        <w:rPr>
          <w:rFonts w:ascii="Cambria" w:hAnsi="Cambria"/>
          <w:i/>
          <w:lang w:val="en-US"/>
        </w:rPr>
        <w:t>SLCO1B3 c.334</w:t>
      </w:r>
      <w:r w:rsidR="00C23EF9">
        <w:rPr>
          <w:rFonts w:ascii="Cambria" w:hAnsi="Cambria"/>
          <w:lang w:val="en-US"/>
        </w:rPr>
        <w:t xml:space="preserve"> genotype is estimated at ROM=1.135 (95%CI 0.949-1.361) (Figure S2) and prevalence of the TT/TG genotype is estimated at 31% (Figure S4). Shown are bias-corrected effects (GMRs) of the </w:t>
      </w:r>
      <w:r w:rsidR="00C23EF9" w:rsidRPr="00C23EF9">
        <w:rPr>
          <w:rFonts w:ascii="Cambria" w:hAnsi="Cambria"/>
          <w:i/>
          <w:lang w:val="en-US"/>
        </w:rPr>
        <w:t>ABCG2 c.421C&gt;A</w:t>
      </w:r>
      <w:r w:rsidR="00C23EF9">
        <w:rPr>
          <w:rFonts w:ascii="Cambria" w:hAnsi="Cambria"/>
          <w:lang w:val="en-US"/>
        </w:rPr>
        <w:t xml:space="preserve"> variant (vs. </w:t>
      </w:r>
      <w:proofErr w:type="spellStart"/>
      <w:r w:rsidR="00C23EF9">
        <w:rPr>
          <w:rFonts w:ascii="Cambria" w:hAnsi="Cambria"/>
          <w:lang w:val="en-US"/>
        </w:rPr>
        <w:t>wt</w:t>
      </w:r>
      <w:proofErr w:type="spellEnd"/>
      <w:r w:rsidR="00C23EF9">
        <w:rPr>
          <w:rFonts w:ascii="Cambria" w:hAnsi="Cambria"/>
          <w:lang w:val="en-US"/>
        </w:rPr>
        <w:t xml:space="preserve">) assuming considerable imbalance between variant carriers and </w:t>
      </w:r>
      <w:proofErr w:type="spellStart"/>
      <w:r w:rsidR="00C23EF9">
        <w:rPr>
          <w:rFonts w:ascii="Cambria" w:hAnsi="Cambria"/>
          <w:lang w:val="en-US"/>
        </w:rPr>
        <w:t>wt</w:t>
      </w:r>
      <w:proofErr w:type="spellEnd"/>
      <w:r w:rsidR="00C23EF9">
        <w:rPr>
          <w:rFonts w:ascii="Cambria" w:hAnsi="Cambria"/>
          <w:lang w:val="en-US"/>
        </w:rPr>
        <w:t xml:space="preserve"> controls in prevalence of the </w:t>
      </w:r>
      <w:r w:rsidR="00C23EF9" w:rsidRPr="00C23EF9">
        <w:rPr>
          <w:rFonts w:ascii="Cambria" w:hAnsi="Cambria"/>
          <w:i/>
          <w:lang w:val="en-US"/>
        </w:rPr>
        <w:t>SLCO1B3 c.334 TT/TG</w:t>
      </w:r>
      <w:r w:rsidR="00C23EF9">
        <w:rPr>
          <w:rFonts w:ascii="Cambria" w:hAnsi="Cambria"/>
          <w:lang w:val="en-US"/>
        </w:rPr>
        <w:t xml:space="preserve"> genotype, and assuming TT/TG effect as estimated (i.e., 1.15) and higher, up to 1.25.</w:t>
      </w:r>
    </w:p>
    <w:tbl>
      <w:tblPr>
        <w:tblStyle w:val="TableGrid"/>
        <w:tblW w:w="9439" w:type="dxa"/>
        <w:tblBorders>
          <w:left w:val="none" w:sz="0" w:space="0" w:color="auto"/>
          <w:right w:val="none" w:sz="0" w:space="0" w:color="auto"/>
          <w:insideV w:val="none" w:sz="0" w:space="0" w:color="auto"/>
        </w:tblBorders>
        <w:tblLook w:val="04A0" w:firstRow="1" w:lastRow="0" w:firstColumn="1" w:lastColumn="0" w:noHBand="0" w:noVBand="1"/>
      </w:tblPr>
      <w:tblGrid>
        <w:gridCol w:w="2098"/>
        <w:gridCol w:w="236"/>
        <w:gridCol w:w="2098"/>
        <w:gridCol w:w="236"/>
        <w:gridCol w:w="2211"/>
        <w:gridCol w:w="236"/>
        <w:gridCol w:w="2324"/>
      </w:tblGrid>
      <w:tr w:rsidR="003203A0" w:rsidRPr="002850B8" w14:paraId="2544D702" w14:textId="77777777" w:rsidTr="0015397F">
        <w:tc>
          <w:tcPr>
            <w:tcW w:w="2098" w:type="dxa"/>
            <w:tcBorders>
              <w:bottom w:val="single" w:sz="4" w:space="0" w:color="auto"/>
            </w:tcBorders>
          </w:tcPr>
          <w:p w14:paraId="34394ADC" w14:textId="078A6312" w:rsidR="002850B8" w:rsidRPr="002850B8" w:rsidRDefault="002850B8" w:rsidP="003203A0">
            <w:pPr>
              <w:spacing w:line="288" w:lineRule="auto"/>
              <w:ind w:left="-85" w:right="-57"/>
              <w:rPr>
                <w:rFonts w:ascii="Cambria" w:hAnsi="Cambria"/>
                <w:sz w:val="20"/>
                <w:szCs w:val="20"/>
                <w:lang w:val="en-US"/>
              </w:rPr>
            </w:pPr>
            <w:r>
              <w:rPr>
                <w:rFonts w:ascii="Cambria" w:hAnsi="Cambria"/>
                <w:sz w:val="20"/>
                <w:szCs w:val="20"/>
                <w:lang w:val="en-US"/>
              </w:rPr>
              <w:t xml:space="preserve">Prevalence of TT/TG in </w:t>
            </w:r>
            <w:r w:rsidR="003203A0" w:rsidRPr="003203A0">
              <w:rPr>
                <w:rFonts w:ascii="Cambria" w:hAnsi="Cambria"/>
                <w:i/>
                <w:sz w:val="20"/>
                <w:szCs w:val="20"/>
                <w:lang w:val="en-US"/>
              </w:rPr>
              <w:t>ABCG2</w:t>
            </w:r>
            <w:r w:rsidR="003203A0">
              <w:rPr>
                <w:rFonts w:ascii="Cambria" w:hAnsi="Cambria"/>
                <w:sz w:val="20"/>
                <w:szCs w:val="20"/>
                <w:lang w:val="en-US"/>
              </w:rPr>
              <w:t xml:space="preserve"> variant carriers</w:t>
            </w:r>
          </w:p>
        </w:tc>
        <w:tc>
          <w:tcPr>
            <w:tcW w:w="236" w:type="dxa"/>
            <w:tcBorders>
              <w:bottom w:val="nil"/>
            </w:tcBorders>
          </w:tcPr>
          <w:p w14:paraId="14F99E90" w14:textId="77777777" w:rsidR="002850B8" w:rsidRPr="002850B8" w:rsidRDefault="002850B8" w:rsidP="002850B8">
            <w:pPr>
              <w:spacing w:line="288" w:lineRule="auto"/>
              <w:ind w:left="-85" w:right="-57"/>
              <w:rPr>
                <w:rFonts w:ascii="Cambria" w:hAnsi="Cambria"/>
                <w:sz w:val="20"/>
                <w:szCs w:val="20"/>
                <w:lang w:val="en-US"/>
              </w:rPr>
            </w:pPr>
          </w:p>
        </w:tc>
        <w:tc>
          <w:tcPr>
            <w:tcW w:w="2098" w:type="dxa"/>
            <w:tcBorders>
              <w:bottom w:val="single" w:sz="4" w:space="0" w:color="auto"/>
            </w:tcBorders>
          </w:tcPr>
          <w:p w14:paraId="4744AD1D" w14:textId="6F6FC6C8" w:rsidR="002850B8" w:rsidRPr="002850B8" w:rsidRDefault="002850B8" w:rsidP="003203A0">
            <w:pPr>
              <w:spacing w:line="288" w:lineRule="auto"/>
              <w:ind w:left="-85" w:right="-57"/>
              <w:rPr>
                <w:rFonts w:ascii="Cambria" w:hAnsi="Cambria"/>
                <w:sz w:val="20"/>
                <w:szCs w:val="20"/>
                <w:lang w:val="en-US"/>
              </w:rPr>
            </w:pPr>
            <w:r>
              <w:rPr>
                <w:rFonts w:ascii="Cambria" w:hAnsi="Cambria"/>
                <w:sz w:val="20"/>
                <w:szCs w:val="20"/>
                <w:lang w:val="en-US"/>
              </w:rPr>
              <w:t xml:space="preserve">Prevalence of TT/TG in </w:t>
            </w:r>
            <w:r w:rsidR="003203A0" w:rsidRPr="003203A0">
              <w:rPr>
                <w:rFonts w:ascii="Cambria" w:hAnsi="Cambria"/>
                <w:i/>
                <w:sz w:val="20"/>
                <w:szCs w:val="20"/>
                <w:lang w:val="en-US"/>
              </w:rPr>
              <w:t>ABCG2</w:t>
            </w:r>
            <w:r w:rsidR="003203A0">
              <w:rPr>
                <w:rFonts w:ascii="Cambria" w:hAnsi="Cambria"/>
                <w:sz w:val="20"/>
                <w:szCs w:val="20"/>
                <w:lang w:val="en-US"/>
              </w:rPr>
              <w:t xml:space="preserve"> </w:t>
            </w:r>
            <w:proofErr w:type="spellStart"/>
            <w:r w:rsidR="003203A0">
              <w:rPr>
                <w:rFonts w:ascii="Cambria" w:hAnsi="Cambria"/>
                <w:sz w:val="20"/>
                <w:szCs w:val="20"/>
                <w:lang w:val="en-US"/>
              </w:rPr>
              <w:t>wt</w:t>
            </w:r>
            <w:proofErr w:type="spellEnd"/>
            <w:r w:rsidR="003203A0">
              <w:rPr>
                <w:rFonts w:ascii="Cambria" w:hAnsi="Cambria"/>
                <w:sz w:val="20"/>
                <w:szCs w:val="20"/>
                <w:lang w:val="en-US"/>
              </w:rPr>
              <w:t xml:space="preserve"> controls</w:t>
            </w:r>
          </w:p>
        </w:tc>
        <w:tc>
          <w:tcPr>
            <w:tcW w:w="236" w:type="dxa"/>
            <w:tcBorders>
              <w:bottom w:val="nil"/>
            </w:tcBorders>
          </w:tcPr>
          <w:p w14:paraId="30B21138" w14:textId="77777777" w:rsidR="002850B8" w:rsidRPr="002850B8" w:rsidRDefault="002850B8" w:rsidP="002850B8">
            <w:pPr>
              <w:spacing w:line="288" w:lineRule="auto"/>
              <w:ind w:left="-85" w:right="-57"/>
              <w:rPr>
                <w:rFonts w:ascii="Cambria" w:hAnsi="Cambria"/>
                <w:sz w:val="20"/>
                <w:szCs w:val="20"/>
                <w:lang w:val="en-US"/>
              </w:rPr>
            </w:pPr>
          </w:p>
        </w:tc>
        <w:tc>
          <w:tcPr>
            <w:tcW w:w="2211" w:type="dxa"/>
            <w:tcBorders>
              <w:bottom w:val="single" w:sz="4" w:space="0" w:color="auto"/>
            </w:tcBorders>
          </w:tcPr>
          <w:p w14:paraId="3A4B6976" w14:textId="6A0EB8DA" w:rsidR="002850B8" w:rsidRPr="002850B8" w:rsidRDefault="002850B8" w:rsidP="002850B8">
            <w:pPr>
              <w:spacing w:line="288" w:lineRule="auto"/>
              <w:ind w:left="-85" w:right="-57"/>
              <w:rPr>
                <w:rFonts w:ascii="Cambria" w:hAnsi="Cambria"/>
                <w:sz w:val="20"/>
                <w:szCs w:val="20"/>
                <w:lang w:val="en-US"/>
              </w:rPr>
            </w:pPr>
            <w:r>
              <w:rPr>
                <w:rFonts w:ascii="Cambria" w:hAnsi="Cambria"/>
                <w:sz w:val="20"/>
                <w:szCs w:val="20"/>
                <w:lang w:val="en-US"/>
              </w:rPr>
              <w:t xml:space="preserve">Effect of </w:t>
            </w:r>
            <w:r w:rsidRPr="003203A0">
              <w:rPr>
                <w:rFonts w:ascii="Cambria" w:hAnsi="Cambria"/>
                <w:i/>
                <w:sz w:val="20"/>
                <w:szCs w:val="20"/>
                <w:lang w:val="en-US"/>
              </w:rPr>
              <w:t xml:space="preserve">TT/TG </w:t>
            </w:r>
            <w:r w:rsidR="003203A0" w:rsidRPr="003203A0">
              <w:rPr>
                <w:rFonts w:ascii="Cambria" w:hAnsi="Cambria"/>
                <w:i/>
                <w:sz w:val="20"/>
                <w:szCs w:val="20"/>
                <w:lang w:val="en-US"/>
              </w:rPr>
              <w:t>SLCO1B3</w:t>
            </w:r>
            <w:r w:rsidR="003203A0">
              <w:rPr>
                <w:rFonts w:ascii="Cambria" w:hAnsi="Cambria"/>
                <w:sz w:val="20"/>
                <w:szCs w:val="20"/>
                <w:lang w:val="en-US"/>
              </w:rPr>
              <w:t xml:space="preserve"> genotype </w:t>
            </w:r>
            <w:r>
              <w:rPr>
                <w:rFonts w:ascii="Cambria" w:hAnsi="Cambria"/>
                <w:sz w:val="20"/>
                <w:szCs w:val="20"/>
                <w:lang w:val="en-US"/>
              </w:rPr>
              <w:t>(ROM)</w:t>
            </w:r>
          </w:p>
        </w:tc>
        <w:tc>
          <w:tcPr>
            <w:tcW w:w="236" w:type="dxa"/>
            <w:tcBorders>
              <w:bottom w:val="nil"/>
            </w:tcBorders>
          </w:tcPr>
          <w:p w14:paraId="7A199EB8" w14:textId="77777777" w:rsidR="002850B8" w:rsidRPr="002850B8" w:rsidRDefault="002850B8" w:rsidP="002850B8">
            <w:pPr>
              <w:spacing w:line="288" w:lineRule="auto"/>
              <w:ind w:left="-85" w:right="-57"/>
              <w:rPr>
                <w:rFonts w:ascii="Cambria" w:hAnsi="Cambria"/>
                <w:sz w:val="20"/>
                <w:szCs w:val="20"/>
                <w:lang w:val="en-US"/>
              </w:rPr>
            </w:pPr>
          </w:p>
        </w:tc>
        <w:tc>
          <w:tcPr>
            <w:tcW w:w="2324" w:type="dxa"/>
            <w:tcBorders>
              <w:bottom w:val="single" w:sz="4" w:space="0" w:color="auto"/>
            </w:tcBorders>
          </w:tcPr>
          <w:p w14:paraId="43EAE44B" w14:textId="4AB3F7B5" w:rsidR="002850B8" w:rsidRPr="002850B8" w:rsidRDefault="002850B8" w:rsidP="003203A0">
            <w:pPr>
              <w:spacing w:line="288" w:lineRule="auto"/>
              <w:ind w:left="-85" w:right="-57"/>
              <w:rPr>
                <w:rFonts w:ascii="Cambria" w:hAnsi="Cambria"/>
                <w:sz w:val="20"/>
                <w:szCs w:val="20"/>
                <w:lang w:val="en-US"/>
              </w:rPr>
            </w:pPr>
            <w:r>
              <w:rPr>
                <w:rFonts w:ascii="Cambria" w:hAnsi="Cambria"/>
                <w:sz w:val="20"/>
                <w:szCs w:val="20"/>
                <w:lang w:val="en-US"/>
              </w:rPr>
              <w:t xml:space="preserve">Bias-corrected effect of </w:t>
            </w:r>
            <w:r w:rsidRPr="002850B8">
              <w:rPr>
                <w:rFonts w:ascii="Cambria" w:hAnsi="Cambria"/>
                <w:i/>
                <w:sz w:val="20"/>
                <w:szCs w:val="20"/>
                <w:lang w:val="en-US"/>
              </w:rPr>
              <w:t>ABCG2 c.421</w:t>
            </w:r>
            <w:r>
              <w:rPr>
                <w:rFonts w:ascii="Cambria" w:hAnsi="Cambria"/>
                <w:sz w:val="20"/>
                <w:szCs w:val="20"/>
                <w:lang w:val="en-US"/>
              </w:rPr>
              <w:t xml:space="preserve"> variant </w:t>
            </w:r>
            <w:r w:rsidR="003203A0">
              <w:rPr>
                <w:rFonts w:ascii="Cambria" w:hAnsi="Cambria"/>
                <w:sz w:val="20"/>
                <w:szCs w:val="20"/>
                <w:lang w:val="en-US"/>
              </w:rPr>
              <w:t>allele</w:t>
            </w:r>
          </w:p>
        </w:tc>
      </w:tr>
      <w:tr w:rsidR="003203A0" w:rsidRPr="002850B8" w14:paraId="68229B71" w14:textId="77777777" w:rsidTr="0015397F">
        <w:tc>
          <w:tcPr>
            <w:tcW w:w="2098" w:type="dxa"/>
            <w:tcBorders>
              <w:bottom w:val="nil"/>
            </w:tcBorders>
          </w:tcPr>
          <w:p w14:paraId="5CF91F52" w14:textId="3E82FC85" w:rsidR="003203A0" w:rsidRPr="002850B8" w:rsidRDefault="003203A0" w:rsidP="003203A0">
            <w:pPr>
              <w:spacing w:line="288" w:lineRule="auto"/>
              <w:ind w:left="-85" w:right="-57"/>
              <w:rPr>
                <w:rFonts w:ascii="Cambria" w:hAnsi="Cambria"/>
                <w:sz w:val="20"/>
                <w:szCs w:val="20"/>
                <w:lang w:val="en-US"/>
              </w:rPr>
            </w:pPr>
            <w:r>
              <w:rPr>
                <w:rFonts w:ascii="Cambria" w:hAnsi="Cambria"/>
                <w:sz w:val="20"/>
                <w:szCs w:val="20"/>
                <w:lang w:val="en-US"/>
              </w:rPr>
              <w:t>40%</w:t>
            </w:r>
          </w:p>
        </w:tc>
        <w:tc>
          <w:tcPr>
            <w:tcW w:w="236" w:type="dxa"/>
            <w:tcBorders>
              <w:top w:val="nil"/>
              <w:bottom w:val="nil"/>
            </w:tcBorders>
          </w:tcPr>
          <w:p w14:paraId="5C338473" w14:textId="77777777" w:rsidR="003203A0" w:rsidRPr="002850B8" w:rsidRDefault="003203A0" w:rsidP="003203A0">
            <w:pPr>
              <w:spacing w:line="288" w:lineRule="auto"/>
              <w:ind w:left="-85" w:right="-57"/>
              <w:rPr>
                <w:rFonts w:ascii="Cambria" w:hAnsi="Cambria"/>
                <w:sz w:val="20"/>
                <w:szCs w:val="20"/>
                <w:lang w:val="en-US"/>
              </w:rPr>
            </w:pPr>
          </w:p>
        </w:tc>
        <w:tc>
          <w:tcPr>
            <w:tcW w:w="2098" w:type="dxa"/>
            <w:tcBorders>
              <w:bottom w:val="nil"/>
            </w:tcBorders>
          </w:tcPr>
          <w:p w14:paraId="3F6D0CB0" w14:textId="30D86150" w:rsidR="003203A0" w:rsidRPr="002850B8" w:rsidRDefault="003203A0" w:rsidP="003203A0">
            <w:pPr>
              <w:spacing w:line="288" w:lineRule="auto"/>
              <w:ind w:left="-85" w:right="-57"/>
              <w:rPr>
                <w:rFonts w:ascii="Cambria" w:hAnsi="Cambria"/>
                <w:sz w:val="20"/>
                <w:szCs w:val="20"/>
                <w:lang w:val="en-US"/>
              </w:rPr>
            </w:pPr>
            <w:r>
              <w:rPr>
                <w:rFonts w:ascii="Cambria" w:hAnsi="Cambria"/>
                <w:sz w:val="20"/>
                <w:szCs w:val="20"/>
                <w:lang w:val="en-US"/>
              </w:rPr>
              <w:t>25%</w:t>
            </w:r>
          </w:p>
        </w:tc>
        <w:tc>
          <w:tcPr>
            <w:tcW w:w="236" w:type="dxa"/>
            <w:tcBorders>
              <w:top w:val="nil"/>
              <w:bottom w:val="nil"/>
            </w:tcBorders>
          </w:tcPr>
          <w:p w14:paraId="558C9EC4" w14:textId="77777777" w:rsidR="003203A0" w:rsidRPr="002850B8" w:rsidRDefault="003203A0" w:rsidP="003203A0">
            <w:pPr>
              <w:spacing w:line="288" w:lineRule="auto"/>
              <w:ind w:left="-85" w:right="-57"/>
              <w:rPr>
                <w:rFonts w:ascii="Cambria" w:hAnsi="Cambria"/>
                <w:sz w:val="20"/>
                <w:szCs w:val="20"/>
                <w:lang w:val="en-US"/>
              </w:rPr>
            </w:pPr>
          </w:p>
        </w:tc>
        <w:tc>
          <w:tcPr>
            <w:tcW w:w="2211" w:type="dxa"/>
            <w:tcBorders>
              <w:bottom w:val="nil"/>
            </w:tcBorders>
          </w:tcPr>
          <w:p w14:paraId="0EB3B573" w14:textId="0CB5D0D5" w:rsidR="003203A0" w:rsidRPr="002850B8" w:rsidRDefault="003203A0" w:rsidP="003203A0">
            <w:pPr>
              <w:spacing w:line="288" w:lineRule="auto"/>
              <w:ind w:left="-85" w:right="-57"/>
              <w:rPr>
                <w:rFonts w:ascii="Cambria" w:hAnsi="Cambria"/>
                <w:sz w:val="20"/>
                <w:szCs w:val="20"/>
                <w:lang w:val="en-US"/>
              </w:rPr>
            </w:pPr>
            <w:r>
              <w:rPr>
                <w:rFonts w:ascii="Cambria" w:hAnsi="Cambria"/>
                <w:sz w:val="20"/>
                <w:szCs w:val="20"/>
                <w:lang w:val="en-US"/>
              </w:rPr>
              <w:t>1.15</w:t>
            </w:r>
          </w:p>
        </w:tc>
        <w:tc>
          <w:tcPr>
            <w:tcW w:w="236" w:type="dxa"/>
            <w:tcBorders>
              <w:top w:val="nil"/>
              <w:bottom w:val="nil"/>
            </w:tcBorders>
          </w:tcPr>
          <w:p w14:paraId="1F44B400" w14:textId="77777777" w:rsidR="003203A0" w:rsidRPr="002850B8" w:rsidRDefault="003203A0" w:rsidP="003203A0">
            <w:pPr>
              <w:spacing w:line="288" w:lineRule="auto"/>
              <w:ind w:left="-85" w:right="-57"/>
              <w:rPr>
                <w:rFonts w:ascii="Cambria" w:hAnsi="Cambria"/>
                <w:sz w:val="20"/>
                <w:szCs w:val="20"/>
                <w:lang w:val="en-US"/>
              </w:rPr>
            </w:pPr>
          </w:p>
        </w:tc>
        <w:tc>
          <w:tcPr>
            <w:tcW w:w="2324" w:type="dxa"/>
            <w:tcBorders>
              <w:bottom w:val="nil"/>
            </w:tcBorders>
          </w:tcPr>
          <w:p w14:paraId="29BA38D2" w14:textId="2F388F0C" w:rsidR="003203A0" w:rsidRPr="002850B8" w:rsidRDefault="003203A0" w:rsidP="003203A0">
            <w:pPr>
              <w:spacing w:line="288" w:lineRule="auto"/>
              <w:ind w:left="-85" w:right="-57"/>
              <w:rPr>
                <w:rFonts w:ascii="Cambria" w:hAnsi="Cambria"/>
                <w:sz w:val="20"/>
                <w:szCs w:val="20"/>
                <w:lang w:val="en-US"/>
              </w:rPr>
            </w:pPr>
            <w:r>
              <w:rPr>
                <w:rFonts w:ascii="Cambria" w:hAnsi="Cambria"/>
                <w:sz w:val="20"/>
                <w:szCs w:val="20"/>
                <w:lang w:val="en-US"/>
              </w:rPr>
              <w:t>1.37</w:t>
            </w:r>
          </w:p>
        </w:tc>
      </w:tr>
      <w:tr w:rsidR="003203A0" w:rsidRPr="002850B8" w14:paraId="05497EBD" w14:textId="77777777" w:rsidTr="0015397F">
        <w:tc>
          <w:tcPr>
            <w:tcW w:w="2098" w:type="dxa"/>
            <w:tcBorders>
              <w:top w:val="nil"/>
              <w:bottom w:val="nil"/>
            </w:tcBorders>
          </w:tcPr>
          <w:p w14:paraId="12B21F03" w14:textId="21D799D9" w:rsidR="003203A0" w:rsidRPr="002850B8" w:rsidRDefault="003203A0" w:rsidP="003203A0">
            <w:pPr>
              <w:spacing w:line="288" w:lineRule="auto"/>
              <w:ind w:left="-85" w:right="-57"/>
              <w:rPr>
                <w:rFonts w:ascii="Cambria" w:hAnsi="Cambria"/>
                <w:sz w:val="20"/>
                <w:szCs w:val="20"/>
                <w:lang w:val="en-US"/>
              </w:rPr>
            </w:pPr>
            <w:r>
              <w:rPr>
                <w:rFonts w:ascii="Cambria" w:hAnsi="Cambria"/>
                <w:sz w:val="20"/>
                <w:szCs w:val="20"/>
                <w:lang w:val="en-US"/>
              </w:rPr>
              <w:t>40%</w:t>
            </w:r>
          </w:p>
        </w:tc>
        <w:tc>
          <w:tcPr>
            <w:tcW w:w="236" w:type="dxa"/>
            <w:tcBorders>
              <w:top w:val="nil"/>
              <w:bottom w:val="nil"/>
            </w:tcBorders>
          </w:tcPr>
          <w:p w14:paraId="565C6B37" w14:textId="77777777" w:rsidR="003203A0" w:rsidRPr="002850B8" w:rsidRDefault="003203A0" w:rsidP="003203A0">
            <w:pPr>
              <w:spacing w:line="288" w:lineRule="auto"/>
              <w:ind w:left="-85" w:right="-57"/>
              <w:rPr>
                <w:rFonts w:ascii="Cambria" w:hAnsi="Cambria"/>
                <w:sz w:val="20"/>
                <w:szCs w:val="20"/>
                <w:lang w:val="en-US"/>
              </w:rPr>
            </w:pPr>
          </w:p>
        </w:tc>
        <w:tc>
          <w:tcPr>
            <w:tcW w:w="2098" w:type="dxa"/>
            <w:tcBorders>
              <w:top w:val="nil"/>
              <w:bottom w:val="nil"/>
            </w:tcBorders>
          </w:tcPr>
          <w:p w14:paraId="3289EE81" w14:textId="57AF2CF1" w:rsidR="003203A0" w:rsidRPr="002850B8" w:rsidRDefault="003203A0" w:rsidP="003203A0">
            <w:pPr>
              <w:spacing w:line="288" w:lineRule="auto"/>
              <w:ind w:left="-85" w:right="-57"/>
              <w:rPr>
                <w:rFonts w:ascii="Cambria" w:hAnsi="Cambria"/>
                <w:sz w:val="20"/>
                <w:szCs w:val="20"/>
                <w:lang w:val="en-US"/>
              </w:rPr>
            </w:pPr>
            <w:r>
              <w:rPr>
                <w:rFonts w:ascii="Cambria" w:hAnsi="Cambria"/>
                <w:sz w:val="20"/>
                <w:szCs w:val="20"/>
                <w:lang w:val="en-US"/>
              </w:rPr>
              <w:t>25%</w:t>
            </w:r>
          </w:p>
        </w:tc>
        <w:tc>
          <w:tcPr>
            <w:tcW w:w="236" w:type="dxa"/>
            <w:tcBorders>
              <w:top w:val="nil"/>
              <w:bottom w:val="nil"/>
            </w:tcBorders>
          </w:tcPr>
          <w:p w14:paraId="708F9650" w14:textId="77777777" w:rsidR="003203A0" w:rsidRPr="002850B8" w:rsidRDefault="003203A0" w:rsidP="003203A0">
            <w:pPr>
              <w:spacing w:line="288" w:lineRule="auto"/>
              <w:ind w:left="-85" w:right="-57"/>
              <w:rPr>
                <w:rFonts w:ascii="Cambria" w:hAnsi="Cambria"/>
                <w:sz w:val="20"/>
                <w:szCs w:val="20"/>
                <w:lang w:val="en-US"/>
              </w:rPr>
            </w:pPr>
          </w:p>
        </w:tc>
        <w:tc>
          <w:tcPr>
            <w:tcW w:w="2211" w:type="dxa"/>
            <w:tcBorders>
              <w:top w:val="nil"/>
              <w:bottom w:val="nil"/>
            </w:tcBorders>
          </w:tcPr>
          <w:p w14:paraId="4F8677E4" w14:textId="51353AB6" w:rsidR="003203A0" w:rsidRPr="002850B8" w:rsidRDefault="003203A0" w:rsidP="003203A0">
            <w:pPr>
              <w:spacing w:line="288" w:lineRule="auto"/>
              <w:ind w:left="-85" w:right="-57"/>
              <w:rPr>
                <w:rFonts w:ascii="Cambria" w:hAnsi="Cambria"/>
                <w:sz w:val="20"/>
                <w:szCs w:val="20"/>
                <w:lang w:val="en-US"/>
              </w:rPr>
            </w:pPr>
            <w:r>
              <w:rPr>
                <w:rFonts w:ascii="Cambria" w:hAnsi="Cambria"/>
                <w:sz w:val="20"/>
                <w:szCs w:val="20"/>
                <w:lang w:val="en-US"/>
              </w:rPr>
              <w:t>1.20</w:t>
            </w:r>
          </w:p>
        </w:tc>
        <w:tc>
          <w:tcPr>
            <w:tcW w:w="236" w:type="dxa"/>
            <w:tcBorders>
              <w:top w:val="nil"/>
              <w:bottom w:val="nil"/>
            </w:tcBorders>
          </w:tcPr>
          <w:p w14:paraId="74B25757" w14:textId="77777777" w:rsidR="003203A0" w:rsidRPr="002850B8" w:rsidRDefault="003203A0" w:rsidP="003203A0">
            <w:pPr>
              <w:spacing w:line="288" w:lineRule="auto"/>
              <w:ind w:left="-85" w:right="-57"/>
              <w:rPr>
                <w:rFonts w:ascii="Cambria" w:hAnsi="Cambria"/>
                <w:sz w:val="20"/>
                <w:szCs w:val="20"/>
                <w:lang w:val="en-US"/>
              </w:rPr>
            </w:pPr>
          </w:p>
        </w:tc>
        <w:tc>
          <w:tcPr>
            <w:tcW w:w="2324" w:type="dxa"/>
            <w:tcBorders>
              <w:top w:val="nil"/>
              <w:bottom w:val="nil"/>
            </w:tcBorders>
          </w:tcPr>
          <w:p w14:paraId="78CDABEC" w14:textId="03AA2D71" w:rsidR="003203A0" w:rsidRPr="002850B8" w:rsidRDefault="003203A0" w:rsidP="003203A0">
            <w:pPr>
              <w:spacing w:line="288" w:lineRule="auto"/>
              <w:ind w:left="-85" w:right="-57"/>
              <w:rPr>
                <w:rFonts w:ascii="Cambria" w:hAnsi="Cambria"/>
                <w:sz w:val="20"/>
                <w:szCs w:val="20"/>
                <w:lang w:val="en-US"/>
              </w:rPr>
            </w:pPr>
            <w:r>
              <w:rPr>
                <w:rFonts w:ascii="Cambria" w:hAnsi="Cambria"/>
                <w:sz w:val="20"/>
                <w:szCs w:val="20"/>
                <w:lang w:val="en-US"/>
              </w:rPr>
              <w:t>1.36</w:t>
            </w:r>
          </w:p>
        </w:tc>
      </w:tr>
      <w:tr w:rsidR="003203A0" w:rsidRPr="002850B8" w14:paraId="6D4F6C9D" w14:textId="77777777" w:rsidTr="0015397F">
        <w:tc>
          <w:tcPr>
            <w:tcW w:w="2098" w:type="dxa"/>
            <w:tcBorders>
              <w:top w:val="nil"/>
              <w:bottom w:val="nil"/>
            </w:tcBorders>
          </w:tcPr>
          <w:p w14:paraId="6F8FD1D4" w14:textId="4C8C3B7C" w:rsidR="003203A0" w:rsidRPr="002850B8" w:rsidRDefault="003203A0" w:rsidP="003203A0">
            <w:pPr>
              <w:spacing w:line="288" w:lineRule="auto"/>
              <w:ind w:left="-85" w:right="-57"/>
              <w:rPr>
                <w:rFonts w:ascii="Cambria" w:hAnsi="Cambria"/>
                <w:sz w:val="20"/>
                <w:szCs w:val="20"/>
                <w:lang w:val="en-US"/>
              </w:rPr>
            </w:pPr>
            <w:r>
              <w:rPr>
                <w:rFonts w:ascii="Cambria" w:hAnsi="Cambria"/>
                <w:sz w:val="20"/>
                <w:szCs w:val="20"/>
                <w:lang w:val="en-US"/>
              </w:rPr>
              <w:t>40%</w:t>
            </w:r>
          </w:p>
        </w:tc>
        <w:tc>
          <w:tcPr>
            <w:tcW w:w="236" w:type="dxa"/>
            <w:tcBorders>
              <w:top w:val="nil"/>
              <w:bottom w:val="nil"/>
            </w:tcBorders>
          </w:tcPr>
          <w:p w14:paraId="7B71A28E" w14:textId="77777777" w:rsidR="003203A0" w:rsidRPr="002850B8" w:rsidRDefault="003203A0" w:rsidP="003203A0">
            <w:pPr>
              <w:spacing w:line="288" w:lineRule="auto"/>
              <w:ind w:left="-85" w:right="-57"/>
              <w:rPr>
                <w:rFonts w:ascii="Cambria" w:hAnsi="Cambria"/>
                <w:sz w:val="20"/>
                <w:szCs w:val="20"/>
                <w:lang w:val="en-US"/>
              </w:rPr>
            </w:pPr>
          </w:p>
        </w:tc>
        <w:tc>
          <w:tcPr>
            <w:tcW w:w="2098" w:type="dxa"/>
            <w:tcBorders>
              <w:top w:val="nil"/>
              <w:bottom w:val="nil"/>
            </w:tcBorders>
          </w:tcPr>
          <w:p w14:paraId="51761B32" w14:textId="3C33461B" w:rsidR="003203A0" w:rsidRPr="002850B8" w:rsidRDefault="003203A0" w:rsidP="003203A0">
            <w:pPr>
              <w:spacing w:line="288" w:lineRule="auto"/>
              <w:ind w:left="-85" w:right="-57"/>
              <w:rPr>
                <w:rFonts w:ascii="Cambria" w:hAnsi="Cambria"/>
                <w:sz w:val="20"/>
                <w:szCs w:val="20"/>
                <w:lang w:val="en-US"/>
              </w:rPr>
            </w:pPr>
            <w:r>
              <w:rPr>
                <w:rFonts w:ascii="Cambria" w:hAnsi="Cambria"/>
                <w:sz w:val="20"/>
                <w:szCs w:val="20"/>
                <w:lang w:val="en-US"/>
              </w:rPr>
              <w:t>25%</w:t>
            </w:r>
          </w:p>
        </w:tc>
        <w:tc>
          <w:tcPr>
            <w:tcW w:w="236" w:type="dxa"/>
            <w:tcBorders>
              <w:top w:val="nil"/>
              <w:bottom w:val="nil"/>
            </w:tcBorders>
          </w:tcPr>
          <w:p w14:paraId="3AFE1F83" w14:textId="77777777" w:rsidR="003203A0" w:rsidRPr="002850B8" w:rsidRDefault="003203A0" w:rsidP="003203A0">
            <w:pPr>
              <w:spacing w:line="288" w:lineRule="auto"/>
              <w:ind w:left="-85" w:right="-57"/>
              <w:rPr>
                <w:rFonts w:ascii="Cambria" w:hAnsi="Cambria"/>
                <w:sz w:val="20"/>
                <w:szCs w:val="20"/>
                <w:lang w:val="en-US"/>
              </w:rPr>
            </w:pPr>
          </w:p>
        </w:tc>
        <w:tc>
          <w:tcPr>
            <w:tcW w:w="2211" w:type="dxa"/>
            <w:tcBorders>
              <w:top w:val="nil"/>
              <w:bottom w:val="nil"/>
            </w:tcBorders>
          </w:tcPr>
          <w:p w14:paraId="420BAFF8" w14:textId="7AD9848D" w:rsidR="003203A0" w:rsidRPr="002850B8" w:rsidRDefault="003203A0" w:rsidP="003203A0">
            <w:pPr>
              <w:spacing w:line="288" w:lineRule="auto"/>
              <w:ind w:left="-85" w:right="-57"/>
              <w:rPr>
                <w:rFonts w:ascii="Cambria" w:hAnsi="Cambria"/>
                <w:sz w:val="20"/>
                <w:szCs w:val="20"/>
                <w:lang w:val="en-US"/>
              </w:rPr>
            </w:pPr>
            <w:r>
              <w:rPr>
                <w:rFonts w:ascii="Cambria" w:hAnsi="Cambria"/>
                <w:sz w:val="20"/>
                <w:szCs w:val="20"/>
                <w:lang w:val="en-US"/>
              </w:rPr>
              <w:t>1.25</w:t>
            </w:r>
          </w:p>
        </w:tc>
        <w:tc>
          <w:tcPr>
            <w:tcW w:w="236" w:type="dxa"/>
            <w:tcBorders>
              <w:top w:val="nil"/>
              <w:bottom w:val="nil"/>
            </w:tcBorders>
          </w:tcPr>
          <w:p w14:paraId="556A8C97" w14:textId="77777777" w:rsidR="003203A0" w:rsidRPr="002850B8" w:rsidRDefault="003203A0" w:rsidP="003203A0">
            <w:pPr>
              <w:spacing w:line="288" w:lineRule="auto"/>
              <w:ind w:left="-85" w:right="-57"/>
              <w:rPr>
                <w:rFonts w:ascii="Cambria" w:hAnsi="Cambria"/>
                <w:sz w:val="20"/>
                <w:szCs w:val="20"/>
                <w:lang w:val="en-US"/>
              </w:rPr>
            </w:pPr>
          </w:p>
        </w:tc>
        <w:tc>
          <w:tcPr>
            <w:tcW w:w="2324" w:type="dxa"/>
            <w:tcBorders>
              <w:top w:val="nil"/>
              <w:bottom w:val="nil"/>
            </w:tcBorders>
          </w:tcPr>
          <w:p w14:paraId="73A07257" w14:textId="146F7C32" w:rsidR="003203A0" w:rsidRPr="002850B8" w:rsidRDefault="003203A0" w:rsidP="003203A0">
            <w:pPr>
              <w:spacing w:line="288" w:lineRule="auto"/>
              <w:ind w:left="-85" w:right="-57"/>
              <w:rPr>
                <w:rFonts w:ascii="Cambria" w:hAnsi="Cambria"/>
                <w:sz w:val="20"/>
                <w:szCs w:val="20"/>
                <w:lang w:val="en-US"/>
              </w:rPr>
            </w:pPr>
            <w:r>
              <w:rPr>
                <w:rFonts w:ascii="Cambria" w:hAnsi="Cambria"/>
                <w:sz w:val="20"/>
                <w:szCs w:val="20"/>
                <w:lang w:val="en-US"/>
              </w:rPr>
              <w:t>1.35</w:t>
            </w:r>
          </w:p>
        </w:tc>
      </w:tr>
      <w:tr w:rsidR="003203A0" w:rsidRPr="002850B8" w14:paraId="2DFE8218" w14:textId="77777777" w:rsidTr="0015397F">
        <w:tc>
          <w:tcPr>
            <w:tcW w:w="2098" w:type="dxa"/>
            <w:tcBorders>
              <w:top w:val="nil"/>
              <w:bottom w:val="nil"/>
            </w:tcBorders>
          </w:tcPr>
          <w:p w14:paraId="1B06AA5D" w14:textId="5C047012" w:rsidR="003203A0" w:rsidRPr="002850B8" w:rsidRDefault="003203A0" w:rsidP="003203A0">
            <w:pPr>
              <w:spacing w:line="288" w:lineRule="auto"/>
              <w:ind w:left="-85" w:right="-57"/>
              <w:rPr>
                <w:rFonts w:ascii="Cambria" w:hAnsi="Cambria"/>
                <w:sz w:val="20"/>
                <w:szCs w:val="20"/>
                <w:lang w:val="en-US"/>
              </w:rPr>
            </w:pPr>
            <w:r>
              <w:rPr>
                <w:rFonts w:ascii="Cambria" w:hAnsi="Cambria"/>
                <w:sz w:val="20"/>
                <w:szCs w:val="20"/>
                <w:lang w:val="en-US"/>
              </w:rPr>
              <w:t>50%</w:t>
            </w:r>
          </w:p>
        </w:tc>
        <w:tc>
          <w:tcPr>
            <w:tcW w:w="236" w:type="dxa"/>
            <w:tcBorders>
              <w:top w:val="nil"/>
              <w:bottom w:val="nil"/>
            </w:tcBorders>
          </w:tcPr>
          <w:p w14:paraId="69C277D7" w14:textId="77777777" w:rsidR="003203A0" w:rsidRPr="002850B8" w:rsidRDefault="003203A0" w:rsidP="003203A0">
            <w:pPr>
              <w:spacing w:line="288" w:lineRule="auto"/>
              <w:ind w:left="-85" w:right="-57"/>
              <w:rPr>
                <w:rFonts w:ascii="Cambria" w:hAnsi="Cambria"/>
                <w:sz w:val="20"/>
                <w:szCs w:val="20"/>
                <w:lang w:val="en-US"/>
              </w:rPr>
            </w:pPr>
          </w:p>
        </w:tc>
        <w:tc>
          <w:tcPr>
            <w:tcW w:w="2098" w:type="dxa"/>
            <w:tcBorders>
              <w:top w:val="nil"/>
              <w:bottom w:val="nil"/>
            </w:tcBorders>
          </w:tcPr>
          <w:p w14:paraId="647C6CF0" w14:textId="49AD0AB2" w:rsidR="003203A0" w:rsidRPr="002850B8" w:rsidRDefault="003203A0" w:rsidP="003203A0">
            <w:pPr>
              <w:spacing w:line="288" w:lineRule="auto"/>
              <w:ind w:left="-85" w:right="-57"/>
              <w:rPr>
                <w:rFonts w:ascii="Cambria" w:hAnsi="Cambria"/>
                <w:sz w:val="20"/>
                <w:szCs w:val="20"/>
                <w:lang w:val="en-US"/>
              </w:rPr>
            </w:pPr>
            <w:r>
              <w:rPr>
                <w:rFonts w:ascii="Cambria" w:hAnsi="Cambria"/>
                <w:sz w:val="20"/>
                <w:szCs w:val="20"/>
                <w:lang w:val="en-US"/>
              </w:rPr>
              <w:t>20%</w:t>
            </w:r>
          </w:p>
        </w:tc>
        <w:tc>
          <w:tcPr>
            <w:tcW w:w="236" w:type="dxa"/>
            <w:tcBorders>
              <w:top w:val="nil"/>
              <w:bottom w:val="nil"/>
            </w:tcBorders>
          </w:tcPr>
          <w:p w14:paraId="146C1A5E" w14:textId="77777777" w:rsidR="003203A0" w:rsidRPr="002850B8" w:rsidRDefault="003203A0" w:rsidP="003203A0">
            <w:pPr>
              <w:spacing w:line="288" w:lineRule="auto"/>
              <w:ind w:left="-85" w:right="-57"/>
              <w:rPr>
                <w:rFonts w:ascii="Cambria" w:hAnsi="Cambria"/>
                <w:sz w:val="20"/>
                <w:szCs w:val="20"/>
                <w:lang w:val="en-US"/>
              </w:rPr>
            </w:pPr>
          </w:p>
        </w:tc>
        <w:tc>
          <w:tcPr>
            <w:tcW w:w="2211" w:type="dxa"/>
            <w:tcBorders>
              <w:top w:val="nil"/>
              <w:bottom w:val="nil"/>
            </w:tcBorders>
          </w:tcPr>
          <w:p w14:paraId="123C4033" w14:textId="133B51D8" w:rsidR="003203A0" w:rsidRPr="002850B8" w:rsidRDefault="003203A0" w:rsidP="003203A0">
            <w:pPr>
              <w:spacing w:line="288" w:lineRule="auto"/>
              <w:ind w:left="-85" w:right="-57"/>
              <w:rPr>
                <w:rFonts w:ascii="Cambria" w:hAnsi="Cambria"/>
                <w:sz w:val="20"/>
                <w:szCs w:val="20"/>
                <w:lang w:val="en-US"/>
              </w:rPr>
            </w:pPr>
            <w:r>
              <w:rPr>
                <w:rFonts w:ascii="Cambria" w:hAnsi="Cambria"/>
                <w:sz w:val="20"/>
                <w:szCs w:val="20"/>
                <w:lang w:val="en-US"/>
              </w:rPr>
              <w:t>1.15</w:t>
            </w:r>
          </w:p>
        </w:tc>
        <w:tc>
          <w:tcPr>
            <w:tcW w:w="236" w:type="dxa"/>
            <w:tcBorders>
              <w:top w:val="nil"/>
              <w:bottom w:val="nil"/>
            </w:tcBorders>
          </w:tcPr>
          <w:p w14:paraId="2C7792E9" w14:textId="77777777" w:rsidR="003203A0" w:rsidRPr="002850B8" w:rsidRDefault="003203A0" w:rsidP="003203A0">
            <w:pPr>
              <w:spacing w:line="288" w:lineRule="auto"/>
              <w:ind w:left="-85" w:right="-57"/>
              <w:rPr>
                <w:rFonts w:ascii="Cambria" w:hAnsi="Cambria"/>
                <w:sz w:val="20"/>
                <w:szCs w:val="20"/>
                <w:lang w:val="en-US"/>
              </w:rPr>
            </w:pPr>
          </w:p>
        </w:tc>
        <w:tc>
          <w:tcPr>
            <w:tcW w:w="2324" w:type="dxa"/>
            <w:tcBorders>
              <w:top w:val="nil"/>
              <w:bottom w:val="nil"/>
            </w:tcBorders>
          </w:tcPr>
          <w:p w14:paraId="024BB8D5" w14:textId="318CE76F" w:rsidR="003203A0" w:rsidRPr="002850B8" w:rsidRDefault="003203A0" w:rsidP="003203A0">
            <w:pPr>
              <w:spacing w:line="288" w:lineRule="auto"/>
              <w:ind w:left="-85" w:right="-57"/>
              <w:rPr>
                <w:rFonts w:ascii="Cambria" w:hAnsi="Cambria"/>
                <w:sz w:val="20"/>
                <w:szCs w:val="20"/>
                <w:lang w:val="en-US"/>
              </w:rPr>
            </w:pPr>
            <w:r>
              <w:rPr>
                <w:rFonts w:ascii="Cambria" w:hAnsi="Cambria"/>
                <w:sz w:val="20"/>
                <w:szCs w:val="20"/>
                <w:lang w:val="en-US"/>
              </w:rPr>
              <w:t>1.34</w:t>
            </w:r>
          </w:p>
        </w:tc>
      </w:tr>
      <w:tr w:rsidR="003203A0" w:rsidRPr="002850B8" w14:paraId="48899D6F" w14:textId="77777777" w:rsidTr="0015397F">
        <w:tc>
          <w:tcPr>
            <w:tcW w:w="2098" w:type="dxa"/>
            <w:tcBorders>
              <w:top w:val="nil"/>
              <w:bottom w:val="nil"/>
            </w:tcBorders>
          </w:tcPr>
          <w:p w14:paraId="17D1ADD6" w14:textId="0AB63F4C" w:rsidR="003203A0" w:rsidRPr="002850B8" w:rsidRDefault="003203A0" w:rsidP="003203A0">
            <w:pPr>
              <w:spacing w:line="288" w:lineRule="auto"/>
              <w:ind w:left="-85" w:right="-57"/>
              <w:rPr>
                <w:rFonts w:ascii="Cambria" w:hAnsi="Cambria"/>
                <w:sz w:val="20"/>
                <w:szCs w:val="20"/>
                <w:lang w:val="en-US"/>
              </w:rPr>
            </w:pPr>
            <w:r>
              <w:rPr>
                <w:rFonts w:ascii="Cambria" w:hAnsi="Cambria"/>
                <w:sz w:val="20"/>
                <w:szCs w:val="20"/>
                <w:lang w:val="en-US"/>
              </w:rPr>
              <w:t>50%</w:t>
            </w:r>
          </w:p>
        </w:tc>
        <w:tc>
          <w:tcPr>
            <w:tcW w:w="236" w:type="dxa"/>
            <w:tcBorders>
              <w:top w:val="nil"/>
              <w:bottom w:val="nil"/>
            </w:tcBorders>
          </w:tcPr>
          <w:p w14:paraId="6206B06C" w14:textId="77777777" w:rsidR="003203A0" w:rsidRPr="002850B8" w:rsidRDefault="003203A0" w:rsidP="003203A0">
            <w:pPr>
              <w:spacing w:line="288" w:lineRule="auto"/>
              <w:ind w:left="-85" w:right="-57"/>
              <w:rPr>
                <w:rFonts w:ascii="Cambria" w:hAnsi="Cambria"/>
                <w:sz w:val="20"/>
                <w:szCs w:val="20"/>
                <w:lang w:val="en-US"/>
              </w:rPr>
            </w:pPr>
          </w:p>
        </w:tc>
        <w:tc>
          <w:tcPr>
            <w:tcW w:w="2098" w:type="dxa"/>
            <w:tcBorders>
              <w:top w:val="nil"/>
              <w:bottom w:val="nil"/>
            </w:tcBorders>
          </w:tcPr>
          <w:p w14:paraId="35AB1C97" w14:textId="081221AC" w:rsidR="003203A0" w:rsidRPr="002850B8" w:rsidRDefault="003203A0" w:rsidP="003203A0">
            <w:pPr>
              <w:spacing w:line="288" w:lineRule="auto"/>
              <w:ind w:left="-85" w:right="-57"/>
              <w:rPr>
                <w:rFonts w:ascii="Cambria" w:hAnsi="Cambria"/>
                <w:sz w:val="20"/>
                <w:szCs w:val="20"/>
                <w:lang w:val="en-US"/>
              </w:rPr>
            </w:pPr>
            <w:r>
              <w:rPr>
                <w:rFonts w:ascii="Cambria" w:hAnsi="Cambria"/>
                <w:sz w:val="20"/>
                <w:szCs w:val="20"/>
                <w:lang w:val="en-US"/>
              </w:rPr>
              <w:t>20%</w:t>
            </w:r>
          </w:p>
        </w:tc>
        <w:tc>
          <w:tcPr>
            <w:tcW w:w="236" w:type="dxa"/>
            <w:tcBorders>
              <w:top w:val="nil"/>
              <w:bottom w:val="nil"/>
            </w:tcBorders>
          </w:tcPr>
          <w:p w14:paraId="0074A247" w14:textId="77777777" w:rsidR="003203A0" w:rsidRPr="002850B8" w:rsidRDefault="003203A0" w:rsidP="003203A0">
            <w:pPr>
              <w:spacing w:line="288" w:lineRule="auto"/>
              <w:ind w:left="-85" w:right="-57"/>
              <w:rPr>
                <w:rFonts w:ascii="Cambria" w:hAnsi="Cambria"/>
                <w:sz w:val="20"/>
                <w:szCs w:val="20"/>
                <w:lang w:val="en-US"/>
              </w:rPr>
            </w:pPr>
          </w:p>
        </w:tc>
        <w:tc>
          <w:tcPr>
            <w:tcW w:w="2211" w:type="dxa"/>
            <w:tcBorders>
              <w:top w:val="nil"/>
              <w:bottom w:val="nil"/>
            </w:tcBorders>
          </w:tcPr>
          <w:p w14:paraId="158233F8" w14:textId="65BF8011" w:rsidR="003203A0" w:rsidRPr="002850B8" w:rsidRDefault="003203A0" w:rsidP="003203A0">
            <w:pPr>
              <w:spacing w:line="288" w:lineRule="auto"/>
              <w:ind w:left="-85" w:right="-57"/>
              <w:rPr>
                <w:rFonts w:ascii="Cambria" w:hAnsi="Cambria"/>
                <w:sz w:val="20"/>
                <w:szCs w:val="20"/>
                <w:lang w:val="en-US"/>
              </w:rPr>
            </w:pPr>
            <w:r>
              <w:rPr>
                <w:rFonts w:ascii="Cambria" w:hAnsi="Cambria"/>
                <w:sz w:val="20"/>
                <w:szCs w:val="20"/>
                <w:lang w:val="en-US"/>
              </w:rPr>
              <w:t>1.20</w:t>
            </w:r>
          </w:p>
        </w:tc>
        <w:tc>
          <w:tcPr>
            <w:tcW w:w="236" w:type="dxa"/>
            <w:tcBorders>
              <w:top w:val="nil"/>
              <w:bottom w:val="nil"/>
            </w:tcBorders>
          </w:tcPr>
          <w:p w14:paraId="3F107116" w14:textId="77777777" w:rsidR="003203A0" w:rsidRPr="002850B8" w:rsidRDefault="003203A0" w:rsidP="003203A0">
            <w:pPr>
              <w:spacing w:line="288" w:lineRule="auto"/>
              <w:ind w:left="-85" w:right="-57"/>
              <w:rPr>
                <w:rFonts w:ascii="Cambria" w:hAnsi="Cambria"/>
                <w:sz w:val="20"/>
                <w:szCs w:val="20"/>
                <w:lang w:val="en-US"/>
              </w:rPr>
            </w:pPr>
          </w:p>
        </w:tc>
        <w:tc>
          <w:tcPr>
            <w:tcW w:w="2324" w:type="dxa"/>
            <w:tcBorders>
              <w:top w:val="nil"/>
              <w:bottom w:val="nil"/>
            </w:tcBorders>
          </w:tcPr>
          <w:p w14:paraId="74CF1C9D" w14:textId="614C99F2" w:rsidR="003203A0" w:rsidRPr="002850B8" w:rsidRDefault="003203A0" w:rsidP="003203A0">
            <w:pPr>
              <w:spacing w:line="288" w:lineRule="auto"/>
              <w:ind w:left="-85" w:right="-57"/>
              <w:rPr>
                <w:rFonts w:ascii="Cambria" w:hAnsi="Cambria"/>
                <w:sz w:val="20"/>
                <w:szCs w:val="20"/>
                <w:lang w:val="en-US"/>
              </w:rPr>
            </w:pPr>
            <w:r>
              <w:rPr>
                <w:rFonts w:ascii="Cambria" w:hAnsi="Cambria"/>
                <w:sz w:val="20"/>
                <w:szCs w:val="20"/>
                <w:lang w:val="en-US"/>
              </w:rPr>
              <w:t>1.32</w:t>
            </w:r>
          </w:p>
        </w:tc>
      </w:tr>
      <w:tr w:rsidR="003203A0" w:rsidRPr="002850B8" w14:paraId="2BC228A9" w14:textId="77777777" w:rsidTr="0015397F">
        <w:tc>
          <w:tcPr>
            <w:tcW w:w="2098" w:type="dxa"/>
            <w:tcBorders>
              <w:top w:val="nil"/>
            </w:tcBorders>
          </w:tcPr>
          <w:p w14:paraId="62698277" w14:textId="7FDAAB55" w:rsidR="003203A0" w:rsidRPr="002850B8" w:rsidRDefault="003203A0" w:rsidP="003203A0">
            <w:pPr>
              <w:spacing w:line="288" w:lineRule="auto"/>
              <w:ind w:left="-85" w:right="-57"/>
              <w:rPr>
                <w:rFonts w:ascii="Cambria" w:hAnsi="Cambria"/>
                <w:sz w:val="20"/>
                <w:szCs w:val="20"/>
                <w:lang w:val="en-US"/>
              </w:rPr>
            </w:pPr>
            <w:r>
              <w:rPr>
                <w:rFonts w:ascii="Cambria" w:hAnsi="Cambria"/>
                <w:sz w:val="20"/>
                <w:szCs w:val="20"/>
                <w:lang w:val="en-US"/>
              </w:rPr>
              <w:t>50%</w:t>
            </w:r>
          </w:p>
        </w:tc>
        <w:tc>
          <w:tcPr>
            <w:tcW w:w="236" w:type="dxa"/>
            <w:tcBorders>
              <w:top w:val="nil"/>
            </w:tcBorders>
          </w:tcPr>
          <w:p w14:paraId="04BEF297" w14:textId="77777777" w:rsidR="003203A0" w:rsidRPr="002850B8" w:rsidRDefault="003203A0" w:rsidP="003203A0">
            <w:pPr>
              <w:spacing w:line="288" w:lineRule="auto"/>
              <w:ind w:left="-85" w:right="-57"/>
              <w:rPr>
                <w:rFonts w:ascii="Cambria" w:hAnsi="Cambria"/>
                <w:sz w:val="20"/>
                <w:szCs w:val="20"/>
                <w:lang w:val="en-US"/>
              </w:rPr>
            </w:pPr>
          </w:p>
        </w:tc>
        <w:tc>
          <w:tcPr>
            <w:tcW w:w="2098" w:type="dxa"/>
            <w:tcBorders>
              <w:top w:val="nil"/>
            </w:tcBorders>
          </w:tcPr>
          <w:p w14:paraId="2C6D38CA" w14:textId="67F3CB87" w:rsidR="003203A0" w:rsidRPr="002850B8" w:rsidRDefault="003203A0" w:rsidP="003203A0">
            <w:pPr>
              <w:spacing w:line="288" w:lineRule="auto"/>
              <w:ind w:left="-85" w:right="-57"/>
              <w:rPr>
                <w:rFonts w:ascii="Cambria" w:hAnsi="Cambria"/>
                <w:sz w:val="20"/>
                <w:szCs w:val="20"/>
                <w:lang w:val="en-US"/>
              </w:rPr>
            </w:pPr>
            <w:r>
              <w:rPr>
                <w:rFonts w:ascii="Cambria" w:hAnsi="Cambria"/>
                <w:sz w:val="20"/>
                <w:szCs w:val="20"/>
                <w:lang w:val="en-US"/>
              </w:rPr>
              <w:t>20%</w:t>
            </w:r>
          </w:p>
        </w:tc>
        <w:tc>
          <w:tcPr>
            <w:tcW w:w="236" w:type="dxa"/>
            <w:tcBorders>
              <w:top w:val="nil"/>
            </w:tcBorders>
          </w:tcPr>
          <w:p w14:paraId="75285E1E" w14:textId="77777777" w:rsidR="003203A0" w:rsidRPr="002850B8" w:rsidRDefault="003203A0" w:rsidP="003203A0">
            <w:pPr>
              <w:spacing w:line="288" w:lineRule="auto"/>
              <w:ind w:left="-85" w:right="-57"/>
              <w:rPr>
                <w:rFonts w:ascii="Cambria" w:hAnsi="Cambria"/>
                <w:sz w:val="20"/>
                <w:szCs w:val="20"/>
                <w:lang w:val="en-US"/>
              </w:rPr>
            </w:pPr>
          </w:p>
        </w:tc>
        <w:tc>
          <w:tcPr>
            <w:tcW w:w="2211" w:type="dxa"/>
            <w:tcBorders>
              <w:top w:val="nil"/>
            </w:tcBorders>
          </w:tcPr>
          <w:p w14:paraId="28AFA2B4" w14:textId="7EA0F9A4" w:rsidR="003203A0" w:rsidRPr="002850B8" w:rsidRDefault="003203A0" w:rsidP="003203A0">
            <w:pPr>
              <w:spacing w:line="288" w:lineRule="auto"/>
              <w:ind w:left="-85" w:right="-57"/>
              <w:rPr>
                <w:rFonts w:ascii="Cambria" w:hAnsi="Cambria"/>
                <w:sz w:val="20"/>
                <w:szCs w:val="20"/>
                <w:lang w:val="en-US"/>
              </w:rPr>
            </w:pPr>
            <w:r>
              <w:rPr>
                <w:rFonts w:ascii="Cambria" w:hAnsi="Cambria"/>
                <w:sz w:val="20"/>
                <w:szCs w:val="20"/>
                <w:lang w:val="en-US"/>
              </w:rPr>
              <w:t>1.25</w:t>
            </w:r>
          </w:p>
        </w:tc>
        <w:tc>
          <w:tcPr>
            <w:tcW w:w="236" w:type="dxa"/>
            <w:tcBorders>
              <w:top w:val="nil"/>
            </w:tcBorders>
          </w:tcPr>
          <w:p w14:paraId="7501AC54" w14:textId="77777777" w:rsidR="003203A0" w:rsidRPr="002850B8" w:rsidRDefault="003203A0" w:rsidP="003203A0">
            <w:pPr>
              <w:spacing w:line="288" w:lineRule="auto"/>
              <w:ind w:left="-85" w:right="-57"/>
              <w:rPr>
                <w:rFonts w:ascii="Cambria" w:hAnsi="Cambria"/>
                <w:sz w:val="20"/>
                <w:szCs w:val="20"/>
                <w:lang w:val="en-US"/>
              </w:rPr>
            </w:pPr>
          </w:p>
        </w:tc>
        <w:tc>
          <w:tcPr>
            <w:tcW w:w="2324" w:type="dxa"/>
            <w:tcBorders>
              <w:top w:val="nil"/>
            </w:tcBorders>
          </w:tcPr>
          <w:p w14:paraId="5C3D03A8" w14:textId="6C8A5CED" w:rsidR="003203A0" w:rsidRPr="002850B8" w:rsidRDefault="003203A0" w:rsidP="003203A0">
            <w:pPr>
              <w:spacing w:line="288" w:lineRule="auto"/>
              <w:ind w:left="-85" w:right="-57"/>
              <w:rPr>
                <w:rFonts w:ascii="Cambria" w:hAnsi="Cambria"/>
                <w:sz w:val="20"/>
                <w:szCs w:val="20"/>
                <w:lang w:val="en-US"/>
              </w:rPr>
            </w:pPr>
            <w:r>
              <w:rPr>
                <w:rFonts w:ascii="Cambria" w:hAnsi="Cambria"/>
                <w:sz w:val="20"/>
                <w:szCs w:val="20"/>
                <w:lang w:val="en-US"/>
              </w:rPr>
              <w:t>1.31</w:t>
            </w:r>
          </w:p>
        </w:tc>
      </w:tr>
    </w:tbl>
    <w:p w14:paraId="503D1969" w14:textId="4B3C2856" w:rsidR="002850B8" w:rsidRDefault="002850B8" w:rsidP="00A9796C">
      <w:pPr>
        <w:spacing w:after="0" w:line="360" w:lineRule="auto"/>
        <w:rPr>
          <w:rFonts w:ascii="Cambria" w:hAnsi="Cambria"/>
          <w:lang w:val="en-US"/>
        </w:rPr>
      </w:pPr>
    </w:p>
    <w:p w14:paraId="5DE446CE" w14:textId="197D2554" w:rsidR="002850B8" w:rsidRDefault="002850B8" w:rsidP="00A9796C">
      <w:pPr>
        <w:spacing w:after="0" w:line="360" w:lineRule="auto"/>
        <w:rPr>
          <w:rFonts w:ascii="Cambria" w:hAnsi="Cambria"/>
          <w:lang w:val="en-US"/>
        </w:rPr>
      </w:pPr>
    </w:p>
    <w:p w14:paraId="36C0C21A" w14:textId="10B415ED" w:rsidR="00E9220B" w:rsidRPr="00BB57C2" w:rsidRDefault="00E9220B" w:rsidP="00E9220B">
      <w:pPr>
        <w:spacing w:after="120" w:line="360" w:lineRule="auto"/>
        <w:rPr>
          <w:rFonts w:ascii="Cambria" w:hAnsi="Cambria"/>
          <w:b/>
          <w:i/>
          <w:lang w:val="en-US"/>
        </w:rPr>
      </w:pPr>
      <w:r w:rsidRPr="00BB57C2">
        <w:rPr>
          <w:rFonts w:ascii="Cambria" w:hAnsi="Cambria"/>
          <w:b/>
          <w:i/>
          <w:lang w:val="en-US"/>
        </w:rPr>
        <w:t xml:space="preserve">Sensitivity to bias due to </w:t>
      </w:r>
      <w:r>
        <w:rPr>
          <w:rFonts w:ascii="Cambria" w:hAnsi="Cambria"/>
          <w:b/>
          <w:i/>
          <w:lang w:val="en-US"/>
        </w:rPr>
        <w:t>UGT1A9</w:t>
      </w:r>
      <w:r w:rsidRPr="00BB57C2">
        <w:rPr>
          <w:rFonts w:ascii="Cambria" w:hAnsi="Cambria"/>
          <w:b/>
          <w:i/>
          <w:lang w:val="en-US"/>
        </w:rPr>
        <w:t xml:space="preserve"> c.</w:t>
      </w:r>
      <w:r>
        <w:rPr>
          <w:rFonts w:ascii="Cambria" w:hAnsi="Cambria"/>
          <w:b/>
          <w:i/>
          <w:lang w:val="en-US"/>
        </w:rPr>
        <w:t>98</w:t>
      </w:r>
      <w:r w:rsidRPr="00BB57C2">
        <w:rPr>
          <w:rFonts w:ascii="Cambria" w:hAnsi="Cambria"/>
          <w:b/>
          <w:i/>
          <w:lang w:val="en-US"/>
        </w:rPr>
        <w:t>T&gt;</w:t>
      </w:r>
      <w:r>
        <w:rPr>
          <w:rFonts w:ascii="Cambria" w:hAnsi="Cambria"/>
          <w:b/>
          <w:i/>
          <w:lang w:val="en-US"/>
        </w:rPr>
        <w:t>C</w:t>
      </w:r>
      <w:r w:rsidRPr="00BB57C2">
        <w:rPr>
          <w:rFonts w:ascii="Cambria" w:hAnsi="Cambria"/>
          <w:b/>
          <w:i/>
          <w:lang w:val="en-US"/>
        </w:rPr>
        <w:t xml:space="preserve"> SNP</w:t>
      </w:r>
    </w:p>
    <w:p w14:paraId="710DCED8" w14:textId="4B24CE21" w:rsidR="002850B8" w:rsidRDefault="005C7B91" w:rsidP="00E9220B">
      <w:pPr>
        <w:spacing w:after="0" w:line="360" w:lineRule="auto"/>
        <w:rPr>
          <w:rFonts w:ascii="Cambria" w:hAnsi="Cambria"/>
          <w:lang w:val="en-US"/>
        </w:rPr>
      </w:pPr>
      <w:r>
        <w:rPr>
          <w:rFonts w:ascii="Cambria" w:hAnsi="Cambria"/>
          <w:lang w:val="en-US"/>
        </w:rPr>
        <w:t xml:space="preserve">Prevalence of the variant </w:t>
      </w:r>
      <w:r w:rsidRPr="009F0560">
        <w:rPr>
          <w:rFonts w:ascii="Cambria" w:hAnsi="Cambria"/>
          <w:i/>
          <w:lang w:val="en-US"/>
        </w:rPr>
        <w:t>UGT1A9 C.98T&gt;C</w:t>
      </w:r>
      <w:r>
        <w:rPr>
          <w:rFonts w:ascii="Cambria" w:hAnsi="Cambria"/>
          <w:lang w:val="en-US"/>
        </w:rPr>
        <w:t xml:space="preserve"> allele is very low. None of the studies in Figures S3 and S4 identified a single variant homozygous subject – only TC heterozygotes </w:t>
      </w:r>
      <w:proofErr w:type="gramStart"/>
      <w:r>
        <w:rPr>
          <w:rFonts w:ascii="Cambria" w:hAnsi="Cambria"/>
          <w:lang w:val="en-US"/>
        </w:rPr>
        <w:t>were found</w:t>
      </w:r>
      <w:proofErr w:type="gramEnd"/>
      <w:r>
        <w:rPr>
          <w:rFonts w:ascii="Cambria" w:hAnsi="Cambria"/>
          <w:lang w:val="en-US"/>
        </w:rPr>
        <w:t xml:space="preserve">. </w:t>
      </w:r>
      <w:r w:rsidR="009F0560">
        <w:rPr>
          <w:rFonts w:ascii="Cambria" w:hAnsi="Cambria"/>
          <w:lang w:val="en-US"/>
        </w:rPr>
        <w:t>Their prevalence (</w:t>
      </w:r>
      <w:r w:rsidR="000C4F79">
        <w:rPr>
          <w:rFonts w:ascii="Cambria" w:hAnsi="Cambria"/>
          <w:lang w:val="en-US"/>
        </w:rPr>
        <w:t xml:space="preserve">estimated at </w:t>
      </w:r>
      <w:r w:rsidR="009F0560">
        <w:rPr>
          <w:rFonts w:ascii="Cambria" w:hAnsi="Cambria"/>
          <w:lang w:val="en-US"/>
        </w:rPr>
        <w:t>3.9%</w:t>
      </w:r>
      <w:r w:rsidR="000C4F79">
        <w:rPr>
          <w:rFonts w:ascii="Cambria" w:hAnsi="Cambria"/>
          <w:lang w:val="en-US"/>
        </w:rPr>
        <w:t xml:space="preserve"> in Figure S4</w:t>
      </w:r>
      <w:r w:rsidR="009F0560">
        <w:rPr>
          <w:rFonts w:ascii="Cambria" w:hAnsi="Cambria"/>
          <w:lang w:val="en-US"/>
        </w:rPr>
        <w:t xml:space="preserve">) suggests that one could expect 2 TC subjects in the present sample of 54 matched patients, but probability of observing 2 variant carriers in the present sample is only 27.4%, probability of observing none is 11%, probability of observing not more than one is 35.8% and probability of observing 2 or more is 36.7%. Overall, </w:t>
      </w:r>
      <w:r w:rsidR="00D52C7D">
        <w:rPr>
          <w:rFonts w:ascii="Cambria" w:hAnsi="Cambria"/>
          <w:lang w:val="en-US"/>
        </w:rPr>
        <w:t>T</w:t>
      </w:r>
      <w:r w:rsidR="000C4F79">
        <w:rPr>
          <w:rFonts w:ascii="Cambria" w:hAnsi="Cambria"/>
          <w:lang w:val="en-US"/>
        </w:rPr>
        <w:t xml:space="preserve">C patients were most likely only a few – if any – in the present sample. There is no </w:t>
      </w:r>
      <w:r w:rsidR="00E9220B">
        <w:rPr>
          <w:rFonts w:ascii="Cambria" w:hAnsi="Cambria"/>
          <w:lang w:val="en-US"/>
        </w:rPr>
        <w:t xml:space="preserve">biologically plausible reason to expect prevalence of </w:t>
      </w:r>
      <w:r w:rsidR="000C4F79">
        <w:rPr>
          <w:rFonts w:ascii="Cambria" w:hAnsi="Cambria"/>
          <w:i/>
          <w:lang w:val="en-US"/>
        </w:rPr>
        <w:t>UGT1A9 c.98T&gt;C</w:t>
      </w:r>
      <w:r w:rsidR="00E9220B">
        <w:rPr>
          <w:rFonts w:ascii="Cambria" w:hAnsi="Cambria"/>
          <w:lang w:val="en-US"/>
        </w:rPr>
        <w:t xml:space="preserve"> </w:t>
      </w:r>
      <w:r w:rsidR="000C4F79">
        <w:rPr>
          <w:rFonts w:ascii="Cambria" w:hAnsi="Cambria"/>
          <w:lang w:val="en-US"/>
        </w:rPr>
        <w:t>variant carriers</w:t>
      </w:r>
      <w:r w:rsidR="00E9220B">
        <w:rPr>
          <w:rFonts w:ascii="Cambria" w:hAnsi="Cambria"/>
          <w:lang w:val="en-US"/>
        </w:rPr>
        <w:t xml:space="preserve"> to differ between </w:t>
      </w:r>
      <w:r w:rsidR="00E9220B" w:rsidRPr="004259A4">
        <w:rPr>
          <w:rFonts w:ascii="Cambria" w:hAnsi="Cambria"/>
          <w:i/>
          <w:lang w:val="en-US"/>
        </w:rPr>
        <w:t>ABCG2</w:t>
      </w:r>
      <w:r w:rsidR="000C4F79" w:rsidRPr="000C4F79">
        <w:rPr>
          <w:rFonts w:ascii="Cambria" w:hAnsi="Cambria"/>
          <w:i/>
          <w:lang w:val="en-US"/>
        </w:rPr>
        <w:t xml:space="preserve"> </w:t>
      </w:r>
      <w:r w:rsidR="000C4F79" w:rsidRPr="004259A4">
        <w:rPr>
          <w:rFonts w:ascii="Cambria" w:hAnsi="Cambria"/>
          <w:i/>
          <w:lang w:val="en-US"/>
        </w:rPr>
        <w:t>c.421C&gt;A</w:t>
      </w:r>
      <w:r w:rsidR="000C4F79">
        <w:rPr>
          <w:rFonts w:ascii="Cambria" w:hAnsi="Cambria"/>
          <w:lang w:val="en-US"/>
        </w:rPr>
        <w:t xml:space="preserve"> variant carriers (“treated”) and </w:t>
      </w:r>
      <w:proofErr w:type="spellStart"/>
      <w:r w:rsidR="000C4F79">
        <w:rPr>
          <w:rFonts w:ascii="Cambria" w:hAnsi="Cambria"/>
          <w:lang w:val="en-US"/>
        </w:rPr>
        <w:t>wt</w:t>
      </w:r>
      <w:proofErr w:type="spellEnd"/>
      <w:r w:rsidR="000C4F79">
        <w:rPr>
          <w:rFonts w:ascii="Cambria" w:hAnsi="Cambria"/>
          <w:lang w:val="en-US"/>
        </w:rPr>
        <w:t xml:space="preserve"> subjects (“controls”). However, one could assume a range of different imbalances in prevalence occurring by chance.</w:t>
      </w:r>
      <w:r w:rsidR="00502229">
        <w:rPr>
          <w:rFonts w:ascii="Cambria" w:hAnsi="Cambria"/>
          <w:lang w:val="en-US"/>
        </w:rPr>
        <w:t xml:space="preserve"> Table S2</w:t>
      </w:r>
      <w:r w:rsidR="006F043A">
        <w:rPr>
          <w:rFonts w:ascii="Cambria" w:hAnsi="Cambria"/>
          <w:lang w:val="en-US"/>
        </w:rPr>
        <w:t xml:space="preserve"> illustrates two types of scenarios: in one, the “starting” effect of the </w:t>
      </w:r>
      <w:r w:rsidR="006F043A" w:rsidRPr="006F043A">
        <w:rPr>
          <w:rFonts w:ascii="Cambria" w:hAnsi="Cambria"/>
          <w:i/>
          <w:lang w:val="en-US"/>
        </w:rPr>
        <w:t>ABCG2 c.421C&gt;A</w:t>
      </w:r>
      <w:r w:rsidR="006F043A">
        <w:rPr>
          <w:rFonts w:ascii="Cambria" w:hAnsi="Cambria"/>
          <w:lang w:val="en-US"/>
        </w:rPr>
        <w:t xml:space="preserve"> variant allele that needs to be adjusted for bias is GMR=1.40 (as estimated in the main analysis); in the other one, the “starting” effect of the </w:t>
      </w:r>
      <w:r w:rsidR="006F043A" w:rsidRPr="006F043A">
        <w:rPr>
          <w:rFonts w:ascii="Cambria" w:hAnsi="Cambria"/>
          <w:i/>
          <w:lang w:val="en-US"/>
        </w:rPr>
        <w:t>ABCG2 c.421</w:t>
      </w:r>
      <w:r w:rsidR="006F043A">
        <w:rPr>
          <w:rFonts w:ascii="Cambria" w:hAnsi="Cambria"/>
          <w:lang w:val="en-US"/>
        </w:rPr>
        <w:t xml:space="preserve"> variant allele is GMR previously adjusted for bias arising from not accounting for </w:t>
      </w:r>
      <w:r w:rsidR="006F043A" w:rsidRPr="006F043A">
        <w:rPr>
          <w:rFonts w:ascii="Cambria" w:hAnsi="Cambria"/>
          <w:i/>
          <w:lang w:val="en-US"/>
        </w:rPr>
        <w:t>SLCO1A9 c.334T&gt;G</w:t>
      </w:r>
      <w:r w:rsidR="006F043A">
        <w:rPr>
          <w:rFonts w:ascii="Cambria" w:hAnsi="Cambria"/>
          <w:lang w:val="en-US"/>
        </w:rPr>
        <w:t xml:space="preserve"> SNP with a high imbalance in TT/TG prevalence between </w:t>
      </w:r>
      <w:r w:rsidR="006F043A" w:rsidRPr="006F043A">
        <w:rPr>
          <w:rFonts w:ascii="Cambria" w:hAnsi="Cambria"/>
          <w:i/>
          <w:lang w:val="en-US"/>
        </w:rPr>
        <w:t>ABCG2 c.421</w:t>
      </w:r>
      <w:r w:rsidR="006F043A">
        <w:rPr>
          <w:rFonts w:ascii="Cambria" w:hAnsi="Cambria"/>
          <w:lang w:val="en-US"/>
        </w:rPr>
        <w:t xml:space="preserve"> variant carriers and </w:t>
      </w:r>
      <w:proofErr w:type="spellStart"/>
      <w:r w:rsidR="006F043A">
        <w:rPr>
          <w:rFonts w:ascii="Cambria" w:hAnsi="Cambria"/>
          <w:lang w:val="en-US"/>
        </w:rPr>
        <w:t>wt</w:t>
      </w:r>
      <w:proofErr w:type="spellEnd"/>
      <w:r w:rsidR="006F043A">
        <w:rPr>
          <w:rFonts w:ascii="Cambria" w:hAnsi="Cambria"/>
          <w:lang w:val="en-US"/>
        </w:rPr>
        <w:t xml:space="preserve"> controls (50% vs. 20%) and a marked effect of the TT/TG genotype (ROM=1.25), i.e., GMR=1.31. </w:t>
      </w:r>
      <w:proofErr w:type="gramStart"/>
      <w:r w:rsidR="006F043A">
        <w:rPr>
          <w:rFonts w:ascii="Cambria" w:hAnsi="Cambria"/>
          <w:lang w:val="en-US"/>
        </w:rPr>
        <w:t xml:space="preserve">The effect of the TC </w:t>
      </w:r>
      <w:r w:rsidR="006F043A" w:rsidRPr="006F043A">
        <w:rPr>
          <w:rFonts w:ascii="Cambria" w:hAnsi="Cambria"/>
          <w:i/>
          <w:lang w:val="en-US"/>
        </w:rPr>
        <w:t>UGT1A9 c.98</w:t>
      </w:r>
      <w:r w:rsidR="006F043A">
        <w:rPr>
          <w:rFonts w:ascii="Cambria" w:hAnsi="Cambria"/>
          <w:lang w:val="en-US"/>
        </w:rPr>
        <w:t xml:space="preserve"> genotype (associated </w:t>
      </w:r>
      <w:r w:rsidR="006F043A">
        <w:rPr>
          <w:rFonts w:ascii="Cambria" w:hAnsi="Cambria"/>
          <w:lang w:val="en-US"/>
        </w:rPr>
        <w:lastRenderedPageBreak/>
        <w:t>with higher MPA AUC</w:t>
      </w:r>
      <w:r w:rsidR="006F043A" w:rsidRPr="00C13B45">
        <w:rPr>
          <w:rFonts w:ascii="Cambria" w:hAnsi="Cambria"/>
          <w:vertAlign w:val="subscript"/>
          <w:lang w:val="en-US"/>
        </w:rPr>
        <w:t>0-12</w:t>
      </w:r>
      <w:r w:rsidR="006F043A">
        <w:rPr>
          <w:rFonts w:ascii="Cambria" w:hAnsi="Cambria"/>
          <w:lang w:val="en-US"/>
        </w:rPr>
        <w:t xml:space="preserve">) is ROM=1.098, as estimated in Figure S3, or GMR=1.50, as suggested by van Schaik [5] based on time-averaged AUCs over a 12-month period in </w:t>
      </w:r>
      <w:proofErr w:type="spellStart"/>
      <w:r w:rsidR="006F043A">
        <w:rPr>
          <w:rFonts w:ascii="Cambria" w:hAnsi="Cambria"/>
          <w:lang w:val="en-US"/>
        </w:rPr>
        <w:t>CsA</w:t>
      </w:r>
      <w:proofErr w:type="spellEnd"/>
      <w:r w:rsidR="006F043A">
        <w:rPr>
          <w:rFonts w:ascii="Cambria" w:hAnsi="Cambria"/>
          <w:lang w:val="en-US"/>
        </w:rPr>
        <w:t xml:space="preserve"> or </w:t>
      </w:r>
      <w:r w:rsidR="00E86F51">
        <w:rPr>
          <w:rFonts w:ascii="Cambria" w:hAnsi="Cambria"/>
          <w:lang w:val="en-US"/>
        </w:rPr>
        <w:t xml:space="preserve">tacrolimus co-treated patients; and there is a considerable imbalance between </w:t>
      </w:r>
      <w:r w:rsidR="00E86F51" w:rsidRPr="00D52C7D">
        <w:rPr>
          <w:rFonts w:ascii="Cambria" w:hAnsi="Cambria"/>
          <w:i/>
          <w:lang w:val="en-US"/>
        </w:rPr>
        <w:t>ABCG2 c.421</w:t>
      </w:r>
      <w:r w:rsidR="00E86F51">
        <w:rPr>
          <w:rFonts w:ascii="Cambria" w:hAnsi="Cambria"/>
          <w:lang w:val="en-US"/>
        </w:rPr>
        <w:t xml:space="preserve"> variant carriers and </w:t>
      </w:r>
      <w:proofErr w:type="spellStart"/>
      <w:r w:rsidR="00E86F51">
        <w:rPr>
          <w:rFonts w:ascii="Cambria" w:hAnsi="Cambria"/>
          <w:lang w:val="en-US"/>
        </w:rPr>
        <w:t>wt</w:t>
      </w:r>
      <w:proofErr w:type="spellEnd"/>
      <w:r w:rsidR="00E86F51">
        <w:rPr>
          <w:rFonts w:ascii="Cambria" w:hAnsi="Cambria"/>
          <w:lang w:val="en-US"/>
        </w:rPr>
        <w:t xml:space="preserve"> controls in prevalence of </w:t>
      </w:r>
      <w:r w:rsidR="00E86F51" w:rsidRPr="00D52C7D">
        <w:rPr>
          <w:rFonts w:ascii="Cambria" w:hAnsi="Cambria"/>
          <w:i/>
          <w:lang w:val="en-US"/>
        </w:rPr>
        <w:t>UGT1A9 c.98T&gt;C</w:t>
      </w:r>
      <w:r w:rsidR="00E86F51">
        <w:rPr>
          <w:rFonts w:ascii="Cambria" w:hAnsi="Cambria"/>
          <w:lang w:val="en-US"/>
        </w:rPr>
        <w:t xml:space="preserve"> h</w:t>
      </w:r>
      <w:r w:rsidR="00D52C7D">
        <w:rPr>
          <w:rFonts w:ascii="Cambria" w:hAnsi="Cambria"/>
          <w:lang w:val="en-US"/>
        </w:rPr>
        <w:t>eterozyg</w:t>
      </w:r>
      <w:r w:rsidR="00715051">
        <w:rPr>
          <w:rFonts w:ascii="Cambria" w:hAnsi="Cambria"/>
          <w:lang w:val="en-US"/>
        </w:rPr>
        <w:t>o</w:t>
      </w:r>
      <w:r w:rsidR="00D52C7D">
        <w:rPr>
          <w:rFonts w:ascii="Cambria" w:hAnsi="Cambria"/>
          <w:lang w:val="en-US"/>
        </w:rPr>
        <w:t>tes</w:t>
      </w:r>
      <w:r w:rsidR="00E86F51">
        <w:rPr>
          <w:rFonts w:ascii="Cambria" w:hAnsi="Cambria"/>
          <w:lang w:val="en-US"/>
        </w:rPr>
        <w:t>: a 3-fold difference as 6% vs. 2%, or a 5-fold difference as 5% vs. 1% or 10% vs. 2%.</w:t>
      </w:r>
      <w:proofErr w:type="gramEnd"/>
      <w:r w:rsidR="00E86F51">
        <w:rPr>
          <w:rFonts w:ascii="Cambria" w:hAnsi="Cambria"/>
          <w:lang w:val="en-US"/>
        </w:rPr>
        <w:t xml:space="preserve"> As demonstrated in Table S2, even in the “worst case scenario”, with the TC effect of GMR=1.50 and a huge imbalance between treated and controls (10% vs. 2%), already adjusted </w:t>
      </w:r>
      <w:r w:rsidR="00E86F51" w:rsidRPr="00D52C7D">
        <w:rPr>
          <w:rFonts w:ascii="Cambria" w:hAnsi="Cambria"/>
          <w:i/>
          <w:lang w:val="en-US"/>
        </w:rPr>
        <w:t>ABCG2 c.421</w:t>
      </w:r>
      <w:r w:rsidR="00E86F51">
        <w:rPr>
          <w:rFonts w:ascii="Cambria" w:hAnsi="Cambria"/>
          <w:lang w:val="en-US"/>
        </w:rPr>
        <w:t xml:space="preserve"> variant allele effect would still be 1.26, i.e., beyond the conventional limit of equivalent total exposure.</w:t>
      </w:r>
    </w:p>
    <w:p w14:paraId="5D0F8167" w14:textId="77777777" w:rsidR="002850B8" w:rsidRDefault="002850B8" w:rsidP="00A9796C">
      <w:pPr>
        <w:spacing w:after="0" w:line="360" w:lineRule="auto"/>
        <w:rPr>
          <w:rFonts w:ascii="Cambria" w:hAnsi="Cambria"/>
          <w:lang w:val="en-US"/>
        </w:rPr>
      </w:pPr>
    </w:p>
    <w:p w14:paraId="3A847D79" w14:textId="261443E5" w:rsidR="00BB5BA4" w:rsidRDefault="00E442F6" w:rsidP="00A9796C">
      <w:pPr>
        <w:spacing w:after="0" w:line="360" w:lineRule="auto"/>
        <w:rPr>
          <w:rFonts w:ascii="Cambria" w:hAnsi="Cambria"/>
          <w:lang w:val="en-US"/>
        </w:rPr>
      </w:pPr>
      <w:r w:rsidRPr="006B6E06">
        <w:rPr>
          <w:rFonts w:ascii="Cambria" w:hAnsi="Cambria"/>
          <w:b/>
          <w:lang w:val="en-US"/>
        </w:rPr>
        <w:t>Table S</w:t>
      </w:r>
      <w:r w:rsidR="00327D3B" w:rsidRPr="006B6E06">
        <w:rPr>
          <w:rFonts w:ascii="Cambria" w:hAnsi="Cambria"/>
          <w:b/>
          <w:lang w:val="en-US"/>
        </w:rPr>
        <w:t>2</w:t>
      </w:r>
      <w:r>
        <w:rPr>
          <w:rFonts w:ascii="Cambria" w:hAnsi="Cambria"/>
          <w:lang w:val="en-US"/>
        </w:rPr>
        <w:t>.</w:t>
      </w:r>
      <w:r w:rsidR="006B6E06">
        <w:rPr>
          <w:rFonts w:ascii="Cambria" w:hAnsi="Cambria"/>
          <w:lang w:val="en-US"/>
        </w:rPr>
        <w:t xml:space="preserve"> Sensitivity analysis of the effect of </w:t>
      </w:r>
      <w:r w:rsidR="006B6E06" w:rsidRPr="00C23EF9">
        <w:rPr>
          <w:rFonts w:ascii="Cambria" w:hAnsi="Cambria"/>
          <w:i/>
          <w:lang w:val="en-US"/>
        </w:rPr>
        <w:t>ABCG2 c.421C&gt;A</w:t>
      </w:r>
      <w:r w:rsidR="006B6E06">
        <w:rPr>
          <w:rFonts w:ascii="Cambria" w:hAnsi="Cambria"/>
          <w:lang w:val="en-US"/>
        </w:rPr>
        <w:t xml:space="preserve"> variant allele on MPA AUC</w:t>
      </w:r>
      <w:r w:rsidR="006B6E06" w:rsidRPr="00C23EF9">
        <w:rPr>
          <w:rFonts w:ascii="Cambria" w:hAnsi="Cambria"/>
          <w:vertAlign w:val="subscript"/>
          <w:lang w:val="en-US"/>
        </w:rPr>
        <w:sym w:font="Symbol" w:char="F074"/>
      </w:r>
      <w:proofErr w:type="gramStart"/>
      <w:r w:rsidR="006B6E06" w:rsidRPr="00C23EF9">
        <w:rPr>
          <w:rFonts w:ascii="Cambria" w:hAnsi="Cambria"/>
          <w:vertAlign w:val="subscript"/>
          <w:lang w:val="en-US"/>
        </w:rPr>
        <w:t>,</w:t>
      </w:r>
      <w:proofErr w:type="spellStart"/>
      <w:r w:rsidR="006B6E06" w:rsidRPr="00C23EF9">
        <w:rPr>
          <w:rFonts w:ascii="Cambria" w:hAnsi="Cambria"/>
          <w:vertAlign w:val="subscript"/>
          <w:lang w:val="en-US"/>
        </w:rPr>
        <w:t>ss</w:t>
      </w:r>
      <w:proofErr w:type="spellEnd"/>
      <w:proofErr w:type="gramEnd"/>
      <w:r w:rsidR="006B6E06">
        <w:rPr>
          <w:rFonts w:ascii="Cambria" w:hAnsi="Cambria"/>
          <w:lang w:val="en-US"/>
        </w:rPr>
        <w:t xml:space="preserve"> to account for hypothetical bias arising from not accounting for the </w:t>
      </w:r>
      <w:r w:rsidR="006B6E06">
        <w:rPr>
          <w:rFonts w:ascii="Cambria" w:hAnsi="Cambria"/>
          <w:i/>
          <w:lang w:val="en-US"/>
        </w:rPr>
        <w:t>UGT1A9</w:t>
      </w:r>
      <w:r w:rsidR="006B6E06" w:rsidRPr="0015397F">
        <w:rPr>
          <w:rFonts w:ascii="Cambria" w:hAnsi="Cambria"/>
          <w:i/>
          <w:lang w:val="en-US"/>
        </w:rPr>
        <w:t xml:space="preserve"> c.</w:t>
      </w:r>
      <w:r w:rsidR="006B6E06">
        <w:rPr>
          <w:rFonts w:ascii="Cambria" w:hAnsi="Cambria"/>
          <w:i/>
          <w:lang w:val="en-US"/>
        </w:rPr>
        <w:t>98</w:t>
      </w:r>
      <w:r w:rsidR="006B6E06" w:rsidRPr="0015397F">
        <w:rPr>
          <w:rFonts w:ascii="Cambria" w:hAnsi="Cambria"/>
          <w:i/>
          <w:lang w:val="en-US"/>
        </w:rPr>
        <w:t>T&gt;</w:t>
      </w:r>
      <w:r w:rsidR="006B6E06">
        <w:rPr>
          <w:rFonts w:ascii="Cambria" w:hAnsi="Cambria"/>
          <w:i/>
          <w:lang w:val="en-US"/>
        </w:rPr>
        <w:t>C</w:t>
      </w:r>
      <w:r w:rsidR="006B6E06">
        <w:rPr>
          <w:rFonts w:ascii="Cambria" w:hAnsi="Cambria"/>
          <w:lang w:val="en-US"/>
        </w:rPr>
        <w:t xml:space="preserve"> SNP. The effect of the TC (vs. TT) </w:t>
      </w:r>
      <w:r w:rsidR="006B6E06">
        <w:rPr>
          <w:rFonts w:ascii="Cambria" w:hAnsi="Cambria"/>
          <w:i/>
          <w:lang w:val="en-US"/>
        </w:rPr>
        <w:t>UGT1A9</w:t>
      </w:r>
      <w:r w:rsidR="006B6E06" w:rsidRPr="00C23EF9">
        <w:rPr>
          <w:rFonts w:ascii="Cambria" w:hAnsi="Cambria"/>
          <w:i/>
          <w:lang w:val="en-US"/>
        </w:rPr>
        <w:t xml:space="preserve"> c.</w:t>
      </w:r>
      <w:r w:rsidR="006B6E06">
        <w:rPr>
          <w:rFonts w:ascii="Cambria" w:hAnsi="Cambria"/>
          <w:i/>
          <w:lang w:val="en-US"/>
        </w:rPr>
        <w:t>98</w:t>
      </w:r>
      <w:r w:rsidR="006B6E06">
        <w:rPr>
          <w:rFonts w:ascii="Cambria" w:hAnsi="Cambria"/>
          <w:lang w:val="en-US"/>
        </w:rPr>
        <w:t xml:space="preserve"> genotype is estimated at ROM=1.098 (95%CI 0.548-2.198) (Figure S3) or as GMR=1.50 [5], and prevalence of the TC genotype is estimated at 3.9% (Figure S4). Shown are bias-corrected effects (GMRs) of the </w:t>
      </w:r>
      <w:r w:rsidR="006B6E06" w:rsidRPr="00C23EF9">
        <w:rPr>
          <w:rFonts w:ascii="Cambria" w:hAnsi="Cambria"/>
          <w:i/>
          <w:lang w:val="en-US"/>
        </w:rPr>
        <w:t>ABCG2 c.421C&gt;A</w:t>
      </w:r>
      <w:r w:rsidR="006B6E06">
        <w:rPr>
          <w:rFonts w:ascii="Cambria" w:hAnsi="Cambria"/>
          <w:lang w:val="en-US"/>
        </w:rPr>
        <w:t xml:space="preserve"> variant (vs. </w:t>
      </w:r>
      <w:proofErr w:type="spellStart"/>
      <w:r w:rsidR="006B6E06">
        <w:rPr>
          <w:rFonts w:ascii="Cambria" w:hAnsi="Cambria"/>
          <w:lang w:val="en-US"/>
        </w:rPr>
        <w:t>wt</w:t>
      </w:r>
      <w:proofErr w:type="spellEnd"/>
      <w:r w:rsidR="006B6E06">
        <w:rPr>
          <w:rFonts w:ascii="Cambria" w:hAnsi="Cambria"/>
          <w:lang w:val="en-US"/>
        </w:rPr>
        <w:t xml:space="preserve">) assuming considerable imbalance between variant carriers and </w:t>
      </w:r>
      <w:proofErr w:type="spellStart"/>
      <w:r w:rsidR="006B6E06">
        <w:rPr>
          <w:rFonts w:ascii="Cambria" w:hAnsi="Cambria"/>
          <w:lang w:val="en-US"/>
        </w:rPr>
        <w:t>wt</w:t>
      </w:r>
      <w:proofErr w:type="spellEnd"/>
      <w:r w:rsidR="006B6E06">
        <w:rPr>
          <w:rFonts w:ascii="Cambria" w:hAnsi="Cambria"/>
          <w:lang w:val="en-US"/>
        </w:rPr>
        <w:t xml:space="preserve"> controls in prevalence of the </w:t>
      </w:r>
      <w:r w:rsidR="006B6E06">
        <w:rPr>
          <w:rFonts w:ascii="Cambria" w:hAnsi="Cambria"/>
          <w:i/>
          <w:lang w:val="en-US"/>
        </w:rPr>
        <w:t>UGT1A9 c.98 TC</w:t>
      </w:r>
      <w:r w:rsidR="006B6E06">
        <w:rPr>
          <w:rFonts w:ascii="Cambria" w:hAnsi="Cambria"/>
          <w:lang w:val="en-US"/>
        </w:rPr>
        <w:t xml:space="preserve"> genotype, and assuming TC effect as estimated (i.e., 1.</w:t>
      </w:r>
      <w:r w:rsidR="001201D0">
        <w:rPr>
          <w:rFonts w:ascii="Cambria" w:hAnsi="Cambria"/>
          <w:lang w:val="en-US"/>
        </w:rPr>
        <w:t>10</w:t>
      </w:r>
      <w:r w:rsidR="006B6E06">
        <w:rPr>
          <w:rFonts w:ascii="Cambria" w:hAnsi="Cambria"/>
          <w:lang w:val="en-US"/>
        </w:rPr>
        <w:t xml:space="preserve"> or 1.50). The </w:t>
      </w:r>
      <w:r w:rsidR="006B6E06" w:rsidRPr="006B6E06">
        <w:rPr>
          <w:rFonts w:ascii="Cambria" w:hAnsi="Cambria"/>
          <w:i/>
          <w:lang w:val="en-US"/>
        </w:rPr>
        <w:t>ABCG2 c.421</w:t>
      </w:r>
      <w:r w:rsidR="006B6E06">
        <w:rPr>
          <w:rFonts w:ascii="Cambria" w:hAnsi="Cambria"/>
          <w:lang w:val="en-US"/>
        </w:rPr>
        <w:t xml:space="preserve"> effect that is being bias-corrected is either GMR=1.40 (as estimated in the main analysis) or GMR=1.31 – if adjusted for hypothetical bias arising from not adjusting for </w:t>
      </w:r>
      <w:r w:rsidR="006B6E06" w:rsidRPr="006B6E06">
        <w:rPr>
          <w:rFonts w:ascii="Cambria" w:hAnsi="Cambria"/>
          <w:i/>
          <w:lang w:val="en-US"/>
        </w:rPr>
        <w:t>SLCO1B3 c.334T&gt;G</w:t>
      </w:r>
      <w:r w:rsidR="006B6E06">
        <w:rPr>
          <w:rFonts w:ascii="Cambria" w:hAnsi="Cambria"/>
          <w:lang w:val="en-US"/>
        </w:rPr>
        <w:t xml:space="preserve"> genotype, under a large TT/TG imbalance between </w:t>
      </w:r>
      <w:r w:rsidR="006B6E06" w:rsidRPr="006B6E06">
        <w:rPr>
          <w:rFonts w:ascii="Cambria" w:hAnsi="Cambria"/>
          <w:i/>
          <w:lang w:val="en-US"/>
        </w:rPr>
        <w:t>ABCG2</w:t>
      </w:r>
      <w:r w:rsidR="006B6E06">
        <w:rPr>
          <w:rFonts w:ascii="Cambria" w:hAnsi="Cambria"/>
          <w:lang w:val="en-US"/>
        </w:rPr>
        <w:t xml:space="preserve"> variant carriers and </w:t>
      </w:r>
      <w:proofErr w:type="spellStart"/>
      <w:r w:rsidR="006B6E06">
        <w:rPr>
          <w:rFonts w:ascii="Cambria" w:hAnsi="Cambria"/>
          <w:lang w:val="en-US"/>
        </w:rPr>
        <w:t>wt</w:t>
      </w:r>
      <w:proofErr w:type="spellEnd"/>
      <w:r w:rsidR="006B6E06">
        <w:rPr>
          <w:rFonts w:ascii="Cambria" w:hAnsi="Cambria"/>
          <w:lang w:val="en-US"/>
        </w:rPr>
        <w:t xml:space="preserve"> controls, and the TT/TG effect ROM=1.25 (see Table S1).</w:t>
      </w:r>
    </w:p>
    <w:tbl>
      <w:tblPr>
        <w:tblStyle w:val="TableGrid"/>
        <w:tblW w:w="9098" w:type="dxa"/>
        <w:tblBorders>
          <w:left w:val="none" w:sz="0" w:space="0" w:color="auto"/>
          <w:right w:val="none" w:sz="0" w:space="0" w:color="auto"/>
          <w:insideV w:val="none" w:sz="0" w:space="0" w:color="auto"/>
        </w:tblBorders>
        <w:tblLook w:val="04A0" w:firstRow="1" w:lastRow="0" w:firstColumn="1" w:lastColumn="0" w:noHBand="0" w:noVBand="1"/>
      </w:tblPr>
      <w:tblGrid>
        <w:gridCol w:w="2098"/>
        <w:gridCol w:w="236"/>
        <w:gridCol w:w="1757"/>
        <w:gridCol w:w="236"/>
        <w:gridCol w:w="2211"/>
        <w:gridCol w:w="236"/>
        <w:gridCol w:w="2324"/>
      </w:tblGrid>
      <w:tr w:rsidR="00D52C7D" w:rsidRPr="002850B8" w14:paraId="5ED173FE" w14:textId="77777777" w:rsidTr="00D52C7D">
        <w:tc>
          <w:tcPr>
            <w:tcW w:w="2098" w:type="dxa"/>
            <w:tcBorders>
              <w:bottom w:val="single" w:sz="4" w:space="0" w:color="auto"/>
            </w:tcBorders>
          </w:tcPr>
          <w:p w14:paraId="3E673F15" w14:textId="1BDE81E4" w:rsidR="00D52C7D" w:rsidRPr="002850B8" w:rsidRDefault="00D52C7D" w:rsidP="00D52C7D">
            <w:pPr>
              <w:spacing w:line="288" w:lineRule="auto"/>
              <w:ind w:left="-85" w:right="-57"/>
              <w:rPr>
                <w:rFonts w:ascii="Cambria" w:hAnsi="Cambria"/>
                <w:sz w:val="20"/>
                <w:szCs w:val="20"/>
                <w:lang w:val="en-US"/>
              </w:rPr>
            </w:pPr>
            <w:r>
              <w:rPr>
                <w:rFonts w:ascii="Cambria" w:hAnsi="Cambria"/>
                <w:sz w:val="20"/>
                <w:szCs w:val="20"/>
                <w:lang w:val="en-US"/>
              </w:rPr>
              <w:t xml:space="preserve">Prevalence of TC in </w:t>
            </w:r>
            <w:r w:rsidRPr="003203A0">
              <w:rPr>
                <w:rFonts w:ascii="Cambria" w:hAnsi="Cambria"/>
                <w:i/>
                <w:sz w:val="20"/>
                <w:szCs w:val="20"/>
                <w:lang w:val="en-US"/>
              </w:rPr>
              <w:t>ABCG2</w:t>
            </w:r>
            <w:r>
              <w:rPr>
                <w:rFonts w:ascii="Cambria" w:hAnsi="Cambria"/>
                <w:sz w:val="20"/>
                <w:szCs w:val="20"/>
                <w:lang w:val="en-US"/>
              </w:rPr>
              <w:t xml:space="preserve"> variant carriers</w:t>
            </w:r>
          </w:p>
        </w:tc>
        <w:tc>
          <w:tcPr>
            <w:tcW w:w="236" w:type="dxa"/>
            <w:tcBorders>
              <w:bottom w:val="nil"/>
            </w:tcBorders>
          </w:tcPr>
          <w:p w14:paraId="19EBD9C7" w14:textId="77777777" w:rsidR="00D52C7D" w:rsidRPr="002850B8" w:rsidRDefault="00D52C7D" w:rsidP="003D5710">
            <w:pPr>
              <w:spacing w:line="288" w:lineRule="auto"/>
              <w:ind w:left="-85" w:right="-57"/>
              <w:rPr>
                <w:rFonts w:ascii="Cambria" w:hAnsi="Cambria"/>
                <w:sz w:val="20"/>
                <w:szCs w:val="20"/>
                <w:lang w:val="en-US"/>
              </w:rPr>
            </w:pPr>
          </w:p>
        </w:tc>
        <w:tc>
          <w:tcPr>
            <w:tcW w:w="1757" w:type="dxa"/>
            <w:tcBorders>
              <w:bottom w:val="single" w:sz="4" w:space="0" w:color="auto"/>
            </w:tcBorders>
          </w:tcPr>
          <w:p w14:paraId="080E7645" w14:textId="13FF7603" w:rsidR="00D52C7D" w:rsidRPr="002850B8" w:rsidRDefault="00D52C7D" w:rsidP="00D52C7D">
            <w:pPr>
              <w:spacing w:line="288" w:lineRule="auto"/>
              <w:ind w:left="-85" w:right="-57"/>
              <w:rPr>
                <w:rFonts w:ascii="Cambria" w:hAnsi="Cambria"/>
                <w:sz w:val="20"/>
                <w:szCs w:val="20"/>
                <w:lang w:val="en-US"/>
              </w:rPr>
            </w:pPr>
            <w:r>
              <w:rPr>
                <w:rFonts w:ascii="Cambria" w:hAnsi="Cambria"/>
                <w:sz w:val="20"/>
                <w:szCs w:val="20"/>
                <w:lang w:val="en-US"/>
              </w:rPr>
              <w:t xml:space="preserve">Prevalence of TC in </w:t>
            </w:r>
            <w:r w:rsidRPr="003203A0">
              <w:rPr>
                <w:rFonts w:ascii="Cambria" w:hAnsi="Cambria"/>
                <w:i/>
                <w:sz w:val="20"/>
                <w:szCs w:val="20"/>
                <w:lang w:val="en-US"/>
              </w:rPr>
              <w:t>ABCG2</w:t>
            </w:r>
            <w:r>
              <w:rPr>
                <w:rFonts w:ascii="Cambria" w:hAnsi="Cambria"/>
                <w:sz w:val="20"/>
                <w:szCs w:val="20"/>
                <w:lang w:val="en-US"/>
              </w:rPr>
              <w:t xml:space="preserve"> </w:t>
            </w:r>
            <w:proofErr w:type="spellStart"/>
            <w:r>
              <w:rPr>
                <w:rFonts w:ascii="Cambria" w:hAnsi="Cambria"/>
                <w:sz w:val="20"/>
                <w:szCs w:val="20"/>
                <w:lang w:val="en-US"/>
              </w:rPr>
              <w:t>wt</w:t>
            </w:r>
            <w:proofErr w:type="spellEnd"/>
            <w:r>
              <w:rPr>
                <w:rFonts w:ascii="Cambria" w:hAnsi="Cambria"/>
                <w:sz w:val="20"/>
                <w:szCs w:val="20"/>
                <w:lang w:val="en-US"/>
              </w:rPr>
              <w:t xml:space="preserve"> controls</w:t>
            </w:r>
          </w:p>
        </w:tc>
        <w:tc>
          <w:tcPr>
            <w:tcW w:w="236" w:type="dxa"/>
            <w:tcBorders>
              <w:bottom w:val="nil"/>
            </w:tcBorders>
          </w:tcPr>
          <w:p w14:paraId="2DDBF9C7" w14:textId="77777777" w:rsidR="00D52C7D" w:rsidRPr="002850B8" w:rsidRDefault="00D52C7D" w:rsidP="003D5710">
            <w:pPr>
              <w:spacing w:line="288" w:lineRule="auto"/>
              <w:ind w:left="-85" w:right="-57"/>
              <w:rPr>
                <w:rFonts w:ascii="Cambria" w:hAnsi="Cambria"/>
                <w:sz w:val="20"/>
                <w:szCs w:val="20"/>
                <w:lang w:val="en-US"/>
              </w:rPr>
            </w:pPr>
          </w:p>
        </w:tc>
        <w:tc>
          <w:tcPr>
            <w:tcW w:w="2211" w:type="dxa"/>
            <w:tcBorders>
              <w:bottom w:val="single" w:sz="4" w:space="0" w:color="auto"/>
            </w:tcBorders>
          </w:tcPr>
          <w:p w14:paraId="6B0A106C" w14:textId="5AD68BB9" w:rsidR="00D52C7D" w:rsidRPr="002850B8" w:rsidRDefault="00D52C7D" w:rsidP="00D52C7D">
            <w:pPr>
              <w:spacing w:line="288" w:lineRule="auto"/>
              <w:ind w:left="-85" w:right="-57"/>
              <w:rPr>
                <w:rFonts w:ascii="Cambria" w:hAnsi="Cambria"/>
                <w:sz w:val="20"/>
                <w:szCs w:val="20"/>
                <w:lang w:val="en-US"/>
              </w:rPr>
            </w:pPr>
            <w:r>
              <w:rPr>
                <w:rFonts w:ascii="Cambria" w:hAnsi="Cambria"/>
                <w:sz w:val="20"/>
                <w:szCs w:val="20"/>
                <w:lang w:val="en-US"/>
              </w:rPr>
              <w:t xml:space="preserve">Effect of </w:t>
            </w:r>
            <w:r>
              <w:rPr>
                <w:rFonts w:ascii="Cambria" w:hAnsi="Cambria"/>
                <w:i/>
                <w:sz w:val="20"/>
                <w:szCs w:val="20"/>
                <w:lang w:val="en-US"/>
              </w:rPr>
              <w:t>TC</w:t>
            </w:r>
            <w:r w:rsidRPr="003203A0">
              <w:rPr>
                <w:rFonts w:ascii="Cambria" w:hAnsi="Cambria"/>
                <w:i/>
                <w:sz w:val="20"/>
                <w:szCs w:val="20"/>
                <w:lang w:val="en-US"/>
              </w:rPr>
              <w:t xml:space="preserve"> </w:t>
            </w:r>
            <w:r>
              <w:rPr>
                <w:rFonts w:ascii="Cambria" w:hAnsi="Cambria"/>
                <w:i/>
                <w:sz w:val="20"/>
                <w:szCs w:val="20"/>
                <w:lang w:val="en-US"/>
              </w:rPr>
              <w:t>UGT1A9 c.98</w:t>
            </w:r>
            <w:r>
              <w:rPr>
                <w:rFonts w:ascii="Cambria" w:hAnsi="Cambria"/>
                <w:sz w:val="20"/>
                <w:szCs w:val="20"/>
                <w:lang w:val="en-US"/>
              </w:rPr>
              <w:t xml:space="preserve"> genotype (ROM or GMR)</w:t>
            </w:r>
          </w:p>
        </w:tc>
        <w:tc>
          <w:tcPr>
            <w:tcW w:w="236" w:type="dxa"/>
            <w:tcBorders>
              <w:bottom w:val="nil"/>
            </w:tcBorders>
          </w:tcPr>
          <w:p w14:paraId="7C24E3DC" w14:textId="77777777" w:rsidR="00D52C7D" w:rsidRPr="002850B8" w:rsidRDefault="00D52C7D" w:rsidP="003D5710">
            <w:pPr>
              <w:spacing w:line="288" w:lineRule="auto"/>
              <w:ind w:left="-85" w:right="-57"/>
              <w:rPr>
                <w:rFonts w:ascii="Cambria" w:hAnsi="Cambria"/>
                <w:sz w:val="20"/>
                <w:szCs w:val="20"/>
                <w:lang w:val="en-US"/>
              </w:rPr>
            </w:pPr>
          </w:p>
        </w:tc>
        <w:tc>
          <w:tcPr>
            <w:tcW w:w="2324" w:type="dxa"/>
            <w:tcBorders>
              <w:bottom w:val="single" w:sz="4" w:space="0" w:color="auto"/>
            </w:tcBorders>
          </w:tcPr>
          <w:p w14:paraId="2E466D07" w14:textId="77777777" w:rsidR="00D52C7D" w:rsidRPr="002850B8" w:rsidRDefault="00D52C7D" w:rsidP="003D5710">
            <w:pPr>
              <w:spacing w:line="288" w:lineRule="auto"/>
              <w:ind w:left="-85" w:right="-57"/>
              <w:rPr>
                <w:rFonts w:ascii="Cambria" w:hAnsi="Cambria"/>
                <w:sz w:val="20"/>
                <w:szCs w:val="20"/>
                <w:lang w:val="en-US"/>
              </w:rPr>
            </w:pPr>
            <w:r>
              <w:rPr>
                <w:rFonts w:ascii="Cambria" w:hAnsi="Cambria"/>
                <w:sz w:val="20"/>
                <w:szCs w:val="20"/>
                <w:lang w:val="en-US"/>
              </w:rPr>
              <w:t xml:space="preserve">Bias-corrected effect of </w:t>
            </w:r>
            <w:r w:rsidRPr="002850B8">
              <w:rPr>
                <w:rFonts w:ascii="Cambria" w:hAnsi="Cambria"/>
                <w:i/>
                <w:sz w:val="20"/>
                <w:szCs w:val="20"/>
                <w:lang w:val="en-US"/>
              </w:rPr>
              <w:t>ABCG2 c.421</w:t>
            </w:r>
            <w:r>
              <w:rPr>
                <w:rFonts w:ascii="Cambria" w:hAnsi="Cambria"/>
                <w:sz w:val="20"/>
                <w:szCs w:val="20"/>
                <w:lang w:val="en-US"/>
              </w:rPr>
              <w:t xml:space="preserve"> variant allele</w:t>
            </w:r>
          </w:p>
        </w:tc>
      </w:tr>
      <w:tr w:rsidR="00D52C7D" w:rsidRPr="00D52C7D" w14:paraId="70B42DFF" w14:textId="77777777" w:rsidTr="00952005">
        <w:tc>
          <w:tcPr>
            <w:tcW w:w="9098" w:type="dxa"/>
            <w:gridSpan w:val="7"/>
            <w:tcBorders>
              <w:top w:val="nil"/>
              <w:bottom w:val="nil"/>
            </w:tcBorders>
          </w:tcPr>
          <w:p w14:paraId="208D8857" w14:textId="6078332F" w:rsidR="00D52C7D" w:rsidRPr="00D52C7D" w:rsidRDefault="00D52C7D" w:rsidP="00D52C7D">
            <w:pPr>
              <w:spacing w:line="288" w:lineRule="auto"/>
              <w:ind w:left="-85" w:right="-57"/>
              <w:jc w:val="center"/>
              <w:rPr>
                <w:rFonts w:ascii="Cambria" w:hAnsi="Cambria"/>
                <w:b/>
                <w:sz w:val="20"/>
                <w:szCs w:val="20"/>
                <w:lang w:val="en-US"/>
              </w:rPr>
            </w:pPr>
            <w:r w:rsidRPr="00D52C7D">
              <w:rPr>
                <w:rFonts w:ascii="Cambria" w:hAnsi="Cambria"/>
                <w:b/>
                <w:sz w:val="20"/>
                <w:szCs w:val="20"/>
                <w:lang w:val="en-US"/>
              </w:rPr>
              <w:t>GMR that needs to be adjusted for bias =1.40</w:t>
            </w:r>
          </w:p>
        </w:tc>
      </w:tr>
      <w:tr w:rsidR="00D52C7D" w:rsidRPr="002850B8" w14:paraId="06822FBC" w14:textId="77777777" w:rsidTr="00D52C7D">
        <w:tc>
          <w:tcPr>
            <w:tcW w:w="2098" w:type="dxa"/>
            <w:tcBorders>
              <w:top w:val="nil"/>
              <w:bottom w:val="nil"/>
            </w:tcBorders>
          </w:tcPr>
          <w:p w14:paraId="245BB7EF" w14:textId="149A568D" w:rsidR="00D52C7D" w:rsidRPr="002850B8" w:rsidRDefault="00D52C7D" w:rsidP="003D5710">
            <w:pPr>
              <w:spacing w:line="288" w:lineRule="auto"/>
              <w:ind w:left="-85" w:right="-57"/>
              <w:rPr>
                <w:rFonts w:ascii="Cambria" w:hAnsi="Cambria"/>
                <w:sz w:val="20"/>
                <w:szCs w:val="20"/>
                <w:lang w:val="en-US"/>
              </w:rPr>
            </w:pPr>
            <w:r>
              <w:rPr>
                <w:rFonts w:ascii="Cambria" w:hAnsi="Cambria"/>
                <w:sz w:val="20"/>
                <w:szCs w:val="20"/>
                <w:lang w:val="en-US"/>
              </w:rPr>
              <w:t>6%</w:t>
            </w:r>
          </w:p>
        </w:tc>
        <w:tc>
          <w:tcPr>
            <w:tcW w:w="236" w:type="dxa"/>
            <w:tcBorders>
              <w:top w:val="nil"/>
              <w:bottom w:val="nil"/>
            </w:tcBorders>
          </w:tcPr>
          <w:p w14:paraId="6DAC0B70" w14:textId="77777777" w:rsidR="00D52C7D" w:rsidRPr="002850B8" w:rsidRDefault="00D52C7D" w:rsidP="003D5710">
            <w:pPr>
              <w:spacing w:line="288" w:lineRule="auto"/>
              <w:ind w:left="-85" w:right="-57"/>
              <w:rPr>
                <w:rFonts w:ascii="Cambria" w:hAnsi="Cambria"/>
                <w:sz w:val="20"/>
                <w:szCs w:val="20"/>
                <w:lang w:val="en-US"/>
              </w:rPr>
            </w:pPr>
          </w:p>
        </w:tc>
        <w:tc>
          <w:tcPr>
            <w:tcW w:w="1757" w:type="dxa"/>
            <w:tcBorders>
              <w:top w:val="nil"/>
              <w:bottom w:val="nil"/>
            </w:tcBorders>
          </w:tcPr>
          <w:p w14:paraId="7C3FA9B1" w14:textId="5CB6BD0F" w:rsidR="00D52C7D" w:rsidRPr="002850B8" w:rsidRDefault="00D52C7D" w:rsidP="00D52C7D">
            <w:pPr>
              <w:spacing w:line="288" w:lineRule="auto"/>
              <w:ind w:left="-85" w:right="-57"/>
              <w:rPr>
                <w:rFonts w:ascii="Cambria" w:hAnsi="Cambria"/>
                <w:sz w:val="20"/>
                <w:szCs w:val="20"/>
                <w:lang w:val="en-US"/>
              </w:rPr>
            </w:pPr>
            <w:r>
              <w:rPr>
                <w:rFonts w:ascii="Cambria" w:hAnsi="Cambria"/>
                <w:sz w:val="20"/>
                <w:szCs w:val="20"/>
                <w:lang w:val="en-US"/>
              </w:rPr>
              <w:t>2%</w:t>
            </w:r>
          </w:p>
        </w:tc>
        <w:tc>
          <w:tcPr>
            <w:tcW w:w="236" w:type="dxa"/>
            <w:tcBorders>
              <w:top w:val="nil"/>
              <w:bottom w:val="nil"/>
            </w:tcBorders>
          </w:tcPr>
          <w:p w14:paraId="315DDB9F" w14:textId="77777777" w:rsidR="00D52C7D" w:rsidRPr="002850B8" w:rsidRDefault="00D52C7D" w:rsidP="003D5710">
            <w:pPr>
              <w:spacing w:line="288" w:lineRule="auto"/>
              <w:ind w:left="-85" w:right="-57"/>
              <w:rPr>
                <w:rFonts w:ascii="Cambria" w:hAnsi="Cambria"/>
                <w:sz w:val="20"/>
                <w:szCs w:val="20"/>
                <w:lang w:val="en-US"/>
              </w:rPr>
            </w:pPr>
          </w:p>
        </w:tc>
        <w:tc>
          <w:tcPr>
            <w:tcW w:w="2211" w:type="dxa"/>
            <w:tcBorders>
              <w:top w:val="nil"/>
              <w:bottom w:val="nil"/>
            </w:tcBorders>
          </w:tcPr>
          <w:p w14:paraId="78BF2106" w14:textId="15BE2C51" w:rsidR="00D52C7D" w:rsidRPr="002850B8" w:rsidRDefault="00D52C7D" w:rsidP="001201D0">
            <w:pPr>
              <w:spacing w:line="288" w:lineRule="auto"/>
              <w:ind w:left="-85" w:right="-57"/>
              <w:rPr>
                <w:rFonts w:ascii="Cambria" w:hAnsi="Cambria"/>
                <w:sz w:val="20"/>
                <w:szCs w:val="20"/>
                <w:lang w:val="en-US"/>
              </w:rPr>
            </w:pPr>
            <w:r>
              <w:rPr>
                <w:rFonts w:ascii="Cambria" w:hAnsi="Cambria"/>
                <w:sz w:val="20"/>
                <w:szCs w:val="20"/>
                <w:lang w:val="en-US"/>
              </w:rPr>
              <w:t>1.</w:t>
            </w:r>
            <w:r w:rsidR="001201D0">
              <w:rPr>
                <w:rFonts w:ascii="Cambria" w:hAnsi="Cambria"/>
                <w:sz w:val="20"/>
                <w:szCs w:val="20"/>
                <w:lang w:val="en-US"/>
              </w:rPr>
              <w:t>10</w:t>
            </w:r>
          </w:p>
        </w:tc>
        <w:tc>
          <w:tcPr>
            <w:tcW w:w="236" w:type="dxa"/>
            <w:tcBorders>
              <w:top w:val="nil"/>
              <w:bottom w:val="nil"/>
            </w:tcBorders>
          </w:tcPr>
          <w:p w14:paraId="5762E135" w14:textId="77777777" w:rsidR="00D52C7D" w:rsidRPr="002850B8" w:rsidRDefault="00D52C7D" w:rsidP="003D5710">
            <w:pPr>
              <w:spacing w:line="288" w:lineRule="auto"/>
              <w:ind w:left="-85" w:right="-57"/>
              <w:rPr>
                <w:rFonts w:ascii="Cambria" w:hAnsi="Cambria"/>
                <w:sz w:val="20"/>
                <w:szCs w:val="20"/>
                <w:lang w:val="en-US"/>
              </w:rPr>
            </w:pPr>
          </w:p>
        </w:tc>
        <w:tc>
          <w:tcPr>
            <w:tcW w:w="2324" w:type="dxa"/>
            <w:tcBorders>
              <w:top w:val="nil"/>
              <w:bottom w:val="nil"/>
            </w:tcBorders>
          </w:tcPr>
          <w:p w14:paraId="07669C2D" w14:textId="0876F7F0" w:rsidR="00D52C7D" w:rsidRPr="002850B8" w:rsidRDefault="00D52C7D" w:rsidP="00D52C7D">
            <w:pPr>
              <w:spacing w:line="288" w:lineRule="auto"/>
              <w:ind w:left="-85" w:right="-57"/>
              <w:rPr>
                <w:rFonts w:ascii="Cambria" w:hAnsi="Cambria"/>
                <w:sz w:val="20"/>
                <w:szCs w:val="20"/>
                <w:lang w:val="en-US"/>
              </w:rPr>
            </w:pPr>
            <w:r>
              <w:rPr>
                <w:rFonts w:ascii="Cambria" w:hAnsi="Cambria"/>
                <w:sz w:val="20"/>
                <w:szCs w:val="20"/>
                <w:lang w:val="en-US"/>
              </w:rPr>
              <w:t>1.40</w:t>
            </w:r>
          </w:p>
        </w:tc>
      </w:tr>
      <w:tr w:rsidR="00D52C7D" w:rsidRPr="002850B8" w14:paraId="791F17CD" w14:textId="77777777" w:rsidTr="00D52C7D">
        <w:tc>
          <w:tcPr>
            <w:tcW w:w="2098" w:type="dxa"/>
            <w:tcBorders>
              <w:top w:val="nil"/>
              <w:bottom w:val="nil"/>
            </w:tcBorders>
          </w:tcPr>
          <w:p w14:paraId="4B6DFA6A" w14:textId="00C268C8" w:rsidR="00D52C7D" w:rsidRPr="002850B8" w:rsidRDefault="00D52C7D" w:rsidP="003D5710">
            <w:pPr>
              <w:spacing w:line="288" w:lineRule="auto"/>
              <w:ind w:left="-85" w:right="-57"/>
              <w:rPr>
                <w:rFonts w:ascii="Cambria" w:hAnsi="Cambria"/>
                <w:sz w:val="20"/>
                <w:szCs w:val="20"/>
                <w:lang w:val="en-US"/>
              </w:rPr>
            </w:pPr>
            <w:r>
              <w:rPr>
                <w:rFonts w:ascii="Cambria" w:hAnsi="Cambria"/>
                <w:sz w:val="20"/>
                <w:szCs w:val="20"/>
                <w:lang w:val="en-US"/>
              </w:rPr>
              <w:t>5%</w:t>
            </w:r>
          </w:p>
        </w:tc>
        <w:tc>
          <w:tcPr>
            <w:tcW w:w="236" w:type="dxa"/>
            <w:tcBorders>
              <w:top w:val="nil"/>
              <w:bottom w:val="nil"/>
            </w:tcBorders>
          </w:tcPr>
          <w:p w14:paraId="552C9A69" w14:textId="77777777" w:rsidR="00D52C7D" w:rsidRPr="002850B8" w:rsidRDefault="00D52C7D" w:rsidP="003D5710">
            <w:pPr>
              <w:spacing w:line="288" w:lineRule="auto"/>
              <w:ind w:left="-85" w:right="-57"/>
              <w:rPr>
                <w:rFonts w:ascii="Cambria" w:hAnsi="Cambria"/>
                <w:sz w:val="20"/>
                <w:szCs w:val="20"/>
                <w:lang w:val="en-US"/>
              </w:rPr>
            </w:pPr>
          </w:p>
        </w:tc>
        <w:tc>
          <w:tcPr>
            <w:tcW w:w="1757" w:type="dxa"/>
            <w:tcBorders>
              <w:top w:val="nil"/>
              <w:bottom w:val="nil"/>
            </w:tcBorders>
          </w:tcPr>
          <w:p w14:paraId="2B2C892F" w14:textId="36EC9B3A" w:rsidR="00D52C7D" w:rsidRPr="002850B8" w:rsidRDefault="00D52C7D" w:rsidP="003D5710">
            <w:pPr>
              <w:spacing w:line="288" w:lineRule="auto"/>
              <w:ind w:left="-85" w:right="-57"/>
              <w:rPr>
                <w:rFonts w:ascii="Cambria" w:hAnsi="Cambria"/>
                <w:sz w:val="20"/>
                <w:szCs w:val="20"/>
                <w:lang w:val="en-US"/>
              </w:rPr>
            </w:pPr>
            <w:r>
              <w:rPr>
                <w:rFonts w:ascii="Cambria" w:hAnsi="Cambria"/>
                <w:sz w:val="20"/>
                <w:szCs w:val="20"/>
                <w:lang w:val="en-US"/>
              </w:rPr>
              <w:t>1%</w:t>
            </w:r>
          </w:p>
        </w:tc>
        <w:tc>
          <w:tcPr>
            <w:tcW w:w="236" w:type="dxa"/>
            <w:tcBorders>
              <w:top w:val="nil"/>
              <w:bottom w:val="nil"/>
            </w:tcBorders>
          </w:tcPr>
          <w:p w14:paraId="66979E26" w14:textId="77777777" w:rsidR="00D52C7D" w:rsidRPr="002850B8" w:rsidRDefault="00D52C7D" w:rsidP="003D5710">
            <w:pPr>
              <w:spacing w:line="288" w:lineRule="auto"/>
              <w:ind w:left="-85" w:right="-57"/>
              <w:rPr>
                <w:rFonts w:ascii="Cambria" w:hAnsi="Cambria"/>
                <w:sz w:val="20"/>
                <w:szCs w:val="20"/>
                <w:lang w:val="en-US"/>
              </w:rPr>
            </w:pPr>
          </w:p>
        </w:tc>
        <w:tc>
          <w:tcPr>
            <w:tcW w:w="2211" w:type="dxa"/>
            <w:tcBorders>
              <w:top w:val="nil"/>
              <w:bottom w:val="nil"/>
            </w:tcBorders>
          </w:tcPr>
          <w:p w14:paraId="619AFBFB" w14:textId="5B0BCB59" w:rsidR="00D52C7D" w:rsidRPr="002850B8" w:rsidRDefault="00D52C7D" w:rsidP="001201D0">
            <w:pPr>
              <w:spacing w:line="288" w:lineRule="auto"/>
              <w:ind w:left="-85" w:right="-57"/>
              <w:rPr>
                <w:rFonts w:ascii="Cambria" w:hAnsi="Cambria"/>
                <w:sz w:val="20"/>
                <w:szCs w:val="20"/>
                <w:lang w:val="en-US"/>
              </w:rPr>
            </w:pPr>
            <w:r>
              <w:rPr>
                <w:rFonts w:ascii="Cambria" w:hAnsi="Cambria"/>
                <w:sz w:val="20"/>
                <w:szCs w:val="20"/>
                <w:lang w:val="en-US"/>
              </w:rPr>
              <w:t>1.</w:t>
            </w:r>
            <w:r w:rsidR="001201D0">
              <w:rPr>
                <w:rFonts w:ascii="Cambria" w:hAnsi="Cambria"/>
                <w:sz w:val="20"/>
                <w:szCs w:val="20"/>
                <w:lang w:val="en-US"/>
              </w:rPr>
              <w:t>10</w:t>
            </w:r>
          </w:p>
        </w:tc>
        <w:tc>
          <w:tcPr>
            <w:tcW w:w="236" w:type="dxa"/>
            <w:tcBorders>
              <w:top w:val="nil"/>
              <w:bottom w:val="nil"/>
            </w:tcBorders>
          </w:tcPr>
          <w:p w14:paraId="11C1C6C5" w14:textId="77777777" w:rsidR="00D52C7D" w:rsidRPr="002850B8" w:rsidRDefault="00D52C7D" w:rsidP="003D5710">
            <w:pPr>
              <w:spacing w:line="288" w:lineRule="auto"/>
              <w:ind w:left="-85" w:right="-57"/>
              <w:rPr>
                <w:rFonts w:ascii="Cambria" w:hAnsi="Cambria"/>
                <w:sz w:val="20"/>
                <w:szCs w:val="20"/>
                <w:lang w:val="en-US"/>
              </w:rPr>
            </w:pPr>
          </w:p>
        </w:tc>
        <w:tc>
          <w:tcPr>
            <w:tcW w:w="2324" w:type="dxa"/>
            <w:tcBorders>
              <w:top w:val="nil"/>
              <w:bottom w:val="nil"/>
            </w:tcBorders>
          </w:tcPr>
          <w:p w14:paraId="51F32D56" w14:textId="3BBA0FC1" w:rsidR="00D52C7D" w:rsidRPr="002850B8" w:rsidRDefault="00D52C7D" w:rsidP="00D52C7D">
            <w:pPr>
              <w:spacing w:line="288" w:lineRule="auto"/>
              <w:ind w:left="-85" w:right="-57"/>
              <w:rPr>
                <w:rFonts w:ascii="Cambria" w:hAnsi="Cambria"/>
                <w:sz w:val="20"/>
                <w:szCs w:val="20"/>
                <w:lang w:val="en-US"/>
              </w:rPr>
            </w:pPr>
            <w:r>
              <w:rPr>
                <w:rFonts w:ascii="Cambria" w:hAnsi="Cambria"/>
                <w:sz w:val="20"/>
                <w:szCs w:val="20"/>
                <w:lang w:val="en-US"/>
              </w:rPr>
              <w:t>1.40</w:t>
            </w:r>
          </w:p>
        </w:tc>
      </w:tr>
      <w:tr w:rsidR="00D52C7D" w:rsidRPr="002850B8" w14:paraId="3C401557" w14:textId="77777777" w:rsidTr="00D52C7D">
        <w:tc>
          <w:tcPr>
            <w:tcW w:w="2098" w:type="dxa"/>
            <w:tcBorders>
              <w:top w:val="nil"/>
              <w:bottom w:val="nil"/>
            </w:tcBorders>
          </w:tcPr>
          <w:p w14:paraId="38E11254" w14:textId="4479B97F" w:rsidR="00D52C7D" w:rsidRPr="002850B8" w:rsidRDefault="00D52C7D" w:rsidP="003D5710">
            <w:pPr>
              <w:spacing w:line="288" w:lineRule="auto"/>
              <w:ind w:left="-85" w:right="-57"/>
              <w:rPr>
                <w:rFonts w:ascii="Cambria" w:hAnsi="Cambria"/>
                <w:sz w:val="20"/>
                <w:szCs w:val="20"/>
                <w:lang w:val="en-US"/>
              </w:rPr>
            </w:pPr>
            <w:r>
              <w:rPr>
                <w:rFonts w:ascii="Cambria" w:hAnsi="Cambria"/>
                <w:sz w:val="20"/>
                <w:szCs w:val="20"/>
                <w:lang w:val="en-US"/>
              </w:rPr>
              <w:t>10%</w:t>
            </w:r>
          </w:p>
        </w:tc>
        <w:tc>
          <w:tcPr>
            <w:tcW w:w="236" w:type="dxa"/>
            <w:tcBorders>
              <w:top w:val="nil"/>
              <w:bottom w:val="nil"/>
            </w:tcBorders>
          </w:tcPr>
          <w:p w14:paraId="2D88E7EC" w14:textId="77777777" w:rsidR="00D52C7D" w:rsidRPr="002850B8" w:rsidRDefault="00D52C7D" w:rsidP="003D5710">
            <w:pPr>
              <w:spacing w:line="288" w:lineRule="auto"/>
              <w:ind w:left="-85" w:right="-57"/>
              <w:rPr>
                <w:rFonts w:ascii="Cambria" w:hAnsi="Cambria"/>
                <w:sz w:val="20"/>
                <w:szCs w:val="20"/>
                <w:lang w:val="en-US"/>
              </w:rPr>
            </w:pPr>
          </w:p>
        </w:tc>
        <w:tc>
          <w:tcPr>
            <w:tcW w:w="1757" w:type="dxa"/>
            <w:tcBorders>
              <w:top w:val="nil"/>
              <w:bottom w:val="nil"/>
            </w:tcBorders>
          </w:tcPr>
          <w:p w14:paraId="7836268B" w14:textId="18182CCB" w:rsidR="00D52C7D" w:rsidRPr="002850B8" w:rsidRDefault="00D52C7D" w:rsidP="003D5710">
            <w:pPr>
              <w:spacing w:line="288" w:lineRule="auto"/>
              <w:ind w:left="-85" w:right="-57"/>
              <w:rPr>
                <w:rFonts w:ascii="Cambria" w:hAnsi="Cambria"/>
                <w:sz w:val="20"/>
                <w:szCs w:val="20"/>
                <w:lang w:val="en-US"/>
              </w:rPr>
            </w:pPr>
            <w:r>
              <w:rPr>
                <w:rFonts w:ascii="Cambria" w:hAnsi="Cambria"/>
                <w:sz w:val="20"/>
                <w:szCs w:val="20"/>
                <w:lang w:val="en-US"/>
              </w:rPr>
              <w:t>2%</w:t>
            </w:r>
          </w:p>
        </w:tc>
        <w:tc>
          <w:tcPr>
            <w:tcW w:w="236" w:type="dxa"/>
            <w:tcBorders>
              <w:top w:val="nil"/>
              <w:bottom w:val="nil"/>
            </w:tcBorders>
          </w:tcPr>
          <w:p w14:paraId="50718C38" w14:textId="77777777" w:rsidR="00D52C7D" w:rsidRPr="002850B8" w:rsidRDefault="00D52C7D" w:rsidP="003D5710">
            <w:pPr>
              <w:spacing w:line="288" w:lineRule="auto"/>
              <w:ind w:left="-85" w:right="-57"/>
              <w:rPr>
                <w:rFonts w:ascii="Cambria" w:hAnsi="Cambria"/>
                <w:sz w:val="20"/>
                <w:szCs w:val="20"/>
                <w:lang w:val="en-US"/>
              </w:rPr>
            </w:pPr>
          </w:p>
        </w:tc>
        <w:tc>
          <w:tcPr>
            <w:tcW w:w="2211" w:type="dxa"/>
            <w:tcBorders>
              <w:top w:val="nil"/>
              <w:bottom w:val="nil"/>
            </w:tcBorders>
          </w:tcPr>
          <w:p w14:paraId="2F1D2593" w14:textId="06B9D692" w:rsidR="00D52C7D" w:rsidRPr="002850B8" w:rsidRDefault="00D52C7D" w:rsidP="001201D0">
            <w:pPr>
              <w:spacing w:line="288" w:lineRule="auto"/>
              <w:ind w:left="-85" w:right="-57"/>
              <w:rPr>
                <w:rFonts w:ascii="Cambria" w:hAnsi="Cambria"/>
                <w:sz w:val="20"/>
                <w:szCs w:val="20"/>
                <w:lang w:val="en-US"/>
              </w:rPr>
            </w:pPr>
            <w:r>
              <w:rPr>
                <w:rFonts w:ascii="Cambria" w:hAnsi="Cambria"/>
                <w:sz w:val="20"/>
                <w:szCs w:val="20"/>
                <w:lang w:val="en-US"/>
              </w:rPr>
              <w:t>1.</w:t>
            </w:r>
            <w:r w:rsidR="001201D0">
              <w:rPr>
                <w:rFonts w:ascii="Cambria" w:hAnsi="Cambria"/>
                <w:sz w:val="20"/>
                <w:szCs w:val="20"/>
                <w:lang w:val="en-US"/>
              </w:rPr>
              <w:t>10</w:t>
            </w:r>
          </w:p>
        </w:tc>
        <w:tc>
          <w:tcPr>
            <w:tcW w:w="236" w:type="dxa"/>
            <w:tcBorders>
              <w:top w:val="nil"/>
              <w:bottom w:val="nil"/>
            </w:tcBorders>
          </w:tcPr>
          <w:p w14:paraId="0C373B18" w14:textId="77777777" w:rsidR="00D52C7D" w:rsidRPr="002850B8" w:rsidRDefault="00D52C7D" w:rsidP="003D5710">
            <w:pPr>
              <w:spacing w:line="288" w:lineRule="auto"/>
              <w:ind w:left="-85" w:right="-57"/>
              <w:rPr>
                <w:rFonts w:ascii="Cambria" w:hAnsi="Cambria"/>
                <w:sz w:val="20"/>
                <w:szCs w:val="20"/>
                <w:lang w:val="en-US"/>
              </w:rPr>
            </w:pPr>
          </w:p>
        </w:tc>
        <w:tc>
          <w:tcPr>
            <w:tcW w:w="2324" w:type="dxa"/>
            <w:tcBorders>
              <w:top w:val="nil"/>
              <w:bottom w:val="nil"/>
            </w:tcBorders>
          </w:tcPr>
          <w:p w14:paraId="3DE2AE28" w14:textId="633E96C9" w:rsidR="00D52C7D" w:rsidRPr="002850B8" w:rsidRDefault="00D52C7D" w:rsidP="00D52C7D">
            <w:pPr>
              <w:spacing w:line="288" w:lineRule="auto"/>
              <w:ind w:left="-85" w:right="-57"/>
              <w:rPr>
                <w:rFonts w:ascii="Cambria" w:hAnsi="Cambria"/>
                <w:sz w:val="20"/>
                <w:szCs w:val="20"/>
                <w:lang w:val="en-US"/>
              </w:rPr>
            </w:pPr>
            <w:r>
              <w:rPr>
                <w:rFonts w:ascii="Cambria" w:hAnsi="Cambria"/>
                <w:sz w:val="20"/>
                <w:szCs w:val="20"/>
                <w:lang w:val="en-US"/>
              </w:rPr>
              <w:t>1.39</w:t>
            </w:r>
          </w:p>
        </w:tc>
      </w:tr>
      <w:tr w:rsidR="00D52C7D" w:rsidRPr="002850B8" w14:paraId="68CEC974" w14:textId="77777777" w:rsidTr="00D52C7D">
        <w:tc>
          <w:tcPr>
            <w:tcW w:w="2098" w:type="dxa"/>
            <w:tcBorders>
              <w:top w:val="nil"/>
              <w:bottom w:val="nil"/>
            </w:tcBorders>
          </w:tcPr>
          <w:p w14:paraId="017F7829" w14:textId="75A5007C" w:rsidR="00D52C7D" w:rsidRPr="002850B8" w:rsidRDefault="00D52C7D" w:rsidP="003D5710">
            <w:pPr>
              <w:spacing w:line="288" w:lineRule="auto"/>
              <w:ind w:left="-85" w:right="-57"/>
              <w:rPr>
                <w:rFonts w:ascii="Cambria" w:hAnsi="Cambria"/>
                <w:sz w:val="20"/>
                <w:szCs w:val="20"/>
                <w:lang w:val="en-US"/>
              </w:rPr>
            </w:pPr>
            <w:r>
              <w:rPr>
                <w:rFonts w:ascii="Cambria" w:hAnsi="Cambria"/>
                <w:sz w:val="20"/>
                <w:szCs w:val="20"/>
                <w:lang w:val="en-US"/>
              </w:rPr>
              <w:t>6%</w:t>
            </w:r>
          </w:p>
        </w:tc>
        <w:tc>
          <w:tcPr>
            <w:tcW w:w="236" w:type="dxa"/>
            <w:tcBorders>
              <w:top w:val="nil"/>
              <w:bottom w:val="nil"/>
            </w:tcBorders>
          </w:tcPr>
          <w:p w14:paraId="1231704C" w14:textId="77777777" w:rsidR="00D52C7D" w:rsidRPr="002850B8" w:rsidRDefault="00D52C7D" w:rsidP="003D5710">
            <w:pPr>
              <w:spacing w:line="288" w:lineRule="auto"/>
              <w:ind w:left="-85" w:right="-57"/>
              <w:rPr>
                <w:rFonts w:ascii="Cambria" w:hAnsi="Cambria"/>
                <w:sz w:val="20"/>
                <w:szCs w:val="20"/>
                <w:lang w:val="en-US"/>
              </w:rPr>
            </w:pPr>
          </w:p>
        </w:tc>
        <w:tc>
          <w:tcPr>
            <w:tcW w:w="1757" w:type="dxa"/>
            <w:tcBorders>
              <w:top w:val="nil"/>
              <w:bottom w:val="nil"/>
            </w:tcBorders>
          </w:tcPr>
          <w:p w14:paraId="0DADDE51" w14:textId="79207C3F" w:rsidR="00D52C7D" w:rsidRPr="002850B8" w:rsidRDefault="00D52C7D" w:rsidP="003D5710">
            <w:pPr>
              <w:spacing w:line="288" w:lineRule="auto"/>
              <w:ind w:left="-85" w:right="-57"/>
              <w:rPr>
                <w:rFonts w:ascii="Cambria" w:hAnsi="Cambria"/>
                <w:sz w:val="20"/>
                <w:szCs w:val="20"/>
                <w:lang w:val="en-US"/>
              </w:rPr>
            </w:pPr>
            <w:r>
              <w:rPr>
                <w:rFonts w:ascii="Cambria" w:hAnsi="Cambria"/>
                <w:sz w:val="20"/>
                <w:szCs w:val="20"/>
                <w:lang w:val="en-US"/>
              </w:rPr>
              <w:t>2%</w:t>
            </w:r>
          </w:p>
        </w:tc>
        <w:tc>
          <w:tcPr>
            <w:tcW w:w="236" w:type="dxa"/>
            <w:tcBorders>
              <w:top w:val="nil"/>
              <w:bottom w:val="nil"/>
            </w:tcBorders>
          </w:tcPr>
          <w:p w14:paraId="62368C13" w14:textId="77777777" w:rsidR="00D52C7D" w:rsidRPr="002850B8" w:rsidRDefault="00D52C7D" w:rsidP="003D5710">
            <w:pPr>
              <w:spacing w:line="288" w:lineRule="auto"/>
              <w:ind w:left="-85" w:right="-57"/>
              <w:rPr>
                <w:rFonts w:ascii="Cambria" w:hAnsi="Cambria"/>
                <w:sz w:val="20"/>
                <w:szCs w:val="20"/>
                <w:lang w:val="en-US"/>
              </w:rPr>
            </w:pPr>
          </w:p>
        </w:tc>
        <w:tc>
          <w:tcPr>
            <w:tcW w:w="2211" w:type="dxa"/>
            <w:tcBorders>
              <w:top w:val="nil"/>
              <w:bottom w:val="nil"/>
            </w:tcBorders>
          </w:tcPr>
          <w:p w14:paraId="61A89166" w14:textId="3CF1D125" w:rsidR="00D52C7D" w:rsidRPr="002850B8" w:rsidRDefault="00D52C7D" w:rsidP="003D5710">
            <w:pPr>
              <w:spacing w:line="288" w:lineRule="auto"/>
              <w:ind w:left="-85" w:right="-57"/>
              <w:rPr>
                <w:rFonts w:ascii="Cambria" w:hAnsi="Cambria"/>
                <w:sz w:val="20"/>
                <w:szCs w:val="20"/>
                <w:lang w:val="en-US"/>
              </w:rPr>
            </w:pPr>
            <w:r>
              <w:rPr>
                <w:rFonts w:ascii="Cambria" w:hAnsi="Cambria"/>
                <w:sz w:val="20"/>
                <w:szCs w:val="20"/>
                <w:lang w:val="en-US"/>
              </w:rPr>
              <w:t>1.50</w:t>
            </w:r>
          </w:p>
        </w:tc>
        <w:tc>
          <w:tcPr>
            <w:tcW w:w="236" w:type="dxa"/>
            <w:tcBorders>
              <w:top w:val="nil"/>
              <w:bottom w:val="nil"/>
            </w:tcBorders>
          </w:tcPr>
          <w:p w14:paraId="1ADEEC25" w14:textId="77777777" w:rsidR="00D52C7D" w:rsidRPr="002850B8" w:rsidRDefault="00D52C7D" w:rsidP="003D5710">
            <w:pPr>
              <w:spacing w:line="288" w:lineRule="auto"/>
              <w:ind w:left="-85" w:right="-57"/>
              <w:rPr>
                <w:rFonts w:ascii="Cambria" w:hAnsi="Cambria"/>
                <w:sz w:val="20"/>
                <w:szCs w:val="20"/>
                <w:lang w:val="en-US"/>
              </w:rPr>
            </w:pPr>
          </w:p>
        </w:tc>
        <w:tc>
          <w:tcPr>
            <w:tcW w:w="2324" w:type="dxa"/>
            <w:tcBorders>
              <w:top w:val="nil"/>
              <w:bottom w:val="nil"/>
            </w:tcBorders>
          </w:tcPr>
          <w:p w14:paraId="7516051B" w14:textId="3627680F" w:rsidR="00D52C7D" w:rsidRPr="002850B8" w:rsidRDefault="00D52C7D" w:rsidP="00D52C7D">
            <w:pPr>
              <w:spacing w:line="288" w:lineRule="auto"/>
              <w:ind w:left="-85" w:right="-57"/>
              <w:rPr>
                <w:rFonts w:ascii="Cambria" w:hAnsi="Cambria"/>
                <w:sz w:val="20"/>
                <w:szCs w:val="20"/>
                <w:lang w:val="en-US"/>
              </w:rPr>
            </w:pPr>
            <w:r>
              <w:rPr>
                <w:rFonts w:ascii="Cambria" w:hAnsi="Cambria"/>
                <w:sz w:val="20"/>
                <w:szCs w:val="20"/>
                <w:lang w:val="en-US"/>
              </w:rPr>
              <w:t>1.37</w:t>
            </w:r>
          </w:p>
        </w:tc>
      </w:tr>
      <w:tr w:rsidR="00D52C7D" w:rsidRPr="002850B8" w14:paraId="55125BEC" w14:textId="77777777" w:rsidTr="00D52C7D">
        <w:tc>
          <w:tcPr>
            <w:tcW w:w="2098" w:type="dxa"/>
            <w:tcBorders>
              <w:top w:val="nil"/>
              <w:bottom w:val="nil"/>
            </w:tcBorders>
          </w:tcPr>
          <w:p w14:paraId="60134FAA" w14:textId="062AE7C6" w:rsidR="00D52C7D" w:rsidRPr="002850B8" w:rsidRDefault="00D52C7D" w:rsidP="003D5710">
            <w:pPr>
              <w:spacing w:line="288" w:lineRule="auto"/>
              <w:ind w:left="-85" w:right="-57"/>
              <w:rPr>
                <w:rFonts w:ascii="Cambria" w:hAnsi="Cambria"/>
                <w:sz w:val="20"/>
                <w:szCs w:val="20"/>
                <w:lang w:val="en-US"/>
              </w:rPr>
            </w:pPr>
            <w:r>
              <w:rPr>
                <w:rFonts w:ascii="Cambria" w:hAnsi="Cambria"/>
                <w:sz w:val="20"/>
                <w:szCs w:val="20"/>
                <w:lang w:val="en-US"/>
              </w:rPr>
              <w:t>5%</w:t>
            </w:r>
          </w:p>
        </w:tc>
        <w:tc>
          <w:tcPr>
            <w:tcW w:w="236" w:type="dxa"/>
            <w:tcBorders>
              <w:top w:val="nil"/>
              <w:bottom w:val="nil"/>
            </w:tcBorders>
          </w:tcPr>
          <w:p w14:paraId="5FE41582" w14:textId="77777777" w:rsidR="00D52C7D" w:rsidRPr="002850B8" w:rsidRDefault="00D52C7D" w:rsidP="003D5710">
            <w:pPr>
              <w:spacing w:line="288" w:lineRule="auto"/>
              <w:ind w:left="-85" w:right="-57"/>
              <w:rPr>
                <w:rFonts w:ascii="Cambria" w:hAnsi="Cambria"/>
                <w:sz w:val="20"/>
                <w:szCs w:val="20"/>
                <w:lang w:val="en-US"/>
              </w:rPr>
            </w:pPr>
          </w:p>
        </w:tc>
        <w:tc>
          <w:tcPr>
            <w:tcW w:w="1757" w:type="dxa"/>
            <w:tcBorders>
              <w:top w:val="nil"/>
              <w:bottom w:val="nil"/>
            </w:tcBorders>
          </w:tcPr>
          <w:p w14:paraId="4C19F385" w14:textId="1D37D472" w:rsidR="00D52C7D" w:rsidRPr="002850B8" w:rsidRDefault="00952005" w:rsidP="003D5710">
            <w:pPr>
              <w:spacing w:line="288" w:lineRule="auto"/>
              <w:ind w:left="-85" w:right="-57"/>
              <w:rPr>
                <w:rFonts w:ascii="Cambria" w:hAnsi="Cambria"/>
                <w:sz w:val="20"/>
                <w:szCs w:val="20"/>
                <w:lang w:val="en-US"/>
              </w:rPr>
            </w:pPr>
            <w:r>
              <w:rPr>
                <w:rFonts w:ascii="Cambria" w:hAnsi="Cambria"/>
                <w:sz w:val="20"/>
                <w:szCs w:val="20"/>
                <w:lang w:val="en-US"/>
              </w:rPr>
              <w:t>1</w:t>
            </w:r>
            <w:r w:rsidR="00D52C7D">
              <w:rPr>
                <w:rFonts w:ascii="Cambria" w:hAnsi="Cambria"/>
                <w:sz w:val="20"/>
                <w:szCs w:val="20"/>
                <w:lang w:val="en-US"/>
              </w:rPr>
              <w:t>%</w:t>
            </w:r>
          </w:p>
        </w:tc>
        <w:tc>
          <w:tcPr>
            <w:tcW w:w="236" w:type="dxa"/>
            <w:tcBorders>
              <w:top w:val="nil"/>
              <w:bottom w:val="nil"/>
            </w:tcBorders>
          </w:tcPr>
          <w:p w14:paraId="1AA0003F" w14:textId="77777777" w:rsidR="00D52C7D" w:rsidRPr="002850B8" w:rsidRDefault="00D52C7D" w:rsidP="003D5710">
            <w:pPr>
              <w:spacing w:line="288" w:lineRule="auto"/>
              <w:ind w:left="-85" w:right="-57"/>
              <w:rPr>
                <w:rFonts w:ascii="Cambria" w:hAnsi="Cambria"/>
                <w:sz w:val="20"/>
                <w:szCs w:val="20"/>
                <w:lang w:val="en-US"/>
              </w:rPr>
            </w:pPr>
          </w:p>
        </w:tc>
        <w:tc>
          <w:tcPr>
            <w:tcW w:w="2211" w:type="dxa"/>
            <w:tcBorders>
              <w:top w:val="nil"/>
              <w:bottom w:val="nil"/>
            </w:tcBorders>
          </w:tcPr>
          <w:p w14:paraId="07363CF1" w14:textId="54F21333" w:rsidR="00D52C7D" w:rsidRPr="002850B8" w:rsidRDefault="00D52C7D" w:rsidP="003D5710">
            <w:pPr>
              <w:spacing w:line="288" w:lineRule="auto"/>
              <w:ind w:left="-85" w:right="-57"/>
              <w:rPr>
                <w:rFonts w:ascii="Cambria" w:hAnsi="Cambria"/>
                <w:sz w:val="20"/>
                <w:szCs w:val="20"/>
                <w:lang w:val="en-US"/>
              </w:rPr>
            </w:pPr>
            <w:r>
              <w:rPr>
                <w:rFonts w:ascii="Cambria" w:hAnsi="Cambria"/>
                <w:sz w:val="20"/>
                <w:szCs w:val="20"/>
                <w:lang w:val="en-US"/>
              </w:rPr>
              <w:t>1.50</w:t>
            </w:r>
          </w:p>
        </w:tc>
        <w:tc>
          <w:tcPr>
            <w:tcW w:w="236" w:type="dxa"/>
            <w:tcBorders>
              <w:top w:val="nil"/>
              <w:bottom w:val="nil"/>
            </w:tcBorders>
          </w:tcPr>
          <w:p w14:paraId="46CCAB0A" w14:textId="77777777" w:rsidR="00D52C7D" w:rsidRPr="002850B8" w:rsidRDefault="00D52C7D" w:rsidP="003D5710">
            <w:pPr>
              <w:spacing w:line="288" w:lineRule="auto"/>
              <w:ind w:left="-85" w:right="-57"/>
              <w:rPr>
                <w:rFonts w:ascii="Cambria" w:hAnsi="Cambria"/>
                <w:sz w:val="20"/>
                <w:szCs w:val="20"/>
                <w:lang w:val="en-US"/>
              </w:rPr>
            </w:pPr>
          </w:p>
        </w:tc>
        <w:tc>
          <w:tcPr>
            <w:tcW w:w="2324" w:type="dxa"/>
            <w:tcBorders>
              <w:top w:val="nil"/>
              <w:bottom w:val="nil"/>
            </w:tcBorders>
          </w:tcPr>
          <w:p w14:paraId="34CA6F08" w14:textId="35E7C113" w:rsidR="00D52C7D" w:rsidRPr="002850B8" w:rsidRDefault="00D52C7D" w:rsidP="00D52C7D">
            <w:pPr>
              <w:spacing w:line="288" w:lineRule="auto"/>
              <w:ind w:left="-85" w:right="-57"/>
              <w:rPr>
                <w:rFonts w:ascii="Cambria" w:hAnsi="Cambria"/>
                <w:sz w:val="20"/>
                <w:szCs w:val="20"/>
                <w:lang w:val="en-US"/>
              </w:rPr>
            </w:pPr>
            <w:r>
              <w:rPr>
                <w:rFonts w:ascii="Cambria" w:hAnsi="Cambria"/>
                <w:sz w:val="20"/>
                <w:szCs w:val="20"/>
                <w:lang w:val="en-US"/>
              </w:rPr>
              <w:t>1.37</w:t>
            </w:r>
          </w:p>
        </w:tc>
      </w:tr>
      <w:tr w:rsidR="00D52C7D" w:rsidRPr="002850B8" w14:paraId="7F475BDA" w14:textId="77777777" w:rsidTr="00D52C7D">
        <w:tc>
          <w:tcPr>
            <w:tcW w:w="2098" w:type="dxa"/>
            <w:tcBorders>
              <w:top w:val="nil"/>
              <w:bottom w:val="nil"/>
            </w:tcBorders>
          </w:tcPr>
          <w:p w14:paraId="3C5D5AA8" w14:textId="69A10B5E" w:rsidR="00D52C7D" w:rsidRPr="002850B8" w:rsidRDefault="00D52C7D" w:rsidP="003D5710">
            <w:pPr>
              <w:spacing w:line="288" w:lineRule="auto"/>
              <w:ind w:left="-85" w:right="-57"/>
              <w:rPr>
                <w:rFonts w:ascii="Cambria" w:hAnsi="Cambria"/>
                <w:sz w:val="20"/>
                <w:szCs w:val="20"/>
                <w:lang w:val="en-US"/>
              </w:rPr>
            </w:pPr>
            <w:r>
              <w:rPr>
                <w:rFonts w:ascii="Cambria" w:hAnsi="Cambria"/>
                <w:sz w:val="20"/>
                <w:szCs w:val="20"/>
                <w:lang w:val="en-US"/>
              </w:rPr>
              <w:t>10%</w:t>
            </w:r>
          </w:p>
        </w:tc>
        <w:tc>
          <w:tcPr>
            <w:tcW w:w="236" w:type="dxa"/>
            <w:tcBorders>
              <w:top w:val="nil"/>
              <w:bottom w:val="nil"/>
            </w:tcBorders>
          </w:tcPr>
          <w:p w14:paraId="646BA46A" w14:textId="77777777" w:rsidR="00D52C7D" w:rsidRPr="002850B8" w:rsidRDefault="00D52C7D" w:rsidP="003D5710">
            <w:pPr>
              <w:spacing w:line="288" w:lineRule="auto"/>
              <w:ind w:left="-85" w:right="-57"/>
              <w:rPr>
                <w:rFonts w:ascii="Cambria" w:hAnsi="Cambria"/>
                <w:sz w:val="20"/>
                <w:szCs w:val="20"/>
                <w:lang w:val="en-US"/>
              </w:rPr>
            </w:pPr>
          </w:p>
        </w:tc>
        <w:tc>
          <w:tcPr>
            <w:tcW w:w="1757" w:type="dxa"/>
            <w:tcBorders>
              <w:top w:val="nil"/>
              <w:bottom w:val="nil"/>
            </w:tcBorders>
          </w:tcPr>
          <w:p w14:paraId="108F57FE" w14:textId="6620EFDA" w:rsidR="00D52C7D" w:rsidRPr="002850B8" w:rsidRDefault="00D52C7D" w:rsidP="003D5710">
            <w:pPr>
              <w:spacing w:line="288" w:lineRule="auto"/>
              <w:ind w:left="-85" w:right="-57"/>
              <w:rPr>
                <w:rFonts w:ascii="Cambria" w:hAnsi="Cambria"/>
                <w:sz w:val="20"/>
                <w:szCs w:val="20"/>
                <w:lang w:val="en-US"/>
              </w:rPr>
            </w:pPr>
            <w:r>
              <w:rPr>
                <w:rFonts w:ascii="Cambria" w:hAnsi="Cambria"/>
                <w:sz w:val="20"/>
                <w:szCs w:val="20"/>
                <w:lang w:val="en-US"/>
              </w:rPr>
              <w:t>2%</w:t>
            </w:r>
          </w:p>
        </w:tc>
        <w:tc>
          <w:tcPr>
            <w:tcW w:w="236" w:type="dxa"/>
            <w:tcBorders>
              <w:top w:val="nil"/>
              <w:bottom w:val="nil"/>
            </w:tcBorders>
          </w:tcPr>
          <w:p w14:paraId="662F6AD0" w14:textId="77777777" w:rsidR="00D52C7D" w:rsidRPr="002850B8" w:rsidRDefault="00D52C7D" w:rsidP="003D5710">
            <w:pPr>
              <w:spacing w:line="288" w:lineRule="auto"/>
              <w:ind w:left="-85" w:right="-57"/>
              <w:rPr>
                <w:rFonts w:ascii="Cambria" w:hAnsi="Cambria"/>
                <w:sz w:val="20"/>
                <w:szCs w:val="20"/>
                <w:lang w:val="en-US"/>
              </w:rPr>
            </w:pPr>
          </w:p>
        </w:tc>
        <w:tc>
          <w:tcPr>
            <w:tcW w:w="2211" w:type="dxa"/>
            <w:tcBorders>
              <w:top w:val="nil"/>
              <w:bottom w:val="nil"/>
            </w:tcBorders>
          </w:tcPr>
          <w:p w14:paraId="4421889A" w14:textId="5212794C" w:rsidR="00D52C7D" w:rsidRPr="002850B8" w:rsidRDefault="00D52C7D" w:rsidP="003D5710">
            <w:pPr>
              <w:spacing w:line="288" w:lineRule="auto"/>
              <w:ind w:left="-85" w:right="-57"/>
              <w:rPr>
                <w:rFonts w:ascii="Cambria" w:hAnsi="Cambria"/>
                <w:sz w:val="20"/>
                <w:szCs w:val="20"/>
                <w:lang w:val="en-US"/>
              </w:rPr>
            </w:pPr>
            <w:r>
              <w:rPr>
                <w:rFonts w:ascii="Cambria" w:hAnsi="Cambria"/>
                <w:sz w:val="20"/>
                <w:szCs w:val="20"/>
                <w:lang w:val="en-US"/>
              </w:rPr>
              <w:t>1.50</w:t>
            </w:r>
          </w:p>
        </w:tc>
        <w:tc>
          <w:tcPr>
            <w:tcW w:w="236" w:type="dxa"/>
            <w:tcBorders>
              <w:top w:val="nil"/>
              <w:bottom w:val="nil"/>
            </w:tcBorders>
          </w:tcPr>
          <w:p w14:paraId="55824A05" w14:textId="77777777" w:rsidR="00D52C7D" w:rsidRPr="002850B8" w:rsidRDefault="00D52C7D" w:rsidP="003D5710">
            <w:pPr>
              <w:spacing w:line="288" w:lineRule="auto"/>
              <w:ind w:left="-85" w:right="-57"/>
              <w:rPr>
                <w:rFonts w:ascii="Cambria" w:hAnsi="Cambria"/>
                <w:sz w:val="20"/>
                <w:szCs w:val="20"/>
                <w:lang w:val="en-US"/>
              </w:rPr>
            </w:pPr>
          </w:p>
        </w:tc>
        <w:tc>
          <w:tcPr>
            <w:tcW w:w="2324" w:type="dxa"/>
            <w:tcBorders>
              <w:top w:val="nil"/>
              <w:bottom w:val="nil"/>
            </w:tcBorders>
          </w:tcPr>
          <w:p w14:paraId="025E8600" w14:textId="58D4B057" w:rsidR="00D52C7D" w:rsidRPr="002850B8" w:rsidRDefault="00D52C7D" w:rsidP="00D52C7D">
            <w:pPr>
              <w:spacing w:line="288" w:lineRule="auto"/>
              <w:ind w:left="-85" w:right="-57"/>
              <w:rPr>
                <w:rFonts w:ascii="Cambria" w:hAnsi="Cambria"/>
                <w:sz w:val="20"/>
                <w:szCs w:val="20"/>
                <w:lang w:val="en-US"/>
              </w:rPr>
            </w:pPr>
            <w:r>
              <w:rPr>
                <w:rFonts w:ascii="Cambria" w:hAnsi="Cambria"/>
                <w:sz w:val="20"/>
                <w:szCs w:val="20"/>
                <w:lang w:val="en-US"/>
              </w:rPr>
              <w:t>1.35</w:t>
            </w:r>
          </w:p>
        </w:tc>
      </w:tr>
      <w:tr w:rsidR="00D52C7D" w:rsidRPr="00D52C7D" w14:paraId="7BD77A15" w14:textId="77777777" w:rsidTr="00952005">
        <w:tc>
          <w:tcPr>
            <w:tcW w:w="9098" w:type="dxa"/>
            <w:gridSpan w:val="7"/>
            <w:tcBorders>
              <w:top w:val="nil"/>
              <w:bottom w:val="nil"/>
            </w:tcBorders>
          </w:tcPr>
          <w:p w14:paraId="2869BF2A" w14:textId="707F7FFC" w:rsidR="00D52C7D" w:rsidRPr="00D52C7D" w:rsidRDefault="00D52C7D" w:rsidP="00D52C7D">
            <w:pPr>
              <w:spacing w:line="288" w:lineRule="auto"/>
              <w:ind w:left="-85" w:right="-57"/>
              <w:jc w:val="center"/>
              <w:rPr>
                <w:rFonts w:ascii="Cambria" w:hAnsi="Cambria"/>
                <w:b/>
                <w:sz w:val="20"/>
                <w:szCs w:val="20"/>
                <w:lang w:val="en-US"/>
              </w:rPr>
            </w:pPr>
            <w:r w:rsidRPr="00D52C7D">
              <w:rPr>
                <w:rFonts w:ascii="Cambria" w:hAnsi="Cambria"/>
                <w:b/>
                <w:sz w:val="20"/>
                <w:szCs w:val="20"/>
                <w:lang w:val="en-US"/>
              </w:rPr>
              <w:t>GMR that needs to be adjusted for bias =1.</w:t>
            </w:r>
            <w:r>
              <w:rPr>
                <w:rFonts w:ascii="Cambria" w:hAnsi="Cambria"/>
                <w:b/>
                <w:sz w:val="20"/>
                <w:szCs w:val="20"/>
                <w:lang w:val="en-US"/>
              </w:rPr>
              <w:t>31</w:t>
            </w:r>
          </w:p>
        </w:tc>
      </w:tr>
      <w:tr w:rsidR="00D52C7D" w:rsidRPr="002850B8" w14:paraId="6B4321B3" w14:textId="77777777" w:rsidTr="00D52C7D">
        <w:tblPrEx>
          <w:tblBorders>
            <w:left w:val="single" w:sz="4" w:space="0" w:color="auto"/>
            <w:right w:val="single" w:sz="4" w:space="0" w:color="auto"/>
            <w:insideV w:val="single" w:sz="4" w:space="0" w:color="auto"/>
          </w:tblBorders>
        </w:tblPrEx>
        <w:tc>
          <w:tcPr>
            <w:tcW w:w="2098" w:type="dxa"/>
            <w:tcBorders>
              <w:top w:val="nil"/>
              <w:left w:val="nil"/>
              <w:bottom w:val="nil"/>
              <w:right w:val="nil"/>
            </w:tcBorders>
          </w:tcPr>
          <w:p w14:paraId="35EE084F" w14:textId="77777777" w:rsidR="00D52C7D" w:rsidRPr="002850B8" w:rsidRDefault="00D52C7D" w:rsidP="003D5710">
            <w:pPr>
              <w:spacing w:line="288" w:lineRule="auto"/>
              <w:ind w:left="-85" w:right="-57"/>
              <w:rPr>
                <w:rFonts w:ascii="Cambria" w:hAnsi="Cambria"/>
                <w:sz w:val="20"/>
                <w:szCs w:val="20"/>
                <w:lang w:val="en-US"/>
              </w:rPr>
            </w:pPr>
            <w:r>
              <w:rPr>
                <w:rFonts w:ascii="Cambria" w:hAnsi="Cambria"/>
                <w:sz w:val="20"/>
                <w:szCs w:val="20"/>
                <w:lang w:val="en-US"/>
              </w:rPr>
              <w:t>6%</w:t>
            </w:r>
          </w:p>
        </w:tc>
        <w:tc>
          <w:tcPr>
            <w:tcW w:w="236" w:type="dxa"/>
            <w:tcBorders>
              <w:top w:val="nil"/>
              <w:left w:val="nil"/>
              <w:bottom w:val="nil"/>
              <w:right w:val="nil"/>
            </w:tcBorders>
          </w:tcPr>
          <w:p w14:paraId="07C18330" w14:textId="77777777" w:rsidR="00D52C7D" w:rsidRPr="002850B8" w:rsidRDefault="00D52C7D" w:rsidP="003D5710">
            <w:pPr>
              <w:spacing w:line="288" w:lineRule="auto"/>
              <w:ind w:left="-85" w:right="-57"/>
              <w:rPr>
                <w:rFonts w:ascii="Cambria" w:hAnsi="Cambria"/>
                <w:sz w:val="20"/>
                <w:szCs w:val="20"/>
                <w:lang w:val="en-US"/>
              </w:rPr>
            </w:pPr>
          </w:p>
        </w:tc>
        <w:tc>
          <w:tcPr>
            <w:tcW w:w="1757" w:type="dxa"/>
            <w:tcBorders>
              <w:top w:val="nil"/>
              <w:left w:val="nil"/>
              <w:bottom w:val="nil"/>
              <w:right w:val="nil"/>
            </w:tcBorders>
          </w:tcPr>
          <w:p w14:paraId="25D27CAA" w14:textId="77777777" w:rsidR="00D52C7D" w:rsidRPr="002850B8" w:rsidRDefault="00D52C7D" w:rsidP="003D5710">
            <w:pPr>
              <w:spacing w:line="288" w:lineRule="auto"/>
              <w:ind w:left="-85" w:right="-57"/>
              <w:rPr>
                <w:rFonts w:ascii="Cambria" w:hAnsi="Cambria"/>
                <w:sz w:val="20"/>
                <w:szCs w:val="20"/>
                <w:lang w:val="en-US"/>
              </w:rPr>
            </w:pPr>
            <w:r>
              <w:rPr>
                <w:rFonts w:ascii="Cambria" w:hAnsi="Cambria"/>
                <w:sz w:val="20"/>
                <w:szCs w:val="20"/>
                <w:lang w:val="en-US"/>
              </w:rPr>
              <w:t>2%</w:t>
            </w:r>
          </w:p>
        </w:tc>
        <w:tc>
          <w:tcPr>
            <w:tcW w:w="236" w:type="dxa"/>
            <w:tcBorders>
              <w:top w:val="nil"/>
              <w:left w:val="nil"/>
              <w:bottom w:val="nil"/>
              <w:right w:val="nil"/>
            </w:tcBorders>
          </w:tcPr>
          <w:p w14:paraId="17055064" w14:textId="77777777" w:rsidR="00D52C7D" w:rsidRPr="002850B8" w:rsidRDefault="00D52C7D" w:rsidP="003D5710">
            <w:pPr>
              <w:spacing w:line="288" w:lineRule="auto"/>
              <w:ind w:left="-85" w:right="-57"/>
              <w:rPr>
                <w:rFonts w:ascii="Cambria" w:hAnsi="Cambria"/>
                <w:sz w:val="20"/>
                <w:szCs w:val="20"/>
                <w:lang w:val="en-US"/>
              </w:rPr>
            </w:pPr>
          </w:p>
        </w:tc>
        <w:tc>
          <w:tcPr>
            <w:tcW w:w="2211" w:type="dxa"/>
            <w:tcBorders>
              <w:top w:val="nil"/>
              <w:left w:val="nil"/>
              <w:bottom w:val="nil"/>
              <w:right w:val="nil"/>
            </w:tcBorders>
          </w:tcPr>
          <w:p w14:paraId="41E9BC82" w14:textId="490B5C3E" w:rsidR="00D52C7D" w:rsidRPr="002850B8" w:rsidRDefault="00D52C7D" w:rsidP="001201D0">
            <w:pPr>
              <w:spacing w:line="288" w:lineRule="auto"/>
              <w:ind w:left="-85" w:right="-57"/>
              <w:rPr>
                <w:rFonts w:ascii="Cambria" w:hAnsi="Cambria"/>
                <w:sz w:val="20"/>
                <w:szCs w:val="20"/>
                <w:lang w:val="en-US"/>
              </w:rPr>
            </w:pPr>
            <w:r>
              <w:rPr>
                <w:rFonts w:ascii="Cambria" w:hAnsi="Cambria"/>
                <w:sz w:val="20"/>
                <w:szCs w:val="20"/>
                <w:lang w:val="en-US"/>
              </w:rPr>
              <w:t>1.</w:t>
            </w:r>
            <w:r w:rsidR="001201D0">
              <w:rPr>
                <w:rFonts w:ascii="Cambria" w:hAnsi="Cambria"/>
                <w:sz w:val="20"/>
                <w:szCs w:val="20"/>
                <w:lang w:val="en-US"/>
              </w:rPr>
              <w:t>10</w:t>
            </w:r>
          </w:p>
        </w:tc>
        <w:tc>
          <w:tcPr>
            <w:tcW w:w="236" w:type="dxa"/>
            <w:tcBorders>
              <w:top w:val="nil"/>
              <w:left w:val="nil"/>
              <w:bottom w:val="nil"/>
              <w:right w:val="nil"/>
            </w:tcBorders>
          </w:tcPr>
          <w:p w14:paraId="3EF19933" w14:textId="77777777" w:rsidR="00D52C7D" w:rsidRPr="002850B8" w:rsidRDefault="00D52C7D" w:rsidP="003D5710">
            <w:pPr>
              <w:spacing w:line="288" w:lineRule="auto"/>
              <w:ind w:left="-85" w:right="-57"/>
              <w:rPr>
                <w:rFonts w:ascii="Cambria" w:hAnsi="Cambria"/>
                <w:sz w:val="20"/>
                <w:szCs w:val="20"/>
                <w:lang w:val="en-US"/>
              </w:rPr>
            </w:pPr>
          </w:p>
        </w:tc>
        <w:tc>
          <w:tcPr>
            <w:tcW w:w="2324" w:type="dxa"/>
            <w:tcBorders>
              <w:top w:val="nil"/>
              <w:left w:val="nil"/>
              <w:bottom w:val="nil"/>
              <w:right w:val="nil"/>
            </w:tcBorders>
          </w:tcPr>
          <w:p w14:paraId="558F086D" w14:textId="219CF7B4" w:rsidR="00D52C7D" w:rsidRPr="002850B8" w:rsidRDefault="00D52C7D" w:rsidP="00952005">
            <w:pPr>
              <w:spacing w:line="288" w:lineRule="auto"/>
              <w:ind w:left="-85" w:right="-57"/>
              <w:rPr>
                <w:rFonts w:ascii="Cambria" w:hAnsi="Cambria"/>
                <w:sz w:val="20"/>
                <w:szCs w:val="20"/>
                <w:lang w:val="en-US"/>
              </w:rPr>
            </w:pPr>
            <w:r>
              <w:rPr>
                <w:rFonts w:ascii="Cambria" w:hAnsi="Cambria"/>
                <w:sz w:val="20"/>
                <w:szCs w:val="20"/>
                <w:lang w:val="en-US"/>
              </w:rPr>
              <w:t>1.3</w:t>
            </w:r>
            <w:r w:rsidR="00952005">
              <w:rPr>
                <w:rFonts w:ascii="Cambria" w:hAnsi="Cambria"/>
                <w:sz w:val="20"/>
                <w:szCs w:val="20"/>
                <w:lang w:val="en-US"/>
              </w:rPr>
              <w:t>1</w:t>
            </w:r>
          </w:p>
        </w:tc>
      </w:tr>
      <w:tr w:rsidR="00D52C7D" w:rsidRPr="002850B8" w14:paraId="39BEBC78" w14:textId="77777777" w:rsidTr="00D52C7D">
        <w:tblPrEx>
          <w:tblBorders>
            <w:left w:val="single" w:sz="4" w:space="0" w:color="auto"/>
            <w:right w:val="single" w:sz="4" w:space="0" w:color="auto"/>
            <w:insideV w:val="single" w:sz="4" w:space="0" w:color="auto"/>
          </w:tblBorders>
        </w:tblPrEx>
        <w:tc>
          <w:tcPr>
            <w:tcW w:w="2098" w:type="dxa"/>
            <w:tcBorders>
              <w:top w:val="nil"/>
              <w:left w:val="nil"/>
              <w:bottom w:val="nil"/>
              <w:right w:val="nil"/>
            </w:tcBorders>
          </w:tcPr>
          <w:p w14:paraId="0970C3A5" w14:textId="77777777" w:rsidR="00D52C7D" w:rsidRPr="002850B8" w:rsidRDefault="00D52C7D" w:rsidP="003D5710">
            <w:pPr>
              <w:spacing w:line="288" w:lineRule="auto"/>
              <w:ind w:left="-85" w:right="-57"/>
              <w:rPr>
                <w:rFonts w:ascii="Cambria" w:hAnsi="Cambria"/>
                <w:sz w:val="20"/>
                <w:szCs w:val="20"/>
                <w:lang w:val="en-US"/>
              </w:rPr>
            </w:pPr>
            <w:r>
              <w:rPr>
                <w:rFonts w:ascii="Cambria" w:hAnsi="Cambria"/>
                <w:sz w:val="20"/>
                <w:szCs w:val="20"/>
                <w:lang w:val="en-US"/>
              </w:rPr>
              <w:t>5%</w:t>
            </w:r>
          </w:p>
        </w:tc>
        <w:tc>
          <w:tcPr>
            <w:tcW w:w="236" w:type="dxa"/>
            <w:tcBorders>
              <w:top w:val="nil"/>
              <w:left w:val="nil"/>
              <w:bottom w:val="nil"/>
              <w:right w:val="nil"/>
            </w:tcBorders>
          </w:tcPr>
          <w:p w14:paraId="460E4EE8" w14:textId="77777777" w:rsidR="00D52C7D" w:rsidRPr="002850B8" w:rsidRDefault="00D52C7D" w:rsidP="003D5710">
            <w:pPr>
              <w:spacing w:line="288" w:lineRule="auto"/>
              <w:ind w:left="-85" w:right="-57"/>
              <w:rPr>
                <w:rFonts w:ascii="Cambria" w:hAnsi="Cambria"/>
                <w:sz w:val="20"/>
                <w:szCs w:val="20"/>
                <w:lang w:val="en-US"/>
              </w:rPr>
            </w:pPr>
          </w:p>
        </w:tc>
        <w:tc>
          <w:tcPr>
            <w:tcW w:w="1757" w:type="dxa"/>
            <w:tcBorders>
              <w:top w:val="nil"/>
              <w:left w:val="nil"/>
              <w:bottom w:val="nil"/>
              <w:right w:val="nil"/>
            </w:tcBorders>
          </w:tcPr>
          <w:p w14:paraId="2DF5FC70" w14:textId="77777777" w:rsidR="00D52C7D" w:rsidRPr="002850B8" w:rsidRDefault="00D52C7D" w:rsidP="003D5710">
            <w:pPr>
              <w:spacing w:line="288" w:lineRule="auto"/>
              <w:ind w:left="-85" w:right="-57"/>
              <w:rPr>
                <w:rFonts w:ascii="Cambria" w:hAnsi="Cambria"/>
                <w:sz w:val="20"/>
                <w:szCs w:val="20"/>
                <w:lang w:val="en-US"/>
              </w:rPr>
            </w:pPr>
            <w:r>
              <w:rPr>
                <w:rFonts w:ascii="Cambria" w:hAnsi="Cambria"/>
                <w:sz w:val="20"/>
                <w:szCs w:val="20"/>
                <w:lang w:val="en-US"/>
              </w:rPr>
              <w:t>1%</w:t>
            </w:r>
          </w:p>
        </w:tc>
        <w:tc>
          <w:tcPr>
            <w:tcW w:w="236" w:type="dxa"/>
            <w:tcBorders>
              <w:top w:val="nil"/>
              <w:left w:val="nil"/>
              <w:bottom w:val="nil"/>
              <w:right w:val="nil"/>
            </w:tcBorders>
          </w:tcPr>
          <w:p w14:paraId="50E22C94" w14:textId="77777777" w:rsidR="00D52C7D" w:rsidRPr="002850B8" w:rsidRDefault="00D52C7D" w:rsidP="003D5710">
            <w:pPr>
              <w:spacing w:line="288" w:lineRule="auto"/>
              <w:ind w:left="-85" w:right="-57"/>
              <w:rPr>
                <w:rFonts w:ascii="Cambria" w:hAnsi="Cambria"/>
                <w:sz w:val="20"/>
                <w:szCs w:val="20"/>
                <w:lang w:val="en-US"/>
              </w:rPr>
            </w:pPr>
          </w:p>
        </w:tc>
        <w:tc>
          <w:tcPr>
            <w:tcW w:w="2211" w:type="dxa"/>
            <w:tcBorders>
              <w:top w:val="nil"/>
              <w:left w:val="nil"/>
              <w:bottom w:val="nil"/>
              <w:right w:val="nil"/>
            </w:tcBorders>
          </w:tcPr>
          <w:p w14:paraId="0FD50615" w14:textId="587D9803" w:rsidR="00D52C7D" w:rsidRPr="002850B8" w:rsidRDefault="00D52C7D" w:rsidP="001201D0">
            <w:pPr>
              <w:spacing w:line="288" w:lineRule="auto"/>
              <w:ind w:left="-85" w:right="-57"/>
              <w:rPr>
                <w:rFonts w:ascii="Cambria" w:hAnsi="Cambria"/>
                <w:sz w:val="20"/>
                <w:szCs w:val="20"/>
                <w:lang w:val="en-US"/>
              </w:rPr>
            </w:pPr>
            <w:r>
              <w:rPr>
                <w:rFonts w:ascii="Cambria" w:hAnsi="Cambria"/>
                <w:sz w:val="20"/>
                <w:szCs w:val="20"/>
                <w:lang w:val="en-US"/>
              </w:rPr>
              <w:t>1.</w:t>
            </w:r>
            <w:r w:rsidR="001201D0">
              <w:rPr>
                <w:rFonts w:ascii="Cambria" w:hAnsi="Cambria"/>
                <w:sz w:val="20"/>
                <w:szCs w:val="20"/>
                <w:lang w:val="en-US"/>
              </w:rPr>
              <w:t>10</w:t>
            </w:r>
          </w:p>
        </w:tc>
        <w:tc>
          <w:tcPr>
            <w:tcW w:w="236" w:type="dxa"/>
            <w:tcBorders>
              <w:top w:val="nil"/>
              <w:left w:val="nil"/>
              <w:bottom w:val="nil"/>
              <w:right w:val="nil"/>
            </w:tcBorders>
          </w:tcPr>
          <w:p w14:paraId="7A56FEB6" w14:textId="77777777" w:rsidR="00D52C7D" w:rsidRPr="002850B8" w:rsidRDefault="00D52C7D" w:rsidP="003D5710">
            <w:pPr>
              <w:spacing w:line="288" w:lineRule="auto"/>
              <w:ind w:left="-85" w:right="-57"/>
              <w:rPr>
                <w:rFonts w:ascii="Cambria" w:hAnsi="Cambria"/>
                <w:sz w:val="20"/>
                <w:szCs w:val="20"/>
                <w:lang w:val="en-US"/>
              </w:rPr>
            </w:pPr>
          </w:p>
        </w:tc>
        <w:tc>
          <w:tcPr>
            <w:tcW w:w="2324" w:type="dxa"/>
            <w:tcBorders>
              <w:top w:val="nil"/>
              <w:left w:val="nil"/>
              <w:bottom w:val="nil"/>
              <w:right w:val="nil"/>
            </w:tcBorders>
          </w:tcPr>
          <w:p w14:paraId="767676F6" w14:textId="3E51B1D4" w:rsidR="00D52C7D" w:rsidRPr="002850B8" w:rsidRDefault="00D52C7D" w:rsidP="00952005">
            <w:pPr>
              <w:spacing w:line="288" w:lineRule="auto"/>
              <w:ind w:left="-85" w:right="-57"/>
              <w:rPr>
                <w:rFonts w:ascii="Cambria" w:hAnsi="Cambria"/>
                <w:sz w:val="20"/>
                <w:szCs w:val="20"/>
                <w:lang w:val="en-US"/>
              </w:rPr>
            </w:pPr>
            <w:r>
              <w:rPr>
                <w:rFonts w:ascii="Cambria" w:hAnsi="Cambria"/>
                <w:sz w:val="20"/>
                <w:szCs w:val="20"/>
                <w:lang w:val="en-US"/>
              </w:rPr>
              <w:t>1.3</w:t>
            </w:r>
            <w:r w:rsidR="00952005">
              <w:rPr>
                <w:rFonts w:ascii="Cambria" w:hAnsi="Cambria"/>
                <w:sz w:val="20"/>
                <w:szCs w:val="20"/>
                <w:lang w:val="en-US"/>
              </w:rPr>
              <w:t>1</w:t>
            </w:r>
          </w:p>
        </w:tc>
      </w:tr>
      <w:tr w:rsidR="00D52C7D" w:rsidRPr="002850B8" w14:paraId="6F247E61" w14:textId="77777777" w:rsidTr="00D52C7D">
        <w:tblPrEx>
          <w:tblBorders>
            <w:left w:val="single" w:sz="4" w:space="0" w:color="auto"/>
            <w:right w:val="single" w:sz="4" w:space="0" w:color="auto"/>
            <w:insideV w:val="single" w:sz="4" w:space="0" w:color="auto"/>
          </w:tblBorders>
        </w:tblPrEx>
        <w:tc>
          <w:tcPr>
            <w:tcW w:w="2098" w:type="dxa"/>
            <w:tcBorders>
              <w:top w:val="nil"/>
              <w:left w:val="nil"/>
              <w:bottom w:val="nil"/>
              <w:right w:val="nil"/>
            </w:tcBorders>
          </w:tcPr>
          <w:p w14:paraId="6551203B" w14:textId="77777777" w:rsidR="00D52C7D" w:rsidRPr="002850B8" w:rsidRDefault="00D52C7D" w:rsidP="003D5710">
            <w:pPr>
              <w:spacing w:line="288" w:lineRule="auto"/>
              <w:ind w:left="-85" w:right="-57"/>
              <w:rPr>
                <w:rFonts w:ascii="Cambria" w:hAnsi="Cambria"/>
                <w:sz w:val="20"/>
                <w:szCs w:val="20"/>
                <w:lang w:val="en-US"/>
              </w:rPr>
            </w:pPr>
            <w:r>
              <w:rPr>
                <w:rFonts w:ascii="Cambria" w:hAnsi="Cambria"/>
                <w:sz w:val="20"/>
                <w:szCs w:val="20"/>
                <w:lang w:val="en-US"/>
              </w:rPr>
              <w:t>10%</w:t>
            </w:r>
          </w:p>
        </w:tc>
        <w:tc>
          <w:tcPr>
            <w:tcW w:w="236" w:type="dxa"/>
            <w:tcBorders>
              <w:top w:val="nil"/>
              <w:left w:val="nil"/>
              <w:bottom w:val="nil"/>
              <w:right w:val="nil"/>
            </w:tcBorders>
          </w:tcPr>
          <w:p w14:paraId="744E7310" w14:textId="77777777" w:rsidR="00D52C7D" w:rsidRPr="002850B8" w:rsidRDefault="00D52C7D" w:rsidP="003D5710">
            <w:pPr>
              <w:spacing w:line="288" w:lineRule="auto"/>
              <w:ind w:left="-85" w:right="-57"/>
              <w:rPr>
                <w:rFonts w:ascii="Cambria" w:hAnsi="Cambria"/>
                <w:sz w:val="20"/>
                <w:szCs w:val="20"/>
                <w:lang w:val="en-US"/>
              </w:rPr>
            </w:pPr>
          </w:p>
        </w:tc>
        <w:tc>
          <w:tcPr>
            <w:tcW w:w="1757" w:type="dxa"/>
            <w:tcBorders>
              <w:top w:val="nil"/>
              <w:left w:val="nil"/>
              <w:bottom w:val="nil"/>
              <w:right w:val="nil"/>
            </w:tcBorders>
          </w:tcPr>
          <w:p w14:paraId="00A121C8" w14:textId="77777777" w:rsidR="00D52C7D" w:rsidRPr="002850B8" w:rsidRDefault="00D52C7D" w:rsidP="003D5710">
            <w:pPr>
              <w:spacing w:line="288" w:lineRule="auto"/>
              <w:ind w:left="-85" w:right="-57"/>
              <w:rPr>
                <w:rFonts w:ascii="Cambria" w:hAnsi="Cambria"/>
                <w:sz w:val="20"/>
                <w:szCs w:val="20"/>
                <w:lang w:val="en-US"/>
              </w:rPr>
            </w:pPr>
            <w:r>
              <w:rPr>
                <w:rFonts w:ascii="Cambria" w:hAnsi="Cambria"/>
                <w:sz w:val="20"/>
                <w:szCs w:val="20"/>
                <w:lang w:val="en-US"/>
              </w:rPr>
              <w:t>2%</w:t>
            </w:r>
          </w:p>
        </w:tc>
        <w:tc>
          <w:tcPr>
            <w:tcW w:w="236" w:type="dxa"/>
            <w:tcBorders>
              <w:top w:val="nil"/>
              <w:left w:val="nil"/>
              <w:bottom w:val="nil"/>
              <w:right w:val="nil"/>
            </w:tcBorders>
          </w:tcPr>
          <w:p w14:paraId="40999799" w14:textId="77777777" w:rsidR="00D52C7D" w:rsidRPr="002850B8" w:rsidRDefault="00D52C7D" w:rsidP="003D5710">
            <w:pPr>
              <w:spacing w:line="288" w:lineRule="auto"/>
              <w:ind w:left="-85" w:right="-57"/>
              <w:rPr>
                <w:rFonts w:ascii="Cambria" w:hAnsi="Cambria"/>
                <w:sz w:val="20"/>
                <w:szCs w:val="20"/>
                <w:lang w:val="en-US"/>
              </w:rPr>
            </w:pPr>
          </w:p>
        </w:tc>
        <w:tc>
          <w:tcPr>
            <w:tcW w:w="2211" w:type="dxa"/>
            <w:tcBorders>
              <w:top w:val="nil"/>
              <w:left w:val="nil"/>
              <w:bottom w:val="nil"/>
              <w:right w:val="nil"/>
            </w:tcBorders>
          </w:tcPr>
          <w:p w14:paraId="5F59AD49" w14:textId="1D5C698F" w:rsidR="00D52C7D" w:rsidRPr="002850B8" w:rsidRDefault="00D52C7D" w:rsidP="001201D0">
            <w:pPr>
              <w:spacing w:line="288" w:lineRule="auto"/>
              <w:ind w:left="-85" w:right="-57"/>
              <w:rPr>
                <w:rFonts w:ascii="Cambria" w:hAnsi="Cambria"/>
                <w:sz w:val="20"/>
                <w:szCs w:val="20"/>
                <w:lang w:val="en-US"/>
              </w:rPr>
            </w:pPr>
            <w:r>
              <w:rPr>
                <w:rFonts w:ascii="Cambria" w:hAnsi="Cambria"/>
                <w:sz w:val="20"/>
                <w:szCs w:val="20"/>
                <w:lang w:val="en-US"/>
              </w:rPr>
              <w:t>1.</w:t>
            </w:r>
            <w:r w:rsidR="001201D0">
              <w:rPr>
                <w:rFonts w:ascii="Cambria" w:hAnsi="Cambria"/>
                <w:sz w:val="20"/>
                <w:szCs w:val="20"/>
                <w:lang w:val="en-US"/>
              </w:rPr>
              <w:t>10</w:t>
            </w:r>
          </w:p>
        </w:tc>
        <w:tc>
          <w:tcPr>
            <w:tcW w:w="236" w:type="dxa"/>
            <w:tcBorders>
              <w:top w:val="nil"/>
              <w:left w:val="nil"/>
              <w:bottom w:val="nil"/>
              <w:right w:val="nil"/>
            </w:tcBorders>
          </w:tcPr>
          <w:p w14:paraId="0E59B39F" w14:textId="77777777" w:rsidR="00D52C7D" w:rsidRPr="002850B8" w:rsidRDefault="00D52C7D" w:rsidP="003D5710">
            <w:pPr>
              <w:spacing w:line="288" w:lineRule="auto"/>
              <w:ind w:left="-85" w:right="-57"/>
              <w:rPr>
                <w:rFonts w:ascii="Cambria" w:hAnsi="Cambria"/>
                <w:sz w:val="20"/>
                <w:szCs w:val="20"/>
                <w:lang w:val="en-US"/>
              </w:rPr>
            </w:pPr>
          </w:p>
        </w:tc>
        <w:tc>
          <w:tcPr>
            <w:tcW w:w="2324" w:type="dxa"/>
            <w:tcBorders>
              <w:top w:val="nil"/>
              <w:left w:val="nil"/>
              <w:bottom w:val="nil"/>
              <w:right w:val="nil"/>
            </w:tcBorders>
          </w:tcPr>
          <w:p w14:paraId="224C9608" w14:textId="4D440DE1" w:rsidR="00D52C7D" w:rsidRPr="002850B8" w:rsidRDefault="00D52C7D" w:rsidP="00952005">
            <w:pPr>
              <w:spacing w:line="288" w:lineRule="auto"/>
              <w:ind w:left="-85" w:right="-57"/>
              <w:rPr>
                <w:rFonts w:ascii="Cambria" w:hAnsi="Cambria"/>
                <w:sz w:val="20"/>
                <w:szCs w:val="20"/>
                <w:lang w:val="en-US"/>
              </w:rPr>
            </w:pPr>
            <w:r>
              <w:rPr>
                <w:rFonts w:ascii="Cambria" w:hAnsi="Cambria"/>
                <w:sz w:val="20"/>
                <w:szCs w:val="20"/>
                <w:lang w:val="en-US"/>
              </w:rPr>
              <w:t>1.3</w:t>
            </w:r>
            <w:r w:rsidR="00952005">
              <w:rPr>
                <w:rFonts w:ascii="Cambria" w:hAnsi="Cambria"/>
                <w:sz w:val="20"/>
                <w:szCs w:val="20"/>
                <w:lang w:val="en-US"/>
              </w:rPr>
              <w:t>0</w:t>
            </w:r>
          </w:p>
        </w:tc>
      </w:tr>
      <w:tr w:rsidR="00D52C7D" w:rsidRPr="002850B8" w14:paraId="4DB2D20F" w14:textId="77777777" w:rsidTr="00D52C7D">
        <w:tblPrEx>
          <w:tblBorders>
            <w:left w:val="single" w:sz="4" w:space="0" w:color="auto"/>
            <w:right w:val="single" w:sz="4" w:space="0" w:color="auto"/>
            <w:insideV w:val="single" w:sz="4" w:space="0" w:color="auto"/>
          </w:tblBorders>
        </w:tblPrEx>
        <w:tc>
          <w:tcPr>
            <w:tcW w:w="2098" w:type="dxa"/>
            <w:tcBorders>
              <w:top w:val="nil"/>
              <w:left w:val="nil"/>
              <w:bottom w:val="nil"/>
              <w:right w:val="nil"/>
            </w:tcBorders>
          </w:tcPr>
          <w:p w14:paraId="66114865" w14:textId="77777777" w:rsidR="00D52C7D" w:rsidRPr="002850B8" w:rsidRDefault="00D52C7D" w:rsidP="003D5710">
            <w:pPr>
              <w:spacing w:line="288" w:lineRule="auto"/>
              <w:ind w:left="-85" w:right="-57"/>
              <w:rPr>
                <w:rFonts w:ascii="Cambria" w:hAnsi="Cambria"/>
                <w:sz w:val="20"/>
                <w:szCs w:val="20"/>
                <w:lang w:val="en-US"/>
              </w:rPr>
            </w:pPr>
            <w:r>
              <w:rPr>
                <w:rFonts w:ascii="Cambria" w:hAnsi="Cambria"/>
                <w:sz w:val="20"/>
                <w:szCs w:val="20"/>
                <w:lang w:val="en-US"/>
              </w:rPr>
              <w:t>6%</w:t>
            </w:r>
          </w:p>
        </w:tc>
        <w:tc>
          <w:tcPr>
            <w:tcW w:w="236" w:type="dxa"/>
            <w:tcBorders>
              <w:top w:val="nil"/>
              <w:left w:val="nil"/>
              <w:bottom w:val="nil"/>
              <w:right w:val="nil"/>
            </w:tcBorders>
          </w:tcPr>
          <w:p w14:paraId="40133FF4" w14:textId="77777777" w:rsidR="00D52C7D" w:rsidRPr="002850B8" w:rsidRDefault="00D52C7D" w:rsidP="003D5710">
            <w:pPr>
              <w:spacing w:line="288" w:lineRule="auto"/>
              <w:ind w:left="-85" w:right="-57"/>
              <w:rPr>
                <w:rFonts w:ascii="Cambria" w:hAnsi="Cambria"/>
                <w:sz w:val="20"/>
                <w:szCs w:val="20"/>
                <w:lang w:val="en-US"/>
              </w:rPr>
            </w:pPr>
          </w:p>
        </w:tc>
        <w:tc>
          <w:tcPr>
            <w:tcW w:w="1757" w:type="dxa"/>
            <w:tcBorders>
              <w:top w:val="nil"/>
              <w:left w:val="nil"/>
              <w:bottom w:val="nil"/>
              <w:right w:val="nil"/>
            </w:tcBorders>
          </w:tcPr>
          <w:p w14:paraId="3D8957BF" w14:textId="77777777" w:rsidR="00D52C7D" w:rsidRPr="002850B8" w:rsidRDefault="00D52C7D" w:rsidP="003D5710">
            <w:pPr>
              <w:spacing w:line="288" w:lineRule="auto"/>
              <w:ind w:left="-85" w:right="-57"/>
              <w:rPr>
                <w:rFonts w:ascii="Cambria" w:hAnsi="Cambria"/>
                <w:sz w:val="20"/>
                <w:szCs w:val="20"/>
                <w:lang w:val="en-US"/>
              </w:rPr>
            </w:pPr>
            <w:r>
              <w:rPr>
                <w:rFonts w:ascii="Cambria" w:hAnsi="Cambria"/>
                <w:sz w:val="20"/>
                <w:szCs w:val="20"/>
                <w:lang w:val="en-US"/>
              </w:rPr>
              <w:t>2%</w:t>
            </w:r>
          </w:p>
        </w:tc>
        <w:tc>
          <w:tcPr>
            <w:tcW w:w="236" w:type="dxa"/>
            <w:tcBorders>
              <w:top w:val="nil"/>
              <w:left w:val="nil"/>
              <w:bottom w:val="nil"/>
              <w:right w:val="nil"/>
            </w:tcBorders>
          </w:tcPr>
          <w:p w14:paraId="58F807A3" w14:textId="77777777" w:rsidR="00D52C7D" w:rsidRPr="002850B8" w:rsidRDefault="00D52C7D" w:rsidP="003D5710">
            <w:pPr>
              <w:spacing w:line="288" w:lineRule="auto"/>
              <w:ind w:left="-85" w:right="-57"/>
              <w:rPr>
                <w:rFonts w:ascii="Cambria" w:hAnsi="Cambria"/>
                <w:sz w:val="20"/>
                <w:szCs w:val="20"/>
                <w:lang w:val="en-US"/>
              </w:rPr>
            </w:pPr>
          </w:p>
        </w:tc>
        <w:tc>
          <w:tcPr>
            <w:tcW w:w="2211" w:type="dxa"/>
            <w:tcBorders>
              <w:top w:val="nil"/>
              <w:left w:val="nil"/>
              <w:bottom w:val="nil"/>
              <w:right w:val="nil"/>
            </w:tcBorders>
          </w:tcPr>
          <w:p w14:paraId="3E49DC78" w14:textId="77777777" w:rsidR="00D52C7D" w:rsidRPr="002850B8" w:rsidRDefault="00D52C7D" w:rsidP="003D5710">
            <w:pPr>
              <w:spacing w:line="288" w:lineRule="auto"/>
              <w:ind w:left="-85" w:right="-57"/>
              <w:rPr>
                <w:rFonts w:ascii="Cambria" w:hAnsi="Cambria"/>
                <w:sz w:val="20"/>
                <w:szCs w:val="20"/>
                <w:lang w:val="en-US"/>
              </w:rPr>
            </w:pPr>
            <w:r>
              <w:rPr>
                <w:rFonts w:ascii="Cambria" w:hAnsi="Cambria"/>
                <w:sz w:val="20"/>
                <w:szCs w:val="20"/>
                <w:lang w:val="en-US"/>
              </w:rPr>
              <w:t>1.50</w:t>
            </w:r>
          </w:p>
        </w:tc>
        <w:tc>
          <w:tcPr>
            <w:tcW w:w="236" w:type="dxa"/>
            <w:tcBorders>
              <w:top w:val="nil"/>
              <w:left w:val="nil"/>
              <w:bottom w:val="nil"/>
              <w:right w:val="nil"/>
            </w:tcBorders>
          </w:tcPr>
          <w:p w14:paraId="329BC2C8" w14:textId="77777777" w:rsidR="00D52C7D" w:rsidRPr="002850B8" w:rsidRDefault="00D52C7D" w:rsidP="003D5710">
            <w:pPr>
              <w:spacing w:line="288" w:lineRule="auto"/>
              <w:ind w:left="-85" w:right="-57"/>
              <w:rPr>
                <w:rFonts w:ascii="Cambria" w:hAnsi="Cambria"/>
                <w:sz w:val="20"/>
                <w:szCs w:val="20"/>
                <w:lang w:val="en-US"/>
              </w:rPr>
            </w:pPr>
          </w:p>
        </w:tc>
        <w:tc>
          <w:tcPr>
            <w:tcW w:w="2324" w:type="dxa"/>
            <w:tcBorders>
              <w:top w:val="nil"/>
              <w:left w:val="nil"/>
              <w:bottom w:val="nil"/>
              <w:right w:val="nil"/>
            </w:tcBorders>
          </w:tcPr>
          <w:p w14:paraId="1C8C4EAC" w14:textId="0F08EFCA" w:rsidR="00D52C7D" w:rsidRPr="002850B8" w:rsidRDefault="00D52C7D" w:rsidP="00D52C7D">
            <w:pPr>
              <w:spacing w:line="288" w:lineRule="auto"/>
              <w:ind w:left="-85" w:right="-57"/>
              <w:rPr>
                <w:rFonts w:ascii="Cambria" w:hAnsi="Cambria"/>
                <w:sz w:val="20"/>
                <w:szCs w:val="20"/>
                <w:lang w:val="en-US"/>
              </w:rPr>
            </w:pPr>
            <w:r>
              <w:rPr>
                <w:rFonts w:ascii="Cambria" w:hAnsi="Cambria"/>
                <w:sz w:val="20"/>
                <w:szCs w:val="20"/>
                <w:lang w:val="en-US"/>
              </w:rPr>
              <w:t>1.29</w:t>
            </w:r>
          </w:p>
        </w:tc>
      </w:tr>
      <w:tr w:rsidR="00D52C7D" w:rsidRPr="002850B8" w14:paraId="6BA64079" w14:textId="77777777" w:rsidTr="00D52C7D">
        <w:tblPrEx>
          <w:tblBorders>
            <w:left w:val="single" w:sz="4" w:space="0" w:color="auto"/>
            <w:right w:val="single" w:sz="4" w:space="0" w:color="auto"/>
            <w:insideV w:val="single" w:sz="4" w:space="0" w:color="auto"/>
          </w:tblBorders>
        </w:tblPrEx>
        <w:tc>
          <w:tcPr>
            <w:tcW w:w="2098" w:type="dxa"/>
            <w:tcBorders>
              <w:top w:val="nil"/>
              <w:left w:val="nil"/>
              <w:bottom w:val="nil"/>
              <w:right w:val="nil"/>
            </w:tcBorders>
          </w:tcPr>
          <w:p w14:paraId="60315E6B" w14:textId="77777777" w:rsidR="00D52C7D" w:rsidRPr="002850B8" w:rsidRDefault="00D52C7D" w:rsidP="003D5710">
            <w:pPr>
              <w:spacing w:line="288" w:lineRule="auto"/>
              <w:ind w:left="-85" w:right="-57"/>
              <w:rPr>
                <w:rFonts w:ascii="Cambria" w:hAnsi="Cambria"/>
                <w:sz w:val="20"/>
                <w:szCs w:val="20"/>
                <w:lang w:val="en-US"/>
              </w:rPr>
            </w:pPr>
            <w:r>
              <w:rPr>
                <w:rFonts w:ascii="Cambria" w:hAnsi="Cambria"/>
                <w:sz w:val="20"/>
                <w:szCs w:val="20"/>
                <w:lang w:val="en-US"/>
              </w:rPr>
              <w:t>5%</w:t>
            </w:r>
          </w:p>
        </w:tc>
        <w:tc>
          <w:tcPr>
            <w:tcW w:w="236" w:type="dxa"/>
            <w:tcBorders>
              <w:top w:val="nil"/>
              <w:left w:val="nil"/>
              <w:bottom w:val="nil"/>
              <w:right w:val="nil"/>
            </w:tcBorders>
          </w:tcPr>
          <w:p w14:paraId="610007F6" w14:textId="77777777" w:rsidR="00D52C7D" w:rsidRPr="002850B8" w:rsidRDefault="00D52C7D" w:rsidP="003D5710">
            <w:pPr>
              <w:spacing w:line="288" w:lineRule="auto"/>
              <w:ind w:left="-85" w:right="-57"/>
              <w:rPr>
                <w:rFonts w:ascii="Cambria" w:hAnsi="Cambria"/>
                <w:sz w:val="20"/>
                <w:szCs w:val="20"/>
                <w:lang w:val="en-US"/>
              </w:rPr>
            </w:pPr>
          </w:p>
        </w:tc>
        <w:tc>
          <w:tcPr>
            <w:tcW w:w="1757" w:type="dxa"/>
            <w:tcBorders>
              <w:top w:val="nil"/>
              <w:left w:val="nil"/>
              <w:bottom w:val="nil"/>
              <w:right w:val="nil"/>
            </w:tcBorders>
          </w:tcPr>
          <w:p w14:paraId="593E4115" w14:textId="1C63D923" w:rsidR="00D52C7D" w:rsidRPr="002850B8" w:rsidRDefault="00952005" w:rsidP="003D5710">
            <w:pPr>
              <w:spacing w:line="288" w:lineRule="auto"/>
              <w:ind w:left="-85" w:right="-57"/>
              <w:rPr>
                <w:rFonts w:ascii="Cambria" w:hAnsi="Cambria"/>
                <w:sz w:val="20"/>
                <w:szCs w:val="20"/>
                <w:lang w:val="en-US"/>
              </w:rPr>
            </w:pPr>
            <w:r>
              <w:rPr>
                <w:rFonts w:ascii="Cambria" w:hAnsi="Cambria"/>
                <w:sz w:val="20"/>
                <w:szCs w:val="20"/>
                <w:lang w:val="en-US"/>
              </w:rPr>
              <w:t>1</w:t>
            </w:r>
            <w:r w:rsidR="00D52C7D">
              <w:rPr>
                <w:rFonts w:ascii="Cambria" w:hAnsi="Cambria"/>
                <w:sz w:val="20"/>
                <w:szCs w:val="20"/>
                <w:lang w:val="en-US"/>
              </w:rPr>
              <w:t>%</w:t>
            </w:r>
          </w:p>
        </w:tc>
        <w:tc>
          <w:tcPr>
            <w:tcW w:w="236" w:type="dxa"/>
            <w:tcBorders>
              <w:top w:val="nil"/>
              <w:left w:val="nil"/>
              <w:bottom w:val="nil"/>
              <w:right w:val="nil"/>
            </w:tcBorders>
          </w:tcPr>
          <w:p w14:paraId="44539EDE" w14:textId="77777777" w:rsidR="00D52C7D" w:rsidRPr="002850B8" w:rsidRDefault="00D52C7D" w:rsidP="003D5710">
            <w:pPr>
              <w:spacing w:line="288" w:lineRule="auto"/>
              <w:ind w:left="-85" w:right="-57"/>
              <w:rPr>
                <w:rFonts w:ascii="Cambria" w:hAnsi="Cambria"/>
                <w:sz w:val="20"/>
                <w:szCs w:val="20"/>
                <w:lang w:val="en-US"/>
              </w:rPr>
            </w:pPr>
          </w:p>
        </w:tc>
        <w:tc>
          <w:tcPr>
            <w:tcW w:w="2211" w:type="dxa"/>
            <w:tcBorders>
              <w:top w:val="nil"/>
              <w:left w:val="nil"/>
              <w:bottom w:val="nil"/>
              <w:right w:val="nil"/>
            </w:tcBorders>
          </w:tcPr>
          <w:p w14:paraId="57027520" w14:textId="77777777" w:rsidR="00D52C7D" w:rsidRPr="002850B8" w:rsidRDefault="00D52C7D" w:rsidP="003D5710">
            <w:pPr>
              <w:spacing w:line="288" w:lineRule="auto"/>
              <w:ind w:left="-85" w:right="-57"/>
              <w:rPr>
                <w:rFonts w:ascii="Cambria" w:hAnsi="Cambria"/>
                <w:sz w:val="20"/>
                <w:szCs w:val="20"/>
                <w:lang w:val="en-US"/>
              </w:rPr>
            </w:pPr>
            <w:r>
              <w:rPr>
                <w:rFonts w:ascii="Cambria" w:hAnsi="Cambria"/>
                <w:sz w:val="20"/>
                <w:szCs w:val="20"/>
                <w:lang w:val="en-US"/>
              </w:rPr>
              <w:t>1.50</w:t>
            </w:r>
          </w:p>
        </w:tc>
        <w:tc>
          <w:tcPr>
            <w:tcW w:w="236" w:type="dxa"/>
            <w:tcBorders>
              <w:top w:val="nil"/>
              <w:left w:val="nil"/>
              <w:bottom w:val="nil"/>
              <w:right w:val="nil"/>
            </w:tcBorders>
          </w:tcPr>
          <w:p w14:paraId="14543B99" w14:textId="77777777" w:rsidR="00D52C7D" w:rsidRPr="002850B8" w:rsidRDefault="00D52C7D" w:rsidP="003D5710">
            <w:pPr>
              <w:spacing w:line="288" w:lineRule="auto"/>
              <w:ind w:left="-85" w:right="-57"/>
              <w:rPr>
                <w:rFonts w:ascii="Cambria" w:hAnsi="Cambria"/>
                <w:sz w:val="20"/>
                <w:szCs w:val="20"/>
                <w:lang w:val="en-US"/>
              </w:rPr>
            </w:pPr>
          </w:p>
        </w:tc>
        <w:tc>
          <w:tcPr>
            <w:tcW w:w="2324" w:type="dxa"/>
            <w:tcBorders>
              <w:top w:val="nil"/>
              <w:left w:val="nil"/>
              <w:bottom w:val="nil"/>
              <w:right w:val="nil"/>
            </w:tcBorders>
          </w:tcPr>
          <w:p w14:paraId="7E7F106E" w14:textId="02591781" w:rsidR="00D52C7D" w:rsidRPr="002850B8" w:rsidRDefault="00D52C7D" w:rsidP="00D52C7D">
            <w:pPr>
              <w:spacing w:line="288" w:lineRule="auto"/>
              <w:ind w:left="-85" w:right="-57"/>
              <w:rPr>
                <w:rFonts w:ascii="Cambria" w:hAnsi="Cambria"/>
                <w:sz w:val="20"/>
                <w:szCs w:val="20"/>
                <w:lang w:val="en-US"/>
              </w:rPr>
            </w:pPr>
            <w:r>
              <w:rPr>
                <w:rFonts w:ascii="Cambria" w:hAnsi="Cambria"/>
                <w:sz w:val="20"/>
                <w:szCs w:val="20"/>
                <w:lang w:val="en-US"/>
              </w:rPr>
              <w:t>1.28</w:t>
            </w:r>
          </w:p>
        </w:tc>
      </w:tr>
      <w:tr w:rsidR="00D52C7D" w:rsidRPr="002850B8" w14:paraId="70068DD7" w14:textId="77777777" w:rsidTr="00D52C7D">
        <w:tblPrEx>
          <w:tblBorders>
            <w:left w:val="single" w:sz="4" w:space="0" w:color="auto"/>
            <w:right w:val="single" w:sz="4" w:space="0" w:color="auto"/>
            <w:insideV w:val="single" w:sz="4" w:space="0" w:color="auto"/>
          </w:tblBorders>
        </w:tblPrEx>
        <w:tc>
          <w:tcPr>
            <w:tcW w:w="2098" w:type="dxa"/>
            <w:tcBorders>
              <w:top w:val="nil"/>
              <w:left w:val="nil"/>
              <w:right w:val="nil"/>
            </w:tcBorders>
          </w:tcPr>
          <w:p w14:paraId="64044D2D" w14:textId="77777777" w:rsidR="00D52C7D" w:rsidRPr="002850B8" w:rsidRDefault="00D52C7D" w:rsidP="003D5710">
            <w:pPr>
              <w:spacing w:line="288" w:lineRule="auto"/>
              <w:ind w:left="-85" w:right="-57"/>
              <w:rPr>
                <w:rFonts w:ascii="Cambria" w:hAnsi="Cambria"/>
                <w:sz w:val="20"/>
                <w:szCs w:val="20"/>
                <w:lang w:val="en-US"/>
              </w:rPr>
            </w:pPr>
            <w:r>
              <w:rPr>
                <w:rFonts w:ascii="Cambria" w:hAnsi="Cambria"/>
                <w:sz w:val="20"/>
                <w:szCs w:val="20"/>
                <w:lang w:val="en-US"/>
              </w:rPr>
              <w:t>10%</w:t>
            </w:r>
          </w:p>
        </w:tc>
        <w:tc>
          <w:tcPr>
            <w:tcW w:w="236" w:type="dxa"/>
            <w:tcBorders>
              <w:top w:val="nil"/>
              <w:left w:val="nil"/>
              <w:right w:val="nil"/>
            </w:tcBorders>
          </w:tcPr>
          <w:p w14:paraId="1411B4DB" w14:textId="77777777" w:rsidR="00D52C7D" w:rsidRPr="002850B8" w:rsidRDefault="00D52C7D" w:rsidP="003D5710">
            <w:pPr>
              <w:spacing w:line="288" w:lineRule="auto"/>
              <w:ind w:left="-85" w:right="-57"/>
              <w:rPr>
                <w:rFonts w:ascii="Cambria" w:hAnsi="Cambria"/>
                <w:sz w:val="20"/>
                <w:szCs w:val="20"/>
                <w:lang w:val="en-US"/>
              </w:rPr>
            </w:pPr>
          </w:p>
        </w:tc>
        <w:tc>
          <w:tcPr>
            <w:tcW w:w="1757" w:type="dxa"/>
            <w:tcBorders>
              <w:top w:val="nil"/>
              <w:left w:val="nil"/>
              <w:right w:val="nil"/>
            </w:tcBorders>
          </w:tcPr>
          <w:p w14:paraId="0653F28E" w14:textId="77777777" w:rsidR="00D52C7D" w:rsidRPr="002850B8" w:rsidRDefault="00D52C7D" w:rsidP="003D5710">
            <w:pPr>
              <w:spacing w:line="288" w:lineRule="auto"/>
              <w:ind w:left="-85" w:right="-57"/>
              <w:rPr>
                <w:rFonts w:ascii="Cambria" w:hAnsi="Cambria"/>
                <w:sz w:val="20"/>
                <w:szCs w:val="20"/>
                <w:lang w:val="en-US"/>
              </w:rPr>
            </w:pPr>
            <w:r>
              <w:rPr>
                <w:rFonts w:ascii="Cambria" w:hAnsi="Cambria"/>
                <w:sz w:val="20"/>
                <w:szCs w:val="20"/>
                <w:lang w:val="en-US"/>
              </w:rPr>
              <w:t>2%</w:t>
            </w:r>
          </w:p>
        </w:tc>
        <w:tc>
          <w:tcPr>
            <w:tcW w:w="236" w:type="dxa"/>
            <w:tcBorders>
              <w:top w:val="nil"/>
              <w:left w:val="nil"/>
              <w:right w:val="nil"/>
            </w:tcBorders>
          </w:tcPr>
          <w:p w14:paraId="5D8CDF84" w14:textId="77777777" w:rsidR="00D52C7D" w:rsidRPr="002850B8" w:rsidRDefault="00D52C7D" w:rsidP="003D5710">
            <w:pPr>
              <w:spacing w:line="288" w:lineRule="auto"/>
              <w:ind w:left="-85" w:right="-57"/>
              <w:rPr>
                <w:rFonts w:ascii="Cambria" w:hAnsi="Cambria"/>
                <w:sz w:val="20"/>
                <w:szCs w:val="20"/>
                <w:lang w:val="en-US"/>
              </w:rPr>
            </w:pPr>
          </w:p>
        </w:tc>
        <w:tc>
          <w:tcPr>
            <w:tcW w:w="2211" w:type="dxa"/>
            <w:tcBorders>
              <w:top w:val="nil"/>
              <w:left w:val="nil"/>
              <w:right w:val="nil"/>
            </w:tcBorders>
          </w:tcPr>
          <w:p w14:paraId="0067B20F" w14:textId="77777777" w:rsidR="00D52C7D" w:rsidRPr="002850B8" w:rsidRDefault="00D52C7D" w:rsidP="003D5710">
            <w:pPr>
              <w:spacing w:line="288" w:lineRule="auto"/>
              <w:ind w:left="-85" w:right="-57"/>
              <w:rPr>
                <w:rFonts w:ascii="Cambria" w:hAnsi="Cambria"/>
                <w:sz w:val="20"/>
                <w:szCs w:val="20"/>
                <w:lang w:val="en-US"/>
              </w:rPr>
            </w:pPr>
            <w:r>
              <w:rPr>
                <w:rFonts w:ascii="Cambria" w:hAnsi="Cambria"/>
                <w:sz w:val="20"/>
                <w:szCs w:val="20"/>
                <w:lang w:val="en-US"/>
              </w:rPr>
              <w:t>1.50</w:t>
            </w:r>
          </w:p>
        </w:tc>
        <w:tc>
          <w:tcPr>
            <w:tcW w:w="236" w:type="dxa"/>
            <w:tcBorders>
              <w:top w:val="nil"/>
              <w:left w:val="nil"/>
              <w:right w:val="nil"/>
            </w:tcBorders>
          </w:tcPr>
          <w:p w14:paraId="25269A87" w14:textId="77777777" w:rsidR="00D52C7D" w:rsidRPr="002850B8" w:rsidRDefault="00D52C7D" w:rsidP="003D5710">
            <w:pPr>
              <w:spacing w:line="288" w:lineRule="auto"/>
              <w:ind w:left="-85" w:right="-57"/>
              <w:rPr>
                <w:rFonts w:ascii="Cambria" w:hAnsi="Cambria"/>
                <w:sz w:val="20"/>
                <w:szCs w:val="20"/>
                <w:lang w:val="en-US"/>
              </w:rPr>
            </w:pPr>
          </w:p>
        </w:tc>
        <w:tc>
          <w:tcPr>
            <w:tcW w:w="2324" w:type="dxa"/>
            <w:tcBorders>
              <w:top w:val="nil"/>
              <w:left w:val="nil"/>
              <w:right w:val="nil"/>
            </w:tcBorders>
          </w:tcPr>
          <w:p w14:paraId="550305E9" w14:textId="743A00E0" w:rsidR="00D52C7D" w:rsidRPr="002850B8" w:rsidRDefault="00D52C7D" w:rsidP="00D52C7D">
            <w:pPr>
              <w:spacing w:line="288" w:lineRule="auto"/>
              <w:ind w:left="-85" w:right="-57"/>
              <w:rPr>
                <w:rFonts w:ascii="Cambria" w:hAnsi="Cambria"/>
                <w:sz w:val="20"/>
                <w:szCs w:val="20"/>
                <w:lang w:val="en-US"/>
              </w:rPr>
            </w:pPr>
            <w:r>
              <w:rPr>
                <w:rFonts w:ascii="Cambria" w:hAnsi="Cambria"/>
                <w:sz w:val="20"/>
                <w:szCs w:val="20"/>
                <w:lang w:val="en-US"/>
              </w:rPr>
              <w:t>1.26</w:t>
            </w:r>
          </w:p>
        </w:tc>
      </w:tr>
    </w:tbl>
    <w:p w14:paraId="10F36CCF" w14:textId="65A20DEC" w:rsidR="00E442F6" w:rsidRDefault="00E442F6" w:rsidP="00A9796C">
      <w:pPr>
        <w:spacing w:after="0" w:line="360" w:lineRule="auto"/>
        <w:rPr>
          <w:rFonts w:ascii="Cambria" w:hAnsi="Cambria"/>
          <w:lang w:val="en-US"/>
        </w:rPr>
      </w:pPr>
    </w:p>
    <w:p w14:paraId="14FD16F1" w14:textId="4C65C6DC" w:rsidR="00E442F6" w:rsidRDefault="00E442F6" w:rsidP="00A9796C">
      <w:pPr>
        <w:spacing w:after="0" w:line="360" w:lineRule="auto"/>
        <w:rPr>
          <w:rFonts w:ascii="Cambria" w:hAnsi="Cambria"/>
          <w:lang w:val="en-US"/>
        </w:rPr>
      </w:pPr>
    </w:p>
    <w:p w14:paraId="778ABF4F" w14:textId="20DA2E4A" w:rsidR="00E442F6" w:rsidRDefault="00E442F6" w:rsidP="00A9796C">
      <w:pPr>
        <w:spacing w:after="0" w:line="360" w:lineRule="auto"/>
        <w:rPr>
          <w:rFonts w:ascii="Cambria" w:hAnsi="Cambria"/>
          <w:lang w:val="en-US"/>
        </w:rPr>
      </w:pPr>
    </w:p>
    <w:p w14:paraId="6D2E98A2" w14:textId="2FA27132" w:rsidR="00E442F6" w:rsidRDefault="00E442F6" w:rsidP="00A9796C">
      <w:pPr>
        <w:spacing w:after="0" w:line="360" w:lineRule="auto"/>
        <w:rPr>
          <w:rFonts w:ascii="Cambria" w:hAnsi="Cambria"/>
          <w:lang w:val="en-US"/>
        </w:rPr>
      </w:pPr>
    </w:p>
    <w:p w14:paraId="75C89C0F" w14:textId="38C25D6A" w:rsidR="00576231" w:rsidRPr="00576231" w:rsidRDefault="00576231" w:rsidP="00A9796C">
      <w:pPr>
        <w:spacing w:after="0" w:line="360" w:lineRule="auto"/>
        <w:rPr>
          <w:rFonts w:ascii="Cambria" w:hAnsi="Cambria"/>
          <w:b/>
          <w:lang w:val="en-US"/>
        </w:rPr>
      </w:pPr>
      <w:r w:rsidRPr="00576231">
        <w:rPr>
          <w:rFonts w:ascii="Cambria" w:hAnsi="Cambria"/>
          <w:b/>
          <w:lang w:val="en-US"/>
        </w:rPr>
        <w:lastRenderedPageBreak/>
        <w:t>References</w:t>
      </w:r>
    </w:p>
    <w:p w14:paraId="64775598" w14:textId="77777777" w:rsidR="00C44B74" w:rsidRPr="00C44B74" w:rsidRDefault="00C44B74" w:rsidP="00C44B74">
      <w:pPr>
        <w:numPr>
          <w:ilvl w:val="0"/>
          <w:numId w:val="5"/>
        </w:numPr>
        <w:spacing w:after="0" w:line="360" w:lineRule="auto"/>
        <w:ind w:left="357" w:hanging="357"/>
        <w:rPr>
          <w:rFonts w:ascii="Cambria" w:hAnsi="Cambria"/>
          <w:lang w:val="en-US"/>
        </w:rPr>
      </w:pPr>
      <w:r w:rsidRPr="00C44B74">
        <w:rPr>
          <w:rFonts w:ascii="Cambria" w:hAnsi="Cambria"/>
          <w:lang w:val="en-US"/>
        </w:rPr>
        <w:t xml:space="preserve">Picard N, Yee SW, </w:t>
      </w:r>
      <w:proofErr w:type="spellStart"/>
      <w:r w:rsidRPr="00C44B74">
        <w:rPr>
          <w:rFonts w:ascii="Cambria" w:hAnsi="Cambria"/>
          <w:lang w:val="en-US"/>
        </w:rPr>
        <w:t>Woillard</w:t>
      </w:r>
      <w:proofErr w:type="spellEnd"/>
      <w:r w:rsidRPr="00C44B74">
        <w:rPr>
          <w:rFonts w:ascii="Cambria" w:hAnsi="Cambria"/>
          <w:lang w:val="en-US"/>
        </w:rPr>
        <w:t xml:space="preserve"> JB, </w:t>
      </w:r>
      <w:proofErr w:type="spellStart"/>
      <w:r w:rsidRPr="00C44B74">
        <w:rPr>
          <w:rFonts w:ascii="Cambria" w:hAnsi="Cambria"/>
          <w:lang w:val="en-US"/>
        </w:rPr>
        <w:t>Lebranchu</w:t>
      </w:r>
      <w:proofErr w:type="spellEnd"/>
      <w:r w:rsidRPr="00C44B74">
        <w:rPr>
          <w:rFonts w:ascii="Cambria" w:hAnsi="Cambria"/>
          <w:lang w:val="en-US"/>
        </w:rPr>
        <w:t xml:space="preserve"> Y, Le </w:t>
      </w:r>
      <w:proofErr w:type="spellStart"/>
      <w:r w:rsidRPr="00C44B74">
        <w:rPr>
          <w:rFonts w:ascii="Cambria" w:hAnsi="Cambria"/>
          <w:lang w:val="en-US"/>
        </w:rPr>
        <w:t>Meur</w:t>
      </w:r>
      <w:proofErr w:type="spellEnd"/>
      <w:r w:rsidRPr="00C44B74">
        <w:rPr>
          <w:rFonts w:ascii="Cambria" w:hAnsi="Cambria"/>
          <w:lang w:val="en-US"/>
        </w:rPr>
        <w:t xml:space="preserve"> Y, Giacomini KM, </w:t>
      </w:r>
      <w:proofErr w:type="spellStart"/>
      <w:r w:rsidRPr="00C44B74">
        <w:rPr>
          <w:rFonts w:ascii="Cambria" w:hAnsi="Cambria"/>
          <w:lang w:val="en-US"/>
        </w:rPr>
        <w:t>Marquet</w:t>
      </w:r>
      <w:proofErr w:type="spellEnd"/>
      <w:r w:rsidRPr="00C44B74">
        <w:rPr>
          <w:rFonts w:ascii="Cambria" w:hAnsi="Cambria"/>
          <w:lang w:val="en-US"/>
        </w:rPr>
        <w:t xml:space="preserve"> P. The role of organic </w:t>
      </w:r>
      <w:proofErr w:type="spellStart"/>
      <w:r w:rsidRPr="00C44B74">
        <w:rPr>
          <w:rFonts w:ascii="Cambria" w:hAnsi="Cambria"/>
          <w:lang w:val="en-US"/>
        </w:rPr>
        <w:t>antion</w:t>
      </w:r>
      <w:proofErr w:type="spellEnd"/>
      <w:r w:rsidRPr="00C44B74">
        <w:rPr>
          <w:rFonts w:ascii="Cambria" w:hAnsi="Cambria"/>
          <w:lang w:val="en-US"/>
        </w:rPr>
        <w:t xml:space="preserve">-transporting polypeptides and their common genetic variants in mycophenolic acid pharmacokinetics. </w:t>
      </w:r>
      <w:proofErr w:type="spellStart"/>
      <w:r w:rsidRPr="00C44B74">
        <w:rPr>
          <w:rFonts w:ascii="Cambria" w:hAnsi="Cambria"/>
          <w:lang w:val="en-US"/>
        </w:rPr>
        <w:t>Clin</w:t>
      </w:r>
      <w:proofErr w:type="spellEnd"/>
      <w:r w:rsidRPr="00C44B74">
        <w:rPr>
          <w:rFonts w:ascii="Cambria" w:hAnsi="Cambria"/>
          <w:lang w:val="en-US"/>
        </w:rPr>
        <w:t xml:space="preserve"> Pharm </w:t>
      </w:r>
      <w:proofErr w:type="spellStart"/>
      <w:r w:rsidRPr="00C44B74">
        <w:rPr>
          <w:rFonts w:ascii="Cambria" w:hAnsi="Cambria"/>
          <w:lang w:val="en-US"/>
        </w:rPr>
        <w:t>Ther</w:t>
      </w:r>
      <w:proofErr w:type="spellEnd"/>
      <w:r w:rsidRPr="00C44B74">
        <w:rPr>
          <w:rFonts w:ascii="Cambria" w:hAnsi="Cambria"/>
          <w:lang w:val="en-US"/>
        </w:rPr>
        <w:t xml:space="preserve"> 2010; 87:100-108.</w:t>
      </w:r>
    </w:p>
    <w:p w14:paraId="511B9C0F" w14:textId="77777777" w:rsidR="00C44B74" w:rsidRPr="00C44B74" w:rsidRDefault="00C44B74" w:rsidP="00C44B74">
      <w:pPr>
        <w:numPr>
          <w:ilvl w:val="0"/>
          <w:numId w:val="5"/>
        </w:numPr>
        <w:spacing w:after="0" w:line="360" w:lineRule="auto"/>
        <w:ind w:left="357" w:hanging="357"/>
        <w:rPr>
          <w:rFonts w:ascii="Cambria" w:hAnsi="Cambria"/>
          <w:lang w:val="en-US"/>
        </w:rPr>
      </w:pPr>
      <w:proofErr w:type="spellStart"/>
      <w:r w:rsidRPr="00C44B74">
        <w:rPr>
          <w:rFonts w:ascii="Cambria" w:hAnsi="Cambria"/>
          <w:lang w:val="en-US"/>
        </w:rPr>
        <w:t>Boumar</w:t>
      </w:r>
      <w:proofErr w:type="spellEnd"/>
      <w:r w:rsidRPr="00C44B74">
        <w:rPr>
          <w:rFonts w:ascii="Cambria" w:hAnsi="Cambria"/>
          <w:lang w:val="en-US"/>
        </w:rPr>
        <w:t xml:space="preserve"> R, </w:t>
      </w:r>
      <w:proofErr w:type="spellStart"/>
      <w:r w:rsidRPr="00C44B74">
        <w:rPr>
          <w:rFonts w:ascii="Cambria" w:hAnsi="Cambria"/>
          <w:lang w:val="en-US"/>
        </w:rPr>
        <w:t>Hessenlink</w:t>
      </w:r>
      <w:proofErr w:type="spellEnd"/>
      <w:r w:rsidRPr="00C44B74">
        <w:rPr>
          <w:rFonts w:ascii="Cambria" w:hAnsi="Cambria"/>
          <w:lang w:val="en-US"/>
        </w:rPr>
        <w:t xml:space="preserve"> DA, van Schaik RHN, Weimar W, van der </w:t>
      </w:r>
      <w:proofErr w:type="spellStart"/>
      <w:r w:rsidRPr="00C44B74">
        <w:rPr>
          <w:rFonts w:ascii="Cambria" w:hAnsi="Cambria"/>
          <w:lang w:val="en-US"/>
        </w:rPr>
        <w:t>Heiden</w:t>
      </w:r>
      <w:proofErr w:type="spellEnd"/>
      <w:r w:rsidRPr="00C44B74">
        <w:rPr>
          <w:rFonts w:ascii="Cambria" w:hAnsi="Cambria"/>
          <w:lang w:val="en-US"/>
        </w:rPr>
        <w:t xml:space="preserve"> I, de </w:t>
      </w:r>
      <w:proofErr w:type="spellStart"/>
      <w:r w:rsidRPr="00C44B74">
        <w:rPr>
          <w:rFonts w:ascii="Cambria" w:hAnsi="Cambria"/>
          <w:lang w:val="en-US"/>
        </w:rPr>
        <w:t>Fijter</w:t>
      </w:r>
      <w:proofErr w:type="spellEnd"/>
      <w:r w:rsidRPr="00C44B74">
        <w:rPr>
          <w:rFonts w:ascii="Cambria" w:hAnsi="Cambria"/>
          <w:lang w:val="en-US"/>
        </w:rPr>
        <w:t xml:space="preserve"> JW et al. Mycophenolic acid-related diarrhea is not associated with polymorphisms in SLCO1B nor with ABCB1 in renal transplant recipients. </w:t>
      </w:r>
      <w:proofErr w:type="spellStart"/>
      <w:r w:rsidRPr="00C44B74">
        <w:rPr>
          <w:rFonts w:ascii="Cambria" w:hAnsi="Cambria"/>
          <w:lang w:val="en-US"/>
        </w:rPr>
        <w:t>Pharmacogen</w:t>
      </w:r>
      <w:proofErr w:type="spellEnd"/>
      <w:r w:rsidRPr="00C44B74">
        <w:rPr>
          <w:rFonts w:ascii="Cambria" w:hAnsi="Cambria"/>
          <w:lang w:val="en-US"/>
        </w:rPr>
        <w:t xml:space="preserve"> </w:t>
      </w:r>
      <w:proofErr w:type="spellStart"/>
      <w:r w:rsidRPr="00C44B74">
        <w:rPr>
          <w:rFonts w:ascii="Cambria" w:hAnsi="Cambria"/>
          <w:lang w:val="en-US"/>
        </w:rPr>
        <w:t>Genom</w:t>
      </w:r>
      <w:proofErr w:type="spellEnd"/>
      <w:r w:rsidRPr="00C44B74">
        <w:rPr>
          <w:rFonts w:ascii="Cambria" w:hAnsi="Cambria"/>
          <w:lang w:val="en-US"/>
        </w:rPr>
        <w:t xml:space="preserve"> 2012; 22:399-407.</w:t>
      </w:r>
    </w:p>
    <w:p w14:paraId="2B3EBE3F" w14:textId="3FB0DA62" w:rsidR="00C44B74" w:rsidRDefault="00C44B74" w:rsidP="00C44B74">
      <w:pPr>
        <w:numPr>
          <w:ilvl w:val="0"/>
          <w:numId w:val="5"/>
        </w:numPr>
        <w:spacing w:after="0" w:line="360" w:lineRule="auto"/>
        <w:ind w:left="357" w:hanging="357"/>
        <w:rPr>
          <w:rFonts w:ascii="Cambria" w:hAnsi="Cambria"/>
          <w:lang w:val="en-US"/>
        </w:rPr>
      </w:pPr>
      <w:proofErr w:type="spellStart"/>
      <w:r w:rsidRPr="00C44B74">
        <w:rPr>
          <w:rFonts w:ascii="Cambria" w:hAnsi="Cambria"/>
          <w:lang w:val="en-US"/>
        </w:rPr>
        <w:t>Geng</w:t>
      </w:r>
      <w:proofErr w:type="spellEnd"/>
      <w:r w:rsidRPr="00C44B74">
        <w:rPr>
          <w:rFonts w:ascii="Cambria" w:hAnsi="Cambria"/>
          <w:lang w:val="en-US"/>
        </w:rPr>
        <w:t xml:space="preserve"> F, Jiao Z, Dao YJ, </w:t>
      </w:r>
      <w:proofErr w:type="spellStart"/>
      <w:r w:rsidRPr="00C44B74">
        <w:rPr>
          <w:rFonts w:ascii="Cambria" w:hAnsi="Cambria"/>
          <w:lang w:val="en-US"/>
        </w:rPr>
        <w:t>Qiu</w:t>
      </w:r>
      <w:proofErr w:type="spellEnd"/>
      <w:r w:rsidRPr="00C44B74">
        <w:rPr>
          <w:rFonts w:ascii="Cambria" w:hAnsi="Cambria"/>
          <w:lang w:val="en-US"/>
        </w:rPr>
        <w:t xml:space="preserve"> XY, Ding JJ, Shi </w:t>
      </w:r>
      <w:proofErr w:type="spellStart"/>
      <w:r w:rsidRPr="00C44B74">
        <w:rPr>
          <w:rFonts w:ascii="Cambria" w:hAnsi="Cambria"/>
          <w:lang w:val="en-US"/>
        </w:rPr>
        <w:t>Xj</w:t>
      </w:r>
      <w:proofErr w:type="spellEnd"/>
      <w:r w:rsidRPr="00C44B74">
        <w:rPr>
          <w:rFonts w:ascii="Cambria" w:hAnsi="Cambria"/>
          <w:lang w:val="en-US"/>
        </w:rPr>
        <w:t xml:space="preserve"> et al. The association of the UGT1A8, </w:t>
      </w:r>
      <w:proofErr w:type="gramStart"/>
      <w:r w:rsidRPr="00C44B74">
        <w:rPr>
          <w:rFonts w:ascii="Cambria" w:hAnsi="Cambria"/>
          <w:lang w:val="en-US"/>
        </w:rPr>
        <w:t>SLCO1B3</w:t>
      </w:r>
      <w:proofErr w:type="gramEnd"/>
      <w:r w:rsidRPr="00C44B74">
        <w:rPr>
          <w:rFonts w:ascii="Cambria" w:hAnsi="Cambria"/>
          <w:lang w:val="en-US"/>
        </w:rPr>
        <w:t xml:space="preserve"> and ABCC2/ABCG2 genetic polymorphisms with the pharmacokinetics of mycophenolic aid and its phenolic glucuronide metabolite in Chinese individuals. Clinic </w:t>
      </w:r>
      <w:proofErr w:type="spellStart"/>
      <w:r w:rsidRPr="00C44B74">
        <w:rPr>
          <w:rFonts w:ascii="Cambria" w:hAnsi="Cambria"/>
          <w:lang w:val="en-US"/>
        </w:rPr>
        <w:t>Chimica</w:t>
      </w:r>
      <w:proofErr w:type="spellEnd"/>
      <w:r w:rsidRPr="00C44B74">
        <w:rPr>
          <w:rFonts w:ascii="Cambria" w:hAnsi="Cambria"/>
          <w:lang w:val="en-US"/>
        </w:rPr>
        <w:t xml:space="preserve"> </w:t>
      </w:r>
      <w:proofErr w:type="spellStart"/>
      <w:r w:rsidRPr="00C44B74">
        <w:rPr>
          <w:rFonts w:ascii="Cambria" w:hAnsi="Cambria"/>
          <w:lang w:val="en-US"/>
        </w:rPr>
        <w:t>Acta</w:t>
      </w:r>
      <w:proofErr w:type="spellEnd"/>
      <w:r w:rsidRPr="00C44B74">
        <w:rPr>
          <w:rFonts w:ascii="Cambria" w:hAnsi="Cambria"/>
          <w:lang w:val="en-US"/>
        </w:rPr>
        <w:t xml:space="preserve"> 2012; 423:683-690.</w:t>
      </w:r>
    </w:p>
    <w:p w14:paraId="4028536B" w14:textId="428E4E11" w:rsidR="00C44B74" w:rsidRDefault="00C44B74" w:rsidP="00C44B74">
      <w:pPr>
        <w:pStyle w:val="ListParagraph"/>
        <w:numPr>
          <w:ilvl w:val="0"/>
          <w:numId w:val="5"/>
        </w:numPr>
        <w:spacing w:after="0" w:line="360" w:lineRule="auto"/>
        <w:ind w:left="357" w:hanging="357"/>
        <w:rPr>
          <w:rFonts w:ascii="Cambria" w:hAnsi="Cambria"/>
          <w:lang w:val="en-US"/>
        </w:rPr>
      </w:pPr>
      <w:r>
        <w:rPr>
          <w:rFonts w:ascii="Cambria" w:hAnsi="Cambria"/>
          <w:lang w:val="en-US"/>
        </w:rPr>
        <w:t xml:space="preserve">Miura M, Satoh S, Inoue K, </w:t>
      </w:r>
      <w:proofErr w:type="spellStart"/>
      <w:r w:rsidR="005A6C1D">
        <w:rPr>
          <w:rFonts w:ascii="Cambria" w:hAnsi="Cambria"/>
          <w:lang w:val="en-US"/>
        </w:rPr>
        <w:t>Kagaya</w:t>
      </w:r>
      <w:proofErr w:type="spellEnd"/>
      <w:r w:rsidR="005A6C1D">
        <w:rPr>
          <w:rFonts w:ascii="Cambria" w:hAnsi="Cambria"/>
          <w:lang w:val="en-US"/>
        </w:rPr>
        <w:t xml:space="preserve"> H, </w:t>
      </w:r>
      <w:r>
        <w:rPr>
          <w:rFonts w:ascii="Cambria" w:hAnsi="Cambria"/>
          <w:lang w:val="en-US"/>
        </w:rPr>
        <w:t xml:space="preserve">Saito M, </w:t>
      </w:r>
      <w:r w:rsidR="005A6C1D">
        <w:rPr>
          <w:rFonts w:ascii="Cambria" w:hAnsi="Cambria"/>
          <w:lang w:val="en-US"/>
        </w:rPr>
        <w:t>Inoue et al.</w:t>
      </w:r>
      <w:r>
        <w:rPr>
          <w:rFonts w:ascii="Cambria" w:hAnsi="Cambria"/>
          <w:lang w:val="en-US"/>
        </w:rPr>
        <w:t xml:space="preserve"> </w:t>
      </w:r>
      <w:r w:rsidR="005A6C1D">
        <w:rPr>
          <w:rFonts w:ascii="Cambria" w:hAnsi="Cambria"/>
          <w:lang w:val="en-US"/>
        </w:rPr>
        <w:t xml:space="preserve">Influence of SLCO1B1, 1B3, 2B1 and ABCC2 genetic polymorphisms on mycophenolic acid pharmacokinetics in Japanese renal transplant recipients. </w:t>
      </w:r>
      <w:proofErr w:type="spellStart"/>
      <w:r w:rsidR="005A6C1D">
        <w:rPr>
          <w:rFonts w:ascii="Cambria" w:hAnsi="Cambria"/>
          <w:lang w:val="en-US"/>
        </w:rPr>
        <w:t>Eur</w:t>
      </w:r>
      <w:proofErr w:type="spellEnd"/>
      <w:r w:rsidR="005A6C1D">
        <w:rPr>
          <w:rFonts w:ascii="Cambria" w:hAnsi="Cambria"/>
          <w:lang w:val="en-US"/>
        </w:rPr>
        <w:t xml:space="preserve"> J </w:t>
      </w:r>
      <w:proofErr w:type="spellStart"/>
      <w:r w:rsidR="005A6C1D">
        <w:rPr>
          <w:rFonts w:ascii="Cambria" w:hAnsi="Cambria"/>
          <w:lang w:val="en-US"/>
        </w:rPr>
        <w:t>Clin</w:t>
      </w:r>
      <w:proofErr w:type="spellEnd"/>
      <w:r w:rsidR="005A6C1D">
        <w:rPr>
          <w:rFonts w:ascii="Cambria" w:hAnsi="Cambria"/>
          <w:lang w:val="en-US"/>
        </w:rPr>
        <w:t xml:space="preserve"> </w:t>
      </w:r>
      <w:proofErr w:type="spellStart"/>
      <w:r w:rsidR="005A6C1D">
        <w:rPr>
          <w:rFonts w:ascii="Cambria" w:hAnsi="Cambria"/>
          <w:lang w:val="en-US"/>
        </w:rPr>
        <w:t>Pharmacol</w:t>
      </w:r>
      <w:proofErr w:type="spellEnd"/>
      <w:r w:rsidR="005A6C1D">
        <w:rPr>
          <w:rFonts w:ascii="Cambria" w:hAnsi="Cambria"/>
          <w:lang w:val="en-US"/>
        </w:rPr>
        <w:t xml:space="preserve"> 2007;</w:t>
      </w:r>
      <w:r>
        <w:rPr>
          <w:rFonts w:ascii="Cambria" w:hAnsi="Cambria"/>
          <w:lang w:val="en-US"/>
        </w:rPr>
        <w:t xml:space="preserve"> </w:t>
      </w:r>
      <w:r w:rsidR="005A6C1D">
        <w:rPr>
          <w:rFonts w:ascii="Cambria" w:hAnsi="Cambria"/>
          <w:lang w:val="en-US"/>
        </w:rPr>
        <w:t>63</w:t>
      </w:r>
      <w:r>
        <w:rPr>
          <w:rFonts w:ascii="Cambria" w:hAnsi="Cambria"/>
          <w:lang w:val="en-US"/>
        </w:rPr>
        <w:t>:</w:t>
      </w:r>
      <w:r w:rsidR="005A6C1D">
        <w:rPr>
          <w:rFonts w:ascii="Cambria" w:hAnsi="Cambria"/>
          <w:lang w:val="en-US"/>
        </w:rPr>
        <w:t>1161-1169</w:t>
      </w:r>
      <w:r>
        <w:rPr>
          <w:rFonts w:ascii="Cambria" w:hAnsi="Cambria"/>
          <w:lang w:val="en-US"/>
        </w:rPr>
        <w:t>.</w:t>
      </w:r>
    </w:p>
    <w:p w14:paraId="6855B100" w14:textId="0428A5A0" w:rsidR="00D43056" w:rsidRDefault="00D43056" w:rsidP="00C44B74">
      <w:pPr>
        <w:pStyle w:val="ListParagraph"/>
        <w:numPr>
          <w:ilvl w:val="0"/>
          <w:numId w:val="5"/>
        </w:numPr>
        <w:spacing w:after="0" w:line="360" w:lineRule="auto"/>
        <w:ind w:left="357" w:hanging="357"/>
        <w:rPr>
          <w:rFonts w:ascii="Cambria" w:hAnsi="Cambria"/>
          <w:lang w:val="en-US"/>
        </w:rPr>
      </w:pPr>
      <w:r>
        <w:rPr>
          <w:rFonts w:ascii="Cambria" w:hAnsi="Cambria"/>
          <w:lang w:val="en-US"/>
        </w:rPr>
        <w:t xml:space="preserve">van Schaik RHN, van </w:t>
      </w:r>
      <w:proofErr w:type="spellStart"/>
      <w:r>
        <w:rPr>
          <w:rFonts w:ascii="Cambria" w:hAnsi="Cambria"/>
          <w:lang w:val="en-US"/>
        </w:rPr>
        <w:t>Agteren</w:t>
      </w:r>
      <w:proofErr w:type="spellEnd"/>
      <w:r>
        <w:rPr>
          <w:rFonts w:ascii="Cambria" w:hAnsi="Cambria"/>
          <w:lang w:val="en-US"/>
        </w:rPr>
        <w:t xml:space="preserve"> M, de </w:t>
      </w:r>
      <w:proofErr w:type="spellStart"/>
      <w:r>
        <w:rPr>
          <w:rFonts w:ascii="Cambria" w:hAnsi="Cambria"/>
          <w:lang w:val="en-US"/>
        </w:rPr>
        <w:t>Fijter</w:t>
      </w:r>
      <w:proofErr w:type="spellEnd"/>
      <w:r>
        <w:rPr>
          <w:rFonts w:ascii="Cambria" w:hAnsi="Cambria"/>
          <w:lang w:val="en-US"/>
        </w:rPr>
        <w:t xml:space="preserve"> JW, Hartmann A, Schmidt J, </w:t>
      </w:r>
      <w:proofErr w:type="spellStart"/>
      <w:r>
        <w:rPr>
          <w:rFonts w:ascii="Cambria" w:hAnsi="Cambria"/>
          <w:lang w:val="en-US"/>
        </w:rPr>
        <w:t>Budde</w:t>
      </w:r>
      <w:proofErr w:type="spellEnd"/>
      <w:r>
        <w:rPr>
          <w:rFonts w:ascii="Cambria" w:hAnsi="Cambria"/>
          <w:lang w:val="en-US"/>
        </w:rPr>
        <w:t xml:space="preserve"> K et al. UGT1A9 -275T&gt;A/-2152C&gt;T polymorphisms correlate with low MPA exposure and acute rejection in MMF/tacrolimus-treated kidney transplant patients. </w:t>
      </w:r>
      <w:proofErr w:type="spellStart"/>
      <w:r>
        <w:rPr>
          <w:rFonts w:ascii="Cambria" w:hAnsi="Cambria"/>
          <w:lang w:val="en-US"/>
        </w:rPr>
        <w:t>Clin</w:t>
      </w:r>
      <w:proofErr w:type="spellEnd"/>
      <w:r>
        <w:rPr>
          <w:rFonts w:ascii="Cambria" w:hAnsi="Cambria"/>
          <w:lang w:val="en-US"/>
        </w:rPr>
        <w:t xml:space="preserve"> </w:t>
      </w:r>
      <w:proofErr w:type="spellStart"/>
      <w:r>
        <w:rPr>
          <w:rFonts w:ascii="Cambria" w:hAnsi="Cambria"/>
          <w:lang w:val="en-US"/>
        </w:rPr>
        <w:t>Pharmacol</w:t>
      </w:r>
      <w:proofErr w:type="spellEnd"/>
      <w:r>
        <w:rPr>
          <w:rFonts w:ascii="Cambria" w:hAnsi="Cambria"/>
          <w:lang w:val="en-US"/>
        </w:rPr>
        <w:t xml:space="preserve"> </w:t>
      </w:r>
      <w:proofErr w:type="spellStart"/>
      <w:r>
        <w:rPr>
          <w:rFonts w:ascii="Cambria" w:hAnsi="Cambria"/>
          <w:lang w:val="en-US"/>
        </w:rPr>
        <w:t>Ther</w:t>
      </w:r>
      <w:proofErr w:type="spellEnd"/>
      <w:r>
        <w:rPr>
          <w:rFonts w:ascii="Cambria" w:hAnsi="Cambria"/>
          <w:lang w:val="en-US"/>
        </w:rPr>
        <w:t xml:space="preserve"> 2009; 86:319-327.</w:t>
      </w:r>
    </w:p>
    <w:p w14:paraId="40ED32A7" w14:textId="77777777" w:rsidR="00FB66C1" w:rsidRDefault="00D70E31" w:rsidP="00FB66C1">
      <w:pPr>
        <w:pStyle w:val="ListParagraph"/>
        <w:numPr>
          <w:ilvl w:val="0"/>
          <w:numId w:val="5"/>
        </w:numPr>
        <w:spacing w:after="0" w:line="360" w:lineRule="auto"/>
        <w:ind w:left="357" w:hanging="357"/>
        <w:rPr>
          <w:rFonts w:ascii="Cambria" w:hAnsi="Cambria"/>
          <w:lang w:val="en-US"/>
        </w:rPr>
      </w:pPr>
      <w:proofErr w:type="spellStart"/>
      <w:r>
        <w:rPr>
          <w:rFonts w:ascii="Cambria" w:hAnsi="Cambria"/>
          <w:lang w:val="en-US"/>
        </w:rPr>
        <w:t>Kuypers</w:t>
      </w:r>
      <w:proofErr w:type="spellEnd"/>
      <w:r>
        <w:rPr>
          <w:rFonts w:ascii="Cambria" w:hAnsi="Cambria"/>
          <w:lang w:val="en-US"/>
        </w:rPr>
        <w:t xml:space="preserve"> DR, </w:t>
      </w:r>
      <w:proofErr w:type="spellStart"/>
      <w:r>
        <w:rPr>
          <w:rFonts w:ascii="Cambria" w:hAnsi="Cambria"/>
          <w:lang w:val="en-US"/>
        </w:rPr>
        <w:t>Naesens</w:t>
      </w:r>
      <w:proofErr w:type="spellEnd"/>
      <w:r>
        <w:rPr>
          <w:rFonts w:ascii="Cambria" w:hAnsi="Cambria"/>
          <w:lang w:val="en-US"/>
        </w:rPr>
        <w:t xml:space="preserve"> M, </w:t>
      </w:r>
      <w:proofErr w:type="spellStart"/>
      <w:r>
        <w:rPr>
          <w:rFonts w:ascii="Cambria" w:hAnsi="Cambria"/>
          <w:lang w:val="en-US"/>
        </w:rPr>
        <w:t>Vermeire</w:t>
      </w:r>
      <w:proofErr w:type="spellEnd"/>
      <w:r>
        <w:rPr>
          <w:rFonts w:ascii="Cambria" w:hAnsi="Cambria"/>
          <w:lang w:val="en-US"/>
        </w:rPr>
        <w:t xml:space="preserve"> S, </w:t>
      </w:r>
      <w:proofErr w:type="spellStart"/>
      <w:r>
        <w:rPr>
          <w:rFonts w:ascii="Cambria" w:hAnsi="Cambria"/>
          <w:lang w:val="en-US"/>
        </w:rPr>
        <w:t>Vanrentghem</w:t>
      </w:r>
      <w:proofErr w:type="spellEnd"/>
      <w:r>
        <w:rPr>
          <w:rFonts w:ascii="Cambria" w:hAnsi="Cambria"/>
          <w:lang w:val="en-US"/>
        </w:rPr>
        <w:t xml:space="preserve"> Y. The impact of uridine diphosphate-</w:t>
      </w:r>
      <w:proofErr w:type="spellStart"/>
      <w:r>
        <w:rPr>
          <w:rFonts w:ascii="Cambria" w:hAnsi="Cambria"/>
          <w:lang w:val="en-US"/>
        </w:rPr>
        <w:t>glucuronosyltrasferase</w:t>
      </w:r>
      <w:proofErr w:type="spellEnd"/>
      <w:r>
        <w:rPr>
          <w:rFonts w:ascii="Cambria" w:hAnsi="Cambria"/>
          <w:lang w:val="en-US"/>
        </w:rPr>
        <w:t xml:space="preserve"> 1A9 (UGT1A9) gene promoter region single-nucleotide polymorphisms T-275A and C-2152T on early mycophenolic acid dose-interval exposure in de novo renal allograft recipients. </w:t>
      </w:r>
      <w:proofErr w:type="spellStart"/>
      <w:r>
        <w:rPr>
          <w:rFonts w:ascii="Cambria" w:hAnsi="Cambria"/>
          <w:lang w:val="en-US"/>
        </w:rPr>
        <w:t>Clin</w:t>
      </w:r>
      <w:proofErr w:type="spellEnd"/>
      <w:r>
        <w:rPr>
          <w:rFonts w:ascii="Cambria" w:hAnsi="Cambria"/>
          <w:lang w:val="en-US"/>
        </w:rPr>
        <w:t xml:space="preserve"> </w:t>
      </w:r>
      <w:proofErr w:type="spellStart"/>
      <w:r>
        <w:rPr>
          <w:rFonts w:ascii="Cambria" w:hAnsi="Cambria"/>
          <w:lang w:val="en-US"/>
        </w:rPr>
        <w:t>Pharmacol</w:t>
      </w:r>
      <w:proofErr w:type="spellEnd"/>
      <w:r>
        <w:rPr>
          <w:rFonts w:ascii="Cambria" w:hAnsi="Cambria"/>
          <w:lang w:val="en-US"/>
        </w:rPr>
        <w:t xml:space="preserve"> </w:t>
      </w:r>
      <w:proofErr w:type="spellStart"/>
      <w:r>
        <w:rPr>
          <w:rFonts w:ascii="Cambria" w:hAnsi="Cambria"/>
          <w:lang w:val="en-US"/>
        </w:rPr>
        <w:t>Ther</w:t>
      </w:r>
      <w:proofErr w:type="spellEnd"/>
      <w:r>
        <w:rPr>
          <w:rFonts w:ascii="Cambria" w:hAnsi="Cambria"/>
          <w:lang w:val="en-US"/>
        </w:rPr>
        <w:t xml:space="preserve"> 2005; 78:351-361.</w:t>
      </w:r>
    </w:p>
    <w:p w14:paraId="61A8B42B" w14:textId="66482794" w:rsidR="009B6416" w:rsidRDefault="009B6416" w:rsidP="00FB66C1">
      <w:pPr>
        <w:pStyle w:val="ListParagraph"/>
        <w:numPr>
          <w:ilvl w:val="0"/>
          <w:numId w:val="5"/>
        </w:numPr>
        <w:spacing w:after="0" w:line="360" w:lineRule="auto"/>
        <w:ind w:left="357" w:hanging="357"/>
        <w:rPr>
          <w:rFonts w:ascii="Cambria" w:hAnsi="Cambria"/>
          <w:lang w:val="en-US"/>
        </w:rPr>
      </w:pPr>
      <w:proofErr w:type="spellStart"/>
      <w:r w:rsidRPr="00FB66C1">
        <w:rPr>
          <w:rFonts w:ascii="Cambria" w:hAnsi="Cambria"/>
          <w:lang w:val="en-US"/>
        </w:rPr>
        <w:t>Baldelli</w:t>
      </w:r>
      <w:proofErr w:type="spellEnd"/>
      <w:r w:rsidRPr="00FB66C1">
        <w:rPr>
          <w:rFonts w:ascii="Cambria" w:hAnsi="Cambria"/>
          <w:lang w:val="en-US"/>
        </w:rPr>
        <w:t xml:space="preserve"> S, </w:t>
      </w:r>
      <w:proofErr w:type="spellStart"/>
      <w:r w:rsidRPr="00FB66C1">
        <w:rPr>
          <w:rFonts w:ascii="Cambria" w:hAnsi="Cambria"/>
          <w:lang w:val="en-US"/>
        </w:rPr>
        <w:t>Merlini</w:t>
      </w:r>
      <w:proofErr w:type="spellEnd"/>
      <w:r w:rsidRPr="00FB66C1">
        <w:rPr>
          <w:rFonts w:ascii="Cambria" w:hAnsi="Cambria"/>
          <w:lang w:val="en-US"/>
        </w:rPr>
        <w:t xml:space="preserve"> S, </w:t>
      </w:r>
      <w:proofErr w:type="spellStart"/>
      <w:r w:rsidRPr="00FB66C1">
        <w:rPr>
          <w:rFonts w:ascii="Cambria" w:hAnsi="Cambria"/>
          <w:lang w:val="en-US"/>
        </w:rPr>
        <w:t>Perico</w:t>
      </w:r>
      <w:proofErr w:type="spellEnd"/>
      <w:r w:rsidRPr="00FB66C1">
        <w:rPr>
          <w:rFonts w:ascii="Cambria" w:hAnsi="Cambria"/>
          <w:lang w:val="en-US"/>
        </w:rPr>
        <w:t xml:space="preserve"> N, </w:t>
      </w:r>
      <w:proofErr w:type="spellStart"/>
      <w:r w:rsidRPr="00FB66C1">
        <w:rPr>
          <w:rFonts w:ascii="Cambria" w:hAnsi="Cambria"/>
          <w:lang w:val="en-US"/>
        </w:rPr>
        <w:t>Nicastri</w:t>
      </w:r>
      <w:proofErr w:type="spellEnd"/>
      <w:r w:rsidRPr="00FB66C1">
        <w:rPr>
          <w:rFonts w:ascii="Cambria" w:hAnsi="Cambria"/>
          <w:lang w:val="en-US"/>
        </w:rPr>
        <w:t xml:space="preserve"> A, </w:t>
      </w:r>
      <w:proofErr w:type="spellStart"/>
      <w:r w:rsidRPr="00FB66C1">
        <w:rPr>
          <w:rFonts w:ascii="Cambria" w:hAnsi="Cambria"/>
          <w:lang w:val="en-US"/>
        </w:rPr>
        <w:t>Cortinovis</w:t>
      </w:r>
      <w:proofErr w:type="spellEnd"/>
      <w:r w:rsidRPr="00FB66C1">
        <w:rPr>
          <w:rFonts w:ascii="Cambria" w:hAnsi="Cambria"/>
          <w:lang w:val="en-US"/>
        </w:rPr>
        <w:t xml:space="preserve"> M et al. C-440T/T-331C polymorphisms in the UGT1A9 gene affect the</w:t>
      </w:r>
      <w:r w:rsidR="00FB66C1" w:rsidRPr="00FB66C1">
        <w:rPr>
          <w:rFonts w:ascii="Cambria" w:hAnsi="Cambria"/>
          <w:lang w:val="en-US"/>
        </w:rPr>
        <w:t xml:space="preserve"> </w:t>
      </w:r>
      <w:r w:rsidRPr="00FB66C1">
        <w:rPr>
          <w:rFonts w:ascii="Cambria" w:hAnsi="Cambria"/>
          <w:lang w:val="en-US"/>
        </w:rPr>
        <w:t>pharmacokinetics of mycophenolic acid in kidney transplantation. Pharmacogenomics 2007</w:t>
      </w:r>
      <w:proofErr w:type="gramStart"/>
      <w:r w:rsidRPr="00FB66C1">
        <w:rPr>
          <w:rFonts w:ascii="Cambria" w:hAnsi="Cambria"/>
          <w:lang w:val="en-US"/>
        </w:rPr>
        <w:t>;8:1127</w:t>
      </w:r>
      <w:proofErr w:type="gramEnd"/>
      <w:r w:rsidRPr="00FB66C1">
        <w:rPr>
          <w:rFonts w:ascii="Cambria" w:hAnsi="Cambria"/>
          <w:lang w:val="en-US"/>
        </w:rPr>
        <w:t>-</w:t>
      </w:r>
      <w:r w:rsidR="00FB66C1" w:rsidRPr="00FB66C1">
        <w:rPr>
          <w:rFonts w:ascii="Cambria" w:hAnsi="Cambria"/>
          <w:lang w:val="en-US"/>
        </w:rPr>
        <w:t>11</w:t>
      </w:r>
      <w:r w:rsidRPr="00FB66C1">
        <w:rPr>
          <w:rFonts w:ascii="Cambria" w:hAnsi="Cambria"/>
          <w:lang w:val="en-US"/>
        </w:rPr>
        <w:t>41</w:t>
      </w:r>
      <w:r w:rsidR="00FB66C1" w:rsidRPr="00FB66C1">
        <w:rPr>
          <w:rFonts w:ascii="Cambria" w:hAnsi="Cambria"/>
          <w:lang w:val="en-US"/>
        </w:rPr>
        <w:t>.</w:t>
      </w:r>
    </w:p>
    <w:p w14:paraId="79233AC5" w14:textId="0A129A7D" w:rsidR="00FB66C1" w:rsidRDefault="00FB66C1" w:rsidP="00FB66C1">
      <w:pPr>
        <w:pStyle w:val="ListParagraph"/>
        <w:numPr>
          <w:ilvl w:val="0"/>
          <w:numId w:val="5"/>
        </w:numPr>
        <w:spacing w:after="0" w:line="360" w:lineRule="auto"/>
        <w:ind w:left="357" w:hanging="357"/>
        <w:rPr>
          <w:rFonts w:ascii="Cambria" w:hAnsi="Cambria"/>
          <w:lang w:val="en-US"/>
        </w:rPr>
      </w:pPr>
      <w:proofErr w:type="spellStart"/>
      <w:r>
        <w:rPr>
          <w:rFonts w:ascii="Cambria" w:hAnsi="Cambria"/>
          <w:lang w:val="en-US"/>
        </w:rPr>
        <w:t>Michelon</w:t>
      </w:r>
      <w:proofErr w:type="spellEnd"/>
      <w:r>
        <w:rPr>
          <w:rFonts w:ascii="Cambria" w:hAnsi="Cambria"/>
          <w:lang w:val="en-US"/>
        </w:rPr>
        <w:t xml:space="preserve"> H, </w:t>
      </w:r>
      <w:proofErr w:type="spellStart"/>
      <w:r>
        <w:rPr>
          <w:rFonts w:ascii="Cambria" w:hAnsi="Cambria"/>
          <w:lang w:val="en-US"/>
        </w:rPr>
        <w:t>Konig</w:t>
      </w:r>
      <w:proofErr w:type="spellEnd"/>
      <w:r>
        <w:rPr>
          <w:rFonts w:ascii="Cambria" w:hAnsi="Cambria"/>
          <w:lang w:val="en-US"/>
        </w:rPr>
        <w:t xml:space="preserve"> J, </w:t>
      </w:r>
      <w:proofErr w:type="spellStart"/>
      <w:r>
        <w:rPr>
          <w:rFonts w:ascii="Cambria" w:hAnsi="Cambria"/>
          <w:lang w:val="en-US"/>
        </w:rPr>
        <w:t>Durrbach</w:t>
      </w:r>
      <w:proofErr w:type="spellEnd"/>
      <w:r>
        <w:rPr>
          <w:rFonts w:ascii="Cambria" w:hAnsi="Cambria"/>
          <w:lang w:val="en-US"/>
        </w:rPr>
        <w:t xml:space="preserve"> A, </w:t>
      </w:r>
      <w:proofErr w:type="spellStart"/>
      <w:r>
        <w:rPr>
          <w:rFonts w:ascii="Cambria" w:hAnsi="Cambria"/>
          <w:lang w:val="en-US"/>
        </w:rPr>
        <w:t>Quteineh</w:t>
      </w:r>
      <w:proofErr w:type="spellEnd"/>
      <w:r>
        <w:rPr>
          <w:rFonts w:ascii="Cambria" w:hAnsi="Cambria"/>
          <w:lang w:val="en-US"/>
        </w:rPr>
        <w:t xml:space="preserve"> L, </w:t>
      </w:r>
      <w:proofErr w:type="spellStart"/>
      <w:r>
        <w:rPr>
          <w:rFonts w:ascii="Cambria" w:hAnsi="Cambria"/>
          <w:lang w:val="en-US"/>
        </w:rPr>
        <w:t>Cerstuyft</w:t>
      </w:r>
      <w:proofErr w:type="spellEnd"/>
      <w:r>
        <w:rPr>
          <w:rFonts w:ascii="Cambria" w:hAnsi="Cambria"/>
          <w:lang w:val="en-US"/>
        </w:rPr>
        <w:t xml:space="preserve"> C, </w:t>
      </w:r>
      <w:proofErr w:type="spellStart"/>
      <w:r>
        <w:rPr>
          <w:rFonts w:ascii="Cambria" w:hAnsi="Cambria"/>
          <w:lang w:val="en-US"/>
        </w:rPr>
        <w:t>Furlan</w:t>
      </w:r>
      <w:proofErr w:type="spellEnd"/>
      <w:r>
        <w:rPr>
          <w:rFonts w:ascii="Cambria" w:hAnsi="Cambria"/>
          <w:lang w:val="en-US"/>
        </w:rPr>
        <w:t xml:space="preserve"> V et al. SLCO1B1 genetic polymorphism influences mycophenolic acid tolerance in renal transplant recipients. Pharmacogenomics 2010; 11:1703-1713.</w:t>
      </w:r>
    </w:p>
    <w:p w14:paraId="06BD5B32" w14:textId="400329B9" w:rsidR="00FB66C1" w:rsidRDefault="00FB66C1" w:rsidP="00FB66C1">
      <w:pPr>
        <w:pStyle w:val="ListParagraph"/>
        <w:numPr>
          <w:ilvl w:val="0"/>
          <w:numId w:val="5"/>
        </w:numPr>
        <w:spacing w:after="0" w:line="360" w:lineRule="auto"/>
        <w:ind w:left="357" w:hanging="357"/>
        <w:rPr>
          <w:rFonts w:ascii="Cambria" w:hAnsi="Cambria"/>
          <w:lang w:val="en-US"/>
        </w:rPr>
      </w:pPr>
      <w:proofErr w:type="spellStart"/>
      <w:r>
        <w:rPr>
          <w:rFonts w:ascii="Cambria" w:hAnsi="Cambria"/>
          <w:lang w:val="en-US"/>
        </w:rPr>
        <w:t>Woillard</w:t>
      </w:r>
      <w:proofErr w:type="spellEnd"/>
      <w:r>
        <w:rPr>
          <w:rFonts w:ascii="Cambria" w:hAnsi="Cambria"/>
          <w:lang w:val="en-US"/>
        </w:rPr>
        <w:t xml:space="preserve"> JB, Picard N, Thierry A, </w:t>
      </w:r>
      <w:proofErr w:type="spellStart"/>
      <w:r>
        <w:rPr>
          <w:rFonts w:ascii="Cambria" w:hAnsi="Cambria"/>
          <w:lang w:val="en-US"/>
        </w:rPr>
        <w:t>Touchard</w:t>
      </w:r>
      <w:proofErr w:type="spellEnd"/>
      <w:r>
        <w:rPr>
          <w:rFonts w:ascii="Cambria" w:hAnsi="Cambria"/>
          <w:lang w:val="en-US"/>
        </w:rPr>
        <w:t xml:space="preserve"> G, </w:t>
      </w:r>
      <w:proofErr w:type="spellStart"/>
      <w:r>
        <w:rPr>
          <w:rFonts w:ascii="Cambria" w:hAnsi="Cambria"/>
          <w:lang w:val="en-US"/>
        </w:rPr>
        <w:t>Marquet</w:t>
      </w:r>
      <w:proofErr w:type="spellEnd"/>
      <w:r>
        <w:rPr>
          <w:rFonts w:ascii="Cambria" w:hAnsi="Cambria"/>
          <w:lang w:val="en-US"/>
        </w:rPr>
        <w:t xml:space="preserve"> P. Associations between polymorphisms in target, metabolism or transport proteins of </w:t>
      </w:r>
      <w:proofErr w:type="spellStart"/>
      <w:r>
        <w:rPr>
          <w:rFonts w:ascii="Cambria" w:hAnsi="Cambria"/>
          <w:lang w:val="en-US"/>
        </w:rPr>
        <w:t>mycophenenolate</w:t>
      </w:r>
      <w:proofErr w:type="spellEnd"/>
      <w:r>
        <w:rPr>
          <w:rFonts w:ascii="Cambria" w:hAnsi="Cambria"/>
          <w:lang w:val="en-US"/>
        </w:rPr>
        <w:t xml:space="preserve"> sodium and therapeutic or adverse effects in kidney transplant patients. </w:t>
      </w:r>
      <w:proofErr w:type="spellStart"/>
      <w:r>
        <w:rPr>
          <w:rFonts w:ascii="Cambria" w:hAnsi="Cambria"/>
          <w:lang w:val="en-US"/>
        </w:rPr>
        <w:t>Pharmacogenet</w:t>
      </w:r>
      <w:proofErr w:type="spellEnd"/>
      <w:r>
        <w:rPr>
          <w:rFonts w:ascii="Cambria" w:hAnsi="Cambria"/>
          <w:lang w:val="en-US"/>
        </w:rPr>
        <w:t xml:space="preserve"> Genomics 2014; 24:256-262.</w:t>
      </w:r>
    </w:p>
    <w:p w14:paraId="5464762C" w14:textId="6AB0511D" w:rsidR="00FB66C1" w:rsidRDefault="00FB66C1" w:rsidP="00FB66C1">
      <w:pPr>
        <w:pStyle w:val="ListParagraph"/>
        <w:numPr>
          <w:ilvl w:val="0"/>
          <w:numId w:val="5"/>
        </w:numPr>
        <w:spacing w:after="0" w:line="360" w:lineRule="auto"/>
        <w:ind w:left="357" w:hanging="357"/>
        <w:rPr>
          <w:rFonts w:ascii="Cambria" w:hAnsi="Cambria"/>
          <w:lang w:val="en-US"/>
        </w:rPr>
      </w:pPr>
      <w:r>
        <w:rPr>
          <w:rFonts w:ascii="Cambria" w:hAnsi="Cambria"/>
          <w:lang w:val="en-US"/>
        </w:rPr>
        <w:t xml:space="preserve">Zhao W, </w:t>
      </w:r>
      <w:proofErr w:type="spellStart"/>
      <w:r>
        <w:rPr>
          <w:rFonts w:ascii="Cambria" w:hAnsi="Cambria"/>
          <w:lang w:val="en-US"/>
        </w:rPr>
        <w:t>Fakhoury</w:t>
      </w:r>
      <w:proofErr w:type="spellEnd"/>
      <w:r>
        <w:rPr>
          <w:rFonts w:ascii="Cambria" w:hAnsi="Cambria"/>
          <w:lang w:val="en-US"/>
        </w:rPr>
        <w:t xml:space="preserve"> M, </w:t>
      </w:r>
      <w:proofErr w:type="spellStart"/>
      <w:r>
        <w:rPr>
          <w:rFonts w:ascii="Cambria" w:hAnsi="Cambria"/>
          <w:lang w:val="en-US"/>
        </w:rPr>
        <w:t>Deschenes</w:t>
      </w:r>
      <w:proofErr w:type="spellEnd"/>
      <w:r>
        <w:rPr>
          <w:rFonts w:ascii="Cambria" w:hAnsi="Cambria"/>
          <w:lang w:val="en-US"/>
        </w:rPr>
        <w:t xml:space="preserve"> G, </w:t>
      </w:r>
      <w:proofErr w:type="spellStart"/>
      <w:r>
        <w:rPr>
          <w:rFonts w:ascii="Cambria" w:hAnsi="Cambria"/>
          <w:lang w:val="en-US"/>
        </w:rPr>
        <w:t>Roussey</w:t>
      </w:r>
      <w:proofErr w:type="spellEnd"/>
      <w:r>
        <w:rPr>
          <w:rFonts w:ascii="Cambria" w:hAnsi="Cambria"/>
          <w:lang w:val="en-US"/>
        </w:rPr>
        <w:t xml:space="preserve"> G, </w:t>
      </w:r>
      <w:proofErr w:type="spellStart"/>
      <w:r>
        <w:rPr>
          <w:rFonts w:ascii="Cambria" w:hAnsi="Cambria"/>
          <w:lang w:val="en-US"/>
        </w:rPr>
        <w:t>Brochard</w:t>
      </w:r>
      <w:proofErr w:type="spellEnd"/>
      <w:r>
        <w:rPr>
          <w:rFonts w:ascii="Cambria" w:hAnsi="Cambria"/>
          <w:lang w:val="en-US"/>
        </w:rPr>
        <w:t xml:space="preserve"> K, </w:t>
      </w:r>
      <w:proofErr w:type="spellStart"/>
      <w:r>
        <w:rPr>
          <w:rFonts w:ascii="Cambria" w:hAnsi="Cambria"/>
          <w:lang w:val="en-US"/>
        </w:rPr>
        <w:t>Niaudet</w:t>
      </w:r>
      <w:proofErr w:type="spellEnd"/>
      <w:r>
        <w:rPr>
          <w:rFonts w:ascii="Cambria" w:hAnsi="Cambria"/>
          <w:lang w:val="en-US"/>
        </w:rPr>
        <w:t xml:space="preserve"> P et al. Population pharmacokinetics and </w:t>
      </w:r>
      <w:proofErr w:type="spellStart"/>
      <w:r>
        <w:rPr>
          <w:rFonts w:ascii="Cambria" w:hAnsi="Cambria"/>
          <w:lang w:val="en-US"/>
        </w:rPr>
        <w:t>pharmacogenetics</w:t>
      </w:r>
      <w:proofErr w:type="spellEnd"/>
      <w:r>
        <w:rPr>
          <w:rFonts w:ascii="Cambria" w:hAnsi="Cambria"/>
          <w:lang w:val="en-US"/>
        </w:rPr>
        <w:t xml:space="preserve"> of mycophenolic acid following administration of </w:t>
      </w:r>
      <w:proofErr w:type="spellStart"/>
      <w:r>
        <w:rPr>
          <w:rFonts w:ascii="Cambria" w:hAnsi="Cambria"/>
          <w:lang w:val="en-US"/>
        </w:rPr>
        <w:t>mycophenolate</w:t>
      </w:r>
      <w:proofErr w:type="spellEnd"/>
      <w:r>
        <w:rPr>
          <w:rFonts w:ascii="Cambria" w:hAnsi="Cambria"/>
          <w:lang w:val="en-US"/>
        </w:rPr>
        <w:t xml:space="preserve"> </w:t>
      </w:r>
      <w:proofErr w:type="spellStart"/>
      <w:r>
        <w:rPr>
          <w:rFonts w:ascii="Cambria" w:hAnsi="Cambria"/>
          <w:lang w:val="en-US"/>
        </w:rPr>
        <w:t>mofetil</w:t>
      </w:r>
      <w:proofErr w:type="spellEnd"/>
      <w:r>
        <w:rPr>
          <w:rFonts w:ascii="Cambria" w:hAnsi="Cambria"/>
          <w:lang w:val="en-US"/>
        </w:rPr>
        <w:t xml:space="preserve"> in de novo pediatric renal transplant patients. J </w:t>
      </w:r>
      <w:proofErr w:type="spellStart"/>
      <w:r>
        <w:rPr>
          <w:rFonts w:ascii="Cambria" w:hAnsi="Cambria"/>
          <w:lang w:val="en-US"/>
        </w:rPr>
        <w:t>Clin</w:t>
      </w:r>
      <w:proofErr w:type="spellEnd"/>
      <w:r>
        <w:rPr>
          <w:rFonts w:ascii="Cambria" w:hAnsi="Cambria"/>
          <w:lang w:val="en-US"/>
        </w:rPr>
        <w:t xml:space="preserve"> </w:t>
      </w:r>
      <w:proofErr w:type="spellStart"/>
      <w:r>
        <w:rPr>
          <w:rFonts w:ascii="Cambria" w:hAnsi="Cambria"/>
          <w:lang w:val="en-US"/>
        </w:rPr>
        <w:t>Pharmacol</w:t>
      </w:r>
      <w:proofErr w:type="spellEnd"/>
      <w:r>
        <w:rPr>
          <w:rFonts w:ascii="Cambria" w:hAnsi="Cambria"/>
          <w:lang w:val="en-US"/>
        </w:rPr>
        <w:t xml:space="preserve"> 2010; 50:1280-1291.</w:t>
      </w:r>
    </w:p>
    <w:p w14:paraId="0924B748" w14:textId="52F28A0A" w:rsidR="00FB66C1" w:rsidRDefault="00FB66C1" w:rsidP="00FB66C1">
      <w:pPr>
        <w:pStyle w:val="ListParagraph"/>
        <w:numPr>
          <w:ilvl w:val="0"/>
          <w:numId w:val="5"/>
        </w:numPr>
        <w:spacing w:after="0" w:line="360" w:lineRule="auto"/>
        <w:ind w:left="357" w:hanging="357"/>
        <w:rPr>
          <w:rFonts w:ascii="Cambria" w:hAnsi="Cambria"/>
          <w:lang w:val="en-US"/>
        </w:rPr>
      </w:pPr>
      <w:proofErr w:type="spellStart"/>
      <w:r>
        <w:rPr>
          <w:rFonts w:ascii="Cambria" w:hAnsi="Cambria"/>
          <w:lang w:val="en-US"/>
        </w:rPr>
        <w:lastRenderedPageBreak/>
        <w:t>Pazik</w:t>
      </w:r>
      <w:proofErr w:type="spellEnd"/>
      <w:r>
        <w:rPr>
          <w:rFonts w:ascii="Cambria" w:hAnsi="Cambria"/>
          <w:lang w:val="en-US"/>
        </w:rPr>
        <w:t xml:space="preserve"> J, </w:t>
      </w:r>
      <w:proofErr w:type="spellStart"/>
      <w:r>
        <w:rPr>
          <w:rFonts w:ascii="Cambria" w:hAnsi="Cambria"/>
          <w:lang w:val="en-US"/>
        </w:rPr>
        <w:t>Oldak</w:t>
      </w:r>
      <w:proofErr w:type="spellEnd"/>
      <w:r>
        <w:rPr>
          <w:rFonts w:ascii="Cambria" w:hAnsi="Cambria"/>
          <w:lang w:val="en-US"/>
        </w:rPr>
        <w:t xml:space="preserve"> M, </w:t>
      </w:r>
      <w:proofErr w:type="spellStart"/>
      <w:r>
        <w:rPr>
          <w:rFonts w:ascii="Cambria" w:hAnsi="Cambria"/>
          <w:lang w:val="en-US"/>
        </w:rPr>
        <w:t>Dabrowski</w:t>
      </w:r>
      <w:proofErr w:type="spellEnd"/>
      <w:r>
        <w:rPr>
          <w:rFonts w:ascii="Cambria" w:hAnsi="Cambria"/>
          <w:lang w:val="en-US"/>
        </w:rPr>
        <w:t xml:space="preserve"> M, Lewandowski Z, </w:t>
      </w:r>
      <w:proofErr w:type="spellStart"/>
      <w:r>
        <w:rPr>
          <w:rFonts w:ascii="Cambria" w:hAnsi="Cambria"/>
          <w:lang w:val="en-US"/>
        </w:rPr>
        <w:t>Sitarek</w:t>
      </w:r>
      <w:proofErr w:type="spellEnd"/>
      <w:r>
        <w:rPr>
          <w:rFonts w:ascii="Cambria" w:hAnsi="Cambria"/>
          <w:lang w:val="en-US"/>
        </w:rPr>
        <w:t xml:space="preserve"> E, </w:t>
      </w:r>
      <w:proofErr w:type="spellStart"/>
      <w:r>
        <w:rPr>
          <w:rFonts w:ascii="Cambria" w:hAnsi="Cambria"/>
          <w:lang w:val="en-US"/>
        </w:rPr>
        <w:t>Podgorska</w:t>
      </w:r>
      <w:proofErr w:type="spellEnd"/>
      <w:r>
        <w:rPr>
          <w:rFonts w:ascii="Cambria" w:hAnsi="Cambria"/>
          <w:lang w:val="en-US"/>
        </w:rPr>
        <w:t xml:space="preserve"> M et al. Association of </w:t>
      </w:r>
      <w:proofErr w:type="spellStart"/>
      <w:r>
        <w:rPr>
          <w:rFonts w:ascii="Cambria" w:hAnsi="Cambria"/>
          <w:lang w:val="en-US"/>
        </w:rPr>
        <w:t>udp</w:t>
      </w:r>
      <w:proofErr w:type="spellEnd"/>
      <w:r>
        <w:rPr>
          <w:rFonts w:ascii="Cambria" w:hAnsi="Cambria"/>
          <w:lang w:val="en-US"/>
        </w:rPr>
        <w:t xml:space="preserve">-glucuronosyltransferase 1A9 (UGT1A9) gene polymorphism with </w:t>
      </w:r>
      <w:proofErr w:type="spellStart"/>
      <w:r>
        <w:rPr>
          <w:rFonts w:ascii="Cambria" w:hAnsi="Cambria"/>
          <w:lang w:val="en-US"/>
        </w:rPr>
        <w:t>kindey</w:t>
      </w:r>
      <w:proofErr w:type="spellEnd"/>
      <w:r>
        <w:rPr>
          <w:rFonts w:ascii="Cambria" w:hAnsi="Cambria"/>
          <w:lang w:val="en-US"/>
        </w:rPr>
        <w:t xml:space="preserve"> allograft function. Ann Transplant 2011; 16:69-73.</w:t>
      </w:r>
    </w:p>
    <w:p w14:paraId="3DA67135" w14:textId="0DCE1B1C" w:rsidR="00FB66C1" w:rsidRPr="00FB66C1" w:rsidRDefault="00FB66C1" w:rsidP="00FB66C1">
      <w:pPr>
        <w:pStyle w:val="ListParagraph"/>
        <w:numPr>
          <w:ilvl w:val="0"/>
          <w:numId w:val="5"/>
        </w:numPr>
        <w:spacing w:after="0" w:line="360" w:lineRule="auto"/>
        <w:ind w:left="357" w:hanging="357"/>
        <w:rPr>
          <w:rFonts w:ascii="Cambria" w:hAnsi="Cambria"/>
          <w:lang w:val="en-US"/>
        </w:rPr>
      </w:pPr>
      <w:proofErr w:type="spellStart"/>
      <w:r>
        <w:rPr>
          <w:rFonts w:ascii="Cambria" w:hAnsi="Cambria"/>
          <w:lang w:val="en-US"/>
        </w:rPr>
        <w:t>Pazik</w:t>
      </w:r>
      <w:proofErr w:type="spellEnd"/>
      <w:r>
        <w:rPr>
          <w:rFonts w:ascii="Cambria" w:hAnsi="Cambria"/>
          <w:lang w:val="en-US"/>
        </w:rPr>
        <w:t xml:space="preserve"> J, </w:t>
      </w:r>
      <w:proofErr w:type="spellStart"/>
      <w:r>
        <w:rPr>
          <w:rFonts w:ascii="Cambria" w:hAnsi="Cambria"/>
          <w:lang w:val="en-US"/>
        </w:rPr>
        <w:t>Oldak</w:t>
      </w:r>
      <w:proofErr w:type="spellEnd"/>
      <w:r>
        <w:rPr>
          <w:rFonts w:ascii="Cambria" w:hAnsi="Cambria"/>
          <w:lang w:val="en-US"/>
        </w:rPr>
        <w:t xml:space="preserve"> M, Lewandowski Z, </w:t>
      </w:r>
      <w:proofErr w:type="spellStart"/>
      <w:r>
        <w:rPr>
          <w:rFonts w:ascii="Cambria" w:hAnsi="Cambria"/>
          <w:lang w:val="en-US"/>
        </w:rPr>
        <w:t>Dabrowski</w:t>
      </w:r>
      <w:proofErr w:type="spellEnd"/>
      <w:r>
        <w:rPr>
          <w:rFonts w:ascii="Cambria" w:hAnsi="Cambria"/>
          <w:lang w:val="en-US"/>
        </w:rPr>
        <w:t xml:space="preserve"> M, </w:t>
      </w:r>
      <w:proofErr w:type="spellStart"/>
      <w:r>
        <w:rPr>
          <w:rFonts w:ascii="Cambria" w:hAnsi="Cambria"/>
          <w:lang w:val="en-US"/>
        </w:rPr>
        <w:t>Podgorska</w:t>
      </w:r>
      <w:proofErr w:type="spellEnd"/>
      <w:r w:rsidR="00CD7D20">
        <w:rPr>
          <w:rFonts w:ascii="Cambria" w:hAnsi="Cambria"/>
          <w:lang w:val="en-US"/>
        </w:rPr>
        <w:t xml:space="preserve"> M, </w:t>
      </w:r>
      <w:proofErr w:type="spellStart"/>
      <w:r w:rsidR="00CD7D20">
        <w:rPr>
          <w:rFonts w:ascii="Cambria" w:hAnsi="Cambria"/>
          <w:lang w:val="en-US"/>
        </w:rPr>
        <w:t>Sitarek</w:t>
      </w:r>
      <w:proofErr w:type="spellEnd"/>
      <w:r w:rsidR="00CD7D20">
        <w:rPr>
          <w:rFonts w:ascii="Cambria" w:hAnsi="Cambria"/>
          <w:lang w:val="en-US"/>
        </w:rPr>
        <w:t xml:space="preserve"> E et al. Recipient uridine 5’-diphospho-glucuronosyltransferase UGT1A9 c.98T&gt;C variant determines transplanted kidney filtration rate. Transplant Proceedings 2014; 46:2678-2682.</w:t>
      </w:r>
    </w:p>
    <w:sectPr w:rsidR="00FB66C1" w:rsidRPr="00FB66C1">
      <w:footerReference w:type="default" r:id="rId16"/>
      <w:pgSz w:w="11906" w:h="16838"/>
      <w:pgMar w:top="1417" w:right="1417" w:bottom="1417" w:left="1417"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18D55E5A" w14:textId="77777777" w:rsidR="00552633" w:rsidRDefault="00552633" w:rsidP="0043388D">
      <w:pPr>
        <w:spacing w:after="0" w:line="240" w:lineRule="auto"/>
      </w:pPr>
      <w:r>
        <w:separator/>
      </w:r>
    </w:p>
  </w:endnote>
  <w:endnote w:type="continuationSeparator" w:id="0">
    <w:p w14:paraId="7D89F454" w14:textId="77777777" w:rsidR="00552633" w:rsidRDefault="00552633" w:rsidP="0043388D">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EE"/>
    <w:family w:val="roman"/>
    <w:pitch w:val="variable"/>
    <w:sig w:usb0="E0002EFF" w:usb1="C000785B" w:usb2="00000009" w:usb3="00000000" w:csb0="000001FF" w:csb1="00000000"/>
  </w:font>
  <w:font w:name="Courier New">
    <w:panose1 w:val="02070309020205020404"/>
    <w:charset w:val="EE"/>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EE"/>
    <w:family w:val="swiss"/>
    <w:pitch w:val="variable"/>
    <w:sig w:usb0="E4002EFF" w:usb1="C000247B" w:usb2="00000009" w:usb3="00000000" w:csb0="000001FF" w:csb1="00000000"/>
  </w:font>
  <w:font w:name="Calibri Light">
    <w:panose1 w:val="020F0302020204030204"/>
    <w:charset w:val="EE"/>
    <w:family w:val="swiss"/>
    <w:pitch w:val="variable"/>
    <w:sig w:usb0="E4002EFF" w:usb1="C000247B" w:usb2="00000009" w:usb3="00000000" w:csb0="000001FF" w:csb1="00000000"/>
  </w:font>
  <w:font w:name="Segoe UI">
    <w:panose1 w:val="020B0502040204020203"/>
    <w:charset w:val="EE"/>
    <w:family w:val="swiss"/>
    <w:pitch w:val="variable"/>
    <w:sig w:usb0="E4002EFF" w:usb1="C000E47F" w:usb2="00000009" w:usb3="00000000" w:csb0="000001FF" w:csb1="00000000"/>
  </w:font>
  <w:font w:name="Cambria">
    <w:panose1 w:val="02040503050406030204"/>
    <w:charset w:val="EE"/>
    <w:family w:val="roman"/>
    <w:pitch w:val="variable"/>
    <w:sig w:usb0="E00006FF" w:usb1="420024FF" w:usb2="02000000" w:usb3="00000000" w:csb0="0000019F" w:csb1="00000000"/>
  </w:font>
  <w:font w:name="WylvwlAdvTT3713a231">
    <w:altName w:val="Cambria"/>
    <w:panose1 w:val="00000000000000000000"/>
    <w:charset w:val="00"/>
    <w:family w:val="roman"/>
    <w:notTrueType/>
    <w:pitch w:val="default"/>
    <w:sig w:usb0="00000003" w:usb1="00000000" w:usb2="00000000" w:usb3="00000000" w:csb0="00000001"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id w:val="1694957432"/>
      <w:docPartObj>
        <w:docPartGallery w:val="Page Numbers (Bottom of Page)"/>
        <w:docPartUnique/>
      </w:docPartObj>
    </w:sdtPr>
    <w:sdtEndPr>
      <w:rPr>
        <w:noProof/>
      </w:rPr>
    </w:sdtEndPr>
    <w:sdtContent>
      <w:p w14:paraId="2CBFC91B" w14:textId="0FE88FBA" w:rsidR="0093411F" w:rsidRDefault="0093411F">
        <w:pPr>
          <w:pStyle w:val="Footer"/>
          <w:jc w:val="right"/>
        </w:pPr>
        <w:r>
          <w:fldChar w:fldCharType="begin"/>
        </w:r>
        <w:r>
          <w:instrText xml:space="preserve"> PAGE   \* MERGEFORMAT </w:instrText>
        </w:r>
        <w:r>
          <w:fldChar w:fldCharType="separate"/>
        </w:r>
        <w:r w:rsidR="007A1F8B">
          <w:rPr>
            <w:noProof/>
          </w:rPr>
          <w:t>14</w:t>
        </w:r>
        <w:r>
          <w:rPr>
            <w:noProof/>
          </w:rPr>
          <w:fldChar w:fldCharType="end"/>
        </w:r>
      </w:p>
    </w:sdtContent>
  </w:sdt>
  <w:p w14:paraId="0996BC26" w14:textId="77777777" w:rsidR="0093411F" w:rsidRDefault="0093411F" w:rsidP="0093411F">
    <w:pPr>
      <w:pStyle w:val="Footer"/>
      <w:jc w:val="right"/>
    </w:pPr>
  </w:p>
</w:ftr>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1B459512" w14:textId="77777777" w:rsidR="00552633" w:rsidRDefault="00552633" w:rsidP="0043388D">
      <w:pPr>
        <w:spacing w:after="0" w:line="240" w:lineRule="auto"/>
      </w:pPr>
      <w:r>
        <w:separator/>
      </w:r>
    </w:p>
  </w:footnote>
  <w:footnote w:type="continuationSeparator" w:id="0">
    <w:p w14:paraId="2FF30D85" w14:textId="77777777" w:rsidR="00552633" w:rsidRDefault="00552633" w:rsidP="0043388D">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770067A"/>
    <w:multiLevelType w:val="hybridMultilevel"/>
    <w:tmpl w:val="43D25B5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07D81BE4"/>
    <w:multiLevelType w:val="hybridMultilevel"/>
    <w:tmpl w:val="58D699E4"/>
    <w:lvl w:ilvl="0" w:tplc="4F109948">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15:restartNumberingAfterBreak="0">
    <w:nsid w:val="10F949FD"/>
    <w:multiLevelType w:val="hybridMultilevel"/>
    <w:tmpl w:val="F09632C4"/>
    <w:lvl w:ilvl="0" w:tplc="027A4914">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 w15:restartNumberingAfterBreak="0">
    <w:nsid w:val="22D17482"/>
    <w:multiLevelType w:val="hybridMultilevel"/>
    <w:tmpl w:val="01067A46"/>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 w15:restartNumberingAfterBreak="0">
    <w:nsid w:val="22EB5375"/>
    <w:multiLevelType w:val="multilevel"/>
    <w:tmpl w:val="D8CA80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 w15:restartNumberingAfterBreak="0">
    <w:nsid w:val="3B270083"/>
    <w:multiLevelType w:val="hybridMultilevel"/>
    <w:tmpl w:val="93D86806"/>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 w15:restartNumberingAfterBreak="0">
    <w:nsid w:val="47FC4608"/>
    <w:multiLevelType w:val="multilevel"/>
    <w:tmpl w:val="A4001C98"/>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pStyle w:val="Heading2"/>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7" w15:restartNumberingAfterBreak="0">
    <w:nsid w:val="5065099A"/>
    <w:multiLevelType w:val="hybridMultilevel"/>
    <w:tmpl w:val="7AA2FCE6"/>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8" w15:restartNumberingAfterBreak="0">
    <w:nsid w:val="563D32FB"/>
    <w:multiLevelType w:val="hybridMultilevel"/>
    <w:tmpl w:val="86D2BCA0"/>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9" w15:restartNumberingAfterBreak="0">
    <w:nsid w:val="5C0321E5"/>
    <w:multiLevelType w:val="hybridMultilevel"/>
    <w:tmpl w:val="7AA2FCE6"/>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8"/>
  </w:num>
  <w:num w:numId="2">
    <w:abstractNumId w:val="4"/>
  </w:num>
  <w:num w:numId="3">
    <w:abstractNumId w:val="7"/>
  </w:num>
  <w:num w:numId="4">
    <w:abstractNumId w:val="0"/>
  </w:num>
  <w:num w:numId="5">
    <w:abstractNumId w:val="9"/>
  </w:num>
  <w:num w:numId="6">
    <w:abstractNumId w:val="3"/>
  </w:num>
  <w:num w:numId="7">
    <w:abstractNumId w:val="6"/>
  </w:num>
  <w:num w:numId="8">
    <w:abstractNumId w:val="2"/>
  </w:num>
  <w:num w:numId="9">
    <w:abstractNumId w:val="5"/>
  </w:num>
  <w:num w:numId="10">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10"/>
  <w:proofState w:spelling="clean" w:grammar="clean"/>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0222AA"/>
    <w:rsid w:val="000008E6"/>
    <w:rsid w:val="000021BC"/>
    <w:rsid w:val="0000360B"/>
    <w:rsid w:val="000222AA"/>
    <w:rsid w:val="000240D1"/>
    <w:rsid w:val="000274BD"/>
    <w:rsid w:val="00031A06"/>
    <w:rsid w:val="000349EC"/>
    <w:rsid w:val="000402FC"/>
    <w:rsid w:val="0004208A"/>
    <w:rsid w:val="00045A46"/>
    <w:rsid w:val="0005287F"/>
    <w:rsid w:val="00052B29"/>
    <w:rsid w:val="00057697"/>
    <w:rsid w:val="00062ABB"/>
    <w:rsid w:val="0006700C"/>
    <w:rsid w:val="00067F8C"/>
    <w:rsid w:val="00071224"/>
    <w:rsid w:val="00072AAC"/>
    <w:rsid w:val="00081D0B"/>
    <w:rsid w:val="00082604"/>
    <w:rsid w:val="00084C3F"/>
    <w:rsid w:val="00084ED0"/>
    <w:rsid w:val="00090659"/>
    <w:rsid w:val="0009314D"/>
    <w:rsid w:val="000939FE"/>
    <w:rsid w:val="00093A4F"/>
    <w:rsid w:val="00093EE5"/>
    <w:rsid w:val="00096590"/>
    <w:rsid w:val="000A07F4"/>
    <w:rsid w:val="000A7858"/>
    <w:rsid w:val="000A7AF7"/>
    <w:rsid w:val="000B068C"/>
    <w:rsid w:val="000B2E2B"/>
    <w:rsid w:val="000B4F31"/>
    <w:rsid w:val="000B5DE2"/>
    <w:rsid w:val="000C128F"/>
    <w:rsid w:val="000C4334"/>
    <w:rsid w:val="000C48E9"/>
    <w:rsid w:val="000C4F79"/>
    <w:rsid w:val="000C73EC"/>
    <w:rsid w:val="000C7756"/>
    <w:rsid w:val="000D5137"/>
    <w:rsid w:val="000D517E"/>
    <w:rsid w:val="000D6F57"/>
    <w:rsid w:val="000E3C13"/>
    <w:rsid w:val="000E4476"/>
    <w:rsid w:val="000F037F"/>
    <w:rsid w:val="000F0802"/>
    <w:rsid w:val="000F0FF7"/>
    <w:rsid w:val="000F164E"/>
    <w:rsid w:val="000F30E8"/>
    <w:rsid w:val="000F50FE"/>
    <w:rsid w:val="00100B37"/>
    <w:rsid w:val="00101965"/>
    <w:rsid w:val="0010426B"/>
    <w:rsid w:val="00105987"/>
    <w:rsid w:val="00106DFA"/>
    <w:rsid w:val="00113427"/>
    <w:rsid w:val="001136C4"/>
    <w:rsid w:val="00114D95"/>
    <w:rsid w:val="0011630C"/>
    <w:rsid w:val="00116359"/>
    <w:rsid w:val="001201D0"/>
    <w:rsid w:val="001208A2"/>
    <w:rsid w:val="00120AE8"/>
    <w:rsid w:val="00122501"/>
    <w:rsid w:val="00122C28"/>
    <w:rsid w:val="00126778"/>
    <w:rsid w:val="001309B4"/>
    <w:rsid w:val="00132430"/>
    <w:rsid w:val="00136989"/>
    <w:rsid w:val="001414DE"/>
    <w:rsid w:val="001428BC"/>
    <w:rsid w:val="001435EF"/>
    <w:rsid w:val="00147E5D"/>
    <w:rsid w:val="0015397F"/>
    <w:rsid w:val="0015750B"/>
    <w:rsid w:val="0016295C"/>
    <w:rsid w:val="00164D86"/>
    <w:rsid w:val="00166F33"/>
    <w:rsid w:val="0017058D"/>
    <w:rsid w:val="001721E8"/>
    <w:rsid w:val="00175E6A"/>
    <w:rsid w:val="001802AC"/>
    <w:rsid w:val="00180519"/>
    <w:rsid w:val="001824B2"/>
    <w:rsid w:val="0018399F"/>
    <w:rsid w:val="0018765D"/>
    <w:rsid w:val="00192F65"/>
    <w:rsid w:val="00197BC2"/>
    <w:rsid w:val="001A01DD"/>
    <w:rsid w:val="001A1772"/>
    <w:rsid w:val="001A3D77"/>
    <w:rsid w:val="001A6B61"/>
    <w:rsid w:val="001B0410"/>
    <w:rsid w:val="001B4BB8"/>
    <w:rsid w:val="001B58EA"/>
    <w:rsid w:val="001C0339"/>
    <w:rsid w:val="001C07DB"/>
    <w:rsid w:val="001C53D0"/>
    <w:rsid w:val="001C618D"/>
    <w:rsid w:val="001D28FB"/>
    <w:rsid w:val="001D6FE3"/>
    <w:rsid w:val="001D794F"/>
    <w:rsid w:val="001E05C0"/>
    <w:rsid w:val="001E1E9D"/>
    <w:rsid w:val="001E2071"/>
    <w:rsid w:val="001E4B0E"/>
    <w:rsid w:val="001F3373"/>
    <w:rsid w:val="001F34AA"/>
    <w:rsid w:val="001F64E9"/>
    <w:rsid w:val="00200B51"/>
    <w:rsid w:val="002010FC"/>
    <w:rsid w:val="00204018"/>
    <w:rsid w:val="002059BD"/>
    <w:rsid w:val="0021182D"/>
    <w:rsid w:val="0021202D"/>
    <w:rsid w:val="00213270"/>
    <w:rsid w:val="00217A4D"/>
    <w:rsid w:val="00224EA9"/>
    <w:rsid w:val="00230524"/>
    <w:rsid w:val="00230865"/>
    <w:rsid w:val="002309C3"/>
    <w:rsid w:val="00235E72"/>
    <w:rsid w:val="00236D14"/>
    <w:rsid w:val="00241690"/>
    <w:rsid w:val="00244206"/>
    <w:rsid w:val="002458DE"/>
    <w:rsid w:val="00251028"/>
    <w:rsid w:val="002560C9"/>
    <w:rsid w:val="0025772B"/>
    <w:rsid w:val="002600BB"/>
    <w:rsid w:val="002708C1"/>
    <w:rsid w:val="00276763"/>
    <w:rsid w:val="002850B8"/>
    <w:rsid w:val="00287827"/>
    <w:rsid w:val="002914F1"/>
    <w:rsid w:val="00292C03"/>
    <w:rsid w:val="00292D58"/>
    <w:rsid w:val="002A585A"/>
    <w:rsid w:val="002A691C"/>
    <w:rsid w:val="002B3D9D"/>
    <w:rsid w:val="002B3E40"/>
    <w:rsid w:val="002B494F"/>
    <w:rsid w:val="002B705B"/>
    <w:rsid w:val="002B7B35"/>
    <w:rsid w:val="002C0905"/>
    <w:rsid w:val="002C1210"/>
    <w:rsid w:val="002C181C"/>
    <w:rsid w:val="002C3DD7"/>
    <w:rsid w:val="002C7B86"/>
    <w:rsid w:val="002D1E02"/>
    <w:rsid w:val="002D3D4C"/>
    <w:rsid w:val="002D51E6"/>
    <w:rsid w:val="002D6FA1"/>
    <w:rsid w:val="002E1AB1"/>
    <w:rsid w:val="002E4EBB"/>
    <w:rsid w:val="002E5329"/>
    <w:rsid w:val="002F179D"/>
    <w:rsid w:val="002F29CE"/>
    <w:rsid w:val="002F2CBE"/>
    <w:rsid w:val="002F327C"/>
    <w:rsid w:val="002F540B"/>
    <w:rsid w:val="002F6EEA"/>
    <w:rsid w:val="002F7D61"/>
    <w:rsid w:val="0030242A"/>
    <w:rsid w:val="003037E3"/>
    <w:rsid w:val="00303F60"/>
    <w:rsid w:val="00304808"/>
    <w:rsid w:val="00306DB6"/>
    <w:rsid w:val="003100F6"/>
    <w:rsid w:val="003133A6"/>
    <w:rsid w:val="00313661"/>
    <w:rsid w:val="00313898"/>
    <w:rsid w:val="003140D3"/>
    <w:rsid w:val="00316C3C"/>
    <w:rsid w:val="003203A0"/>
    <w:rsid w:val="00321537"/>
    <w:rsid w:val="003222E4"/>
    <w:rsid w:val="00327D3B"/>
    <w:rsid w:val="00331E9E"/>
    <w:rsid w:val="00333407"/>
    <w:rsid w:val="00333B8C"/>
    <w:rsid w:val="00335072"/>
    <w:rsid w:val="003362F3"/>
    <w:rsid w:val="00350909"/>
    <w:rsid w:val="00351A8F"/>
    <w:rsid w:val="0035208F"/>
    <w:rsid w:val="00353E09"/>
    <w:rsid w:val="00356F3C"/>
    <w:rsid w:val="0036093C"/>
    <w:rsid w:val="00361270"/>
    <w:rsid w:val="00361AD9"/>
    <w:rsid w:val="00362FC8"/>
    <w:rsid w:val="0036607D"/>
    <w:rsid w:val="003673F6"/>
    <w:rsid w:val="00367FC2"/>
    <w:rsid w:val="003701AA"/>
    <w:rsid w:val="003701FB"/>
    <w:rsid w:val="00370AE0"/>
    <w:rsid w:val="00374946"/>
    <w:rsid w:val="00376616"/>
    <w:rsid w:val="00376B05"/>
    <w:rsid w:val="003779B4"/>
    <w:rsid w:val="00384749"/>
    <w:rsid w:val="00386770"/>
    <w:rsid w:val="00386CF9"/>
    <w:rsid w:val="00386E02"/>
    <w:rsid w:val="00387129"/>
    <w:rsid w:val="00387EB9"/>
    <w:rsid w:val="00391096"/>
    <w:rsid w:val="00391A07"/>
    <w:rsid w:val="003948F5"/>
    <w:rsid w:val="003A46A7"/>
    <w:rsid w:val="003A7A72"/>
    <w:rsid w:val="003B0EF0"/>
    <w:rsid w:val="003B389B"/>
    <w:rsid w:val="003C0450"/>
    <w:rsid w:val="003C4FE6"/>
    <w:rsid w:val="003C5A65"/>
    <w:rsid w:val="003C6353"/>
    <w:rsid w:val="003D058F"/>
    <w:rsid w:val="003D05CC"/>
    <w:rsid w:val="003D230B"/>
    <w:rsid w:val="003D3E8A"/>
    <w:rsid w:val="003D4491"/>
    <w:rsid w:val="003D616F"/>
    <w:rsid w:val="003E5E6A"/>
    <w:rsid w:val="003E5E75"/>
    <w:rsid w:val="003E77D3"/>
    <w:rsid w:val="003F10A7"/>
    <w:rsid w:val="003F41B4"/>
    <w:rsid w:val="003F4ADE"/>
    <w:rsid w:val="003F57C1"/>
    <w:rsid w:val="00401399"/>
    <w:rsid w:val="0040306C"/>
    <w:rsid w:val="00404E0A"/>
    <w:rsid w:val="00407DFE"/>
    <w:rsid w:val="0041042B"/>
    <w:rsid w:val="00415ED6"/>
    <w:rsid w:val="00415EEF"/>
    <w:rsid w:val="00423323"/>
    <w:rsid w:val="00423FF2"/>
    <w:rsid w:val="004259A4"/>
    <w:rsid w:val="00432C98"/>
    <w:rsid w:val="0043388D"/>
    <w:rsid w:val="00440DBC"/>
    <w:rsid w:val="00440F81"/>
    <w:rsid w:val="00441886"/>
    <w:rsid w:val="004457DC"/>
    <w:rsid w:val="0045338B"/>
    <w:rsid w:val="00454116"/>
    <w:rsid w:val="0045519C"/>
    <w:rsid w:val="0046073B"/>
    <w:rsid w:val="0046253C"/>
    <w:rsid w:val="00463877"/>
    <w:rsid w:val="00465040"/>
    <w:rsid w:val="004706B5"/>
    <w:rsid w:val="00472357"/>
    <w:rsid w:val="00472916"/>
    <w:rsid w:val="00472C84"/>
    <w:rsid w:val="00475AAD"/>
    <w:rsid w:val="00481FF1"/>
    <w:rsid w:val="004858D8"/>
    <w:rsid w:val="00485D58"/>
    <w:rsid w:val="004902A4"/>
    <w:rsid w:val="004920D8"/>
    <w:rsid w:val="00492C8E"/>
    <w:rsid w:val="00494AC0"/>
    <w:rsid w:val="00494CCD"/>
    <w:rsid w:val="00497A6C"/>
    <w:rsid w:val="004A1165"/>
    <w:rsid w:val="004A163C"/>
    <w:rsid w:val="004A3548"/>
    <w:rsid w:val="004A6352"/>
    <w:rsid w:val="004B3ADB"/>
    <w:rsid w:val="004C3054"/>
    <w:rsid w:val="004C380F"/>
    <w:rsid w:val="004C4474"/>
    <w:rsid w:val="004D0101"/>
    <w:rsid w:val="004D0A34"/>
    <w:rsid w:val="004D2D47"/>
    <w:rsid w:val="004D37C0"/>
    <w:rsid w:val="004D796B"/>
    <w:rsid w:val="004D7BB6"/>
    <w:rsid w:val="004E372A"/>
    <w:rsid w:val="004E462C"/>
    <w:rsid w:val="004E46A6"/>
    <w:rsid w:val="004E4AA9"/>
    <w:rsid w:val="004F2B82"/>
    <w:rsid w:val="004F3AC9"/>
    <w:rsid w:val="004F78CA"/>
    <w:rsid w:val="00500981"/>
    <w:rsid w:val="00502229"/>
    <w:rsid w:val="005047C1"/>
    <w:rsid w:val="00507BB1"/>
    <w:rsid w:val="005129D4"/>
    <w:rsid w:val="00513E3A"/>
    <w:rsid w:val="005154A7"/>
    <w:rsid w:val="00515A49"/>
    <w:rsid w:val="00516A52"/>
    <w:rsid w:val="00516FBC"/>
    <w:rsid w:val="00521C26"/>
    <w:rsid w:val="005243F1"/>
    <w:rsid w:val="005244BE"/>
    <w:rsid w:val="0052453A"/>
    <w:rsid w:val="00526326"/>
    <w:rsid w:val="00527461"/>
    <w:rsid w:val="005365FB"/>
    <w:rsid w:val="00540A35"/>
    <w:rsid w:val="0054243C"/>
    <w:rsid w:val="00545C06"/>
    <w:rsid w:val="00546622"/>
    <w:rsid w:val="00551E40"/>
    <w:rsid w:val="00552633"/>
    <w:rsid w:val="0055792D"/>
    <w:rsid w:val="00561E27"/>
    <w:rsid w:val="005657AE"/>
    <w:rsid w:val="00565E5E"/>
    <w:rsid w:val="005673A5"/>
    <w:rsid w:val="0057433F"/>
    <w:rsid w:val="00576231"/>
    <w:rsid w:val="00577FB8"/>
    <w:rsid w:val="0058181A"/>
    <w:rsid w:val="00581A19"/>
    <w:rsid w:val="00585467"/>
    <w:rsid w:val="005860E2"/>
    <w:rsid w:val="00586E09"/>
    <w:rsid w:val="00590CEF"/>
    <w:rsid w:val="005931BB"/>
    <w:rsid w:val="00597AD5"/>
    <w:rsid w:val="005A0D88"/>
    <w:rsid w:val="005A1AE9"/>
    <w:rsid w:val="005A26B0"/>
    <w:rsid w:val="005A573B"/>
    <w:rsid w:val="005A6350"/>
    <w:rsid w:val="005A6367"/>
    <w:rsid w:val="005A6C1D"/>
    <w:rsid w:val="005B0C22"/>
    <w:rsid w:val="005B28F0"/>
    <w:rsid w:val="005C5270"/>
    <w:rsid w:val="005C7B91"/>
    <w:rsid w:val="005D0E2F"/>
    <w:rsid w:val="005D2C85"/>
    <w:rsid w:val="005D4993"/>
    <w:rsid w:val="005D5EEF"/>
    <w:rsid w:val="005E0702"/>
    <w:rsid w:val="005E6515"/>
    <w:rsid w:val="005F04F6"/>
    <w:rsid w:val="005F5EA0"/>
    <w:rsid w:val="005F6BA8"/>
    <w:rsid w:val="005F779C"/>
    <w:rsid w:val="006045D3"/>
    <w:rsid w:val="00606FEF"/>
    <w:rsid w:val="00611FB2"/>
    <w:rsid w:val="00613D0A"/>
    <w:rsid w:val="00616671"/>
    <w:rsid w:val="006213DC"/>
    <w:rsid w:val="006264C3"/>
    <w:rsid w:val="00626B85"/>
    <w:rsid w:val="0063120B"/>
    <w:rsid w:val="0063287A"/>
    <w:rsid w:val="006329AC"/>
    <w:rsid w:val="00633272"/>
    <w:rsid w:val="00633EBC"/>
    <w:rsid w:val="00634E19"/>
    <w:rsid w:val="00635734"/>
    <w:rsid w:val="00640AF1"/>
    <w:rsid w:val="00643691"/>
    <w:rsid w:val="00647BBC"/>
    <w:rsid w:val="0065062A"/>
    <w:rsid w:val="006520BE"/>
    <w:rsid w:val="00653D6F"/>
    <w:rsid w:val="00657DA8"/>
    <w:rsid w:val="00665352"/>
    <w:rsid w:val="006765C9"/>
    <w:rsid w:val="00676D52"/>
    <w:rsid w:val="00682357"/>
    <w:rsid w:val="00682723"/>
    <w:rsid w:val="00682B5C"/>
    <w:rsid w:val="0068356E"/>
    <w:rsid w:val="00684251"/>
    <w:rsid w:val="00690A4C"/>
    <w:rsid w:val="00690D40"/>
    <w:rsid w:val="00690F39"/>
    <w:rsid w:val="006920C9"/>
    <w:rsid w:val="00693AEF"/>
    <w:rsid w:val="00695B76"/>
    <w:rsid w:val="00697D57"/>
    <w:rsid w:val="006A1831"/>
    <w:rsid w:val="006A243C"/>
    <w:rsid w:val="006A5E72"/>
    <w:rsid w:val="006B25FE"/>
    <w:rsid w:val="006B3BB1"/>
    <w:rsid w:val="006B3D8B"/>
    <w:rsid w:val="006B6CF2"/>
    <w:rsid w:val="006B6E06"/>
    <w:rsid w:val="006B7DD4"/>
    <w:rsid w:val="006C0FA4"/>
    <w:rsid w:val="006C1E5B"/>
    <w:rsid w:val="006C37F2"/>
    <w:rsid w:val="006D0F8C"/>
    <w:rsid w:val="006D2C83"/>
    <w:rsid w:val="006D6B5D"/>
    <w:rsid w:val="006D71C2"/>
    <w:rsid w:val="006D7881"/>
    <w:rsid w:val="006E67BF"/>
    <w:rsid w:val="006F043A"/>
    <w:rsid w:val="006F2AFB"/>
    <w:rsid w:val="006F44D5"/>
    <w:rsid w:val="00700039"/>
    <w:rsid w:val="007016CB"/>
    <w:rsid w:val="00701CFD"/>
    <w:rsid w:val="00701F24"/>
    <w:rsid w:val="00703C4F"/>
    <w:rsid w:val="00705350"/>
    <w:rsid w:val="00705CC5"/>
    <w:rsid w:val="007079FC"/>
    <w:rsid w:val="007129CE"/>
    <w:rsid w:val="00712A8C"/>
    <w:rsid w:val="00714B81"/>
    <w:rsid w:val="00715051"/>
    <w:rsid w:val="00716355"/>
    <w:rsid w:val="007204D9"/>
    <w:rsid w:val="00721A57"/>
    <w:rsid w:val="00722153"/>
    <w:rsid w:val="007227CD"/>
    <w:rsid w:val="00724011"/>
    <w:rsid w:val="00726054"/>
    <w:rsid w:val="007271D0"/>
    <w:rsid w:val="007368B0"/>
    <w:rsid w:val="007410CF"/>
    <w:rsid w:val="00742CC0"/>
    <w:rsid w:val="00743D77"/>
    <w:rsid w:val="00746B90"/>
    <w:rsid w:val="007625E0"/>
    <w:rsid w:val="00763133"/>
    <w:rsid w:val="0076432B"/>
    <w:rsid w:val="0076487B"/>
    <w:rsid w:val="0076516B"/>
    <w:rsid w:val="00767FE7"/>
    <w:rsid w:val="007803E1"/>
    <w:rsid w:val="00781656"/>
    <w:rsid w:val="00786C43"/>
    <w:rsid w:val="00791DB8"/>
    <w:rsid w:val="00794F05"/>
    <w:rsid w:val="007A0CB6"/>
    <w:rsid w:val="007A1F8B"/>
    <w:rsid w:val="007B2902"/>
    <w:rsid w:val="007C00B9"/>
    <w:rsid w:val="007C24BF"/>
    <w:rsid w:val="007C6B9C"/>
    <w:rsid w:val="007D40D4"/>
    <w:rsid w:val="007F452C"/>
    <w:rsid w:val="007F630A"/>
    <w:rsid w:val="007F64C3"/>
    <w:rsid w:val="0080469A"/>
    <w:rsid w:val="00805431"/>
    <w:rsid w:val="00813651"/>
    <w:rsid w:val="00813B93"/>
    <w:rsid w:val="00817B5D"/>
    <w:rsid w:val="00824A8A"/>
    <w:rsid w:val="008304DA"/>
    <w:rsid w:val="008323E1"/>
    <w:rsid w:val="00832CDF"/>
    <w:rsid w:val="008355CB"/>
    <w:rsid w:val="00835F7E"/>
    <w:rsid w:val="00840159"/>
    <w:rsid w:val="00846017"/>
    <w:rsid w:val="0085153B"/>
    <w:rsid w:val="008561F5"/>
    <w:rsid w:val="00863B7D"/>
    <w:rsid w:val="00863CC3"/>
    <w:rsid w:val="00864094"/>
    <w:rsid w:val="00864503"/>
    <w:rsid w:val="00864DA2"/>
    <w:rsid w:val="00867A94"/>
    <w:rsid w:val="00884A4C"/>
    <w:rsid w:val="00884DE7"/>
    <w:rsid w:val="00887D03"/>
    <w:rsid w:val="00892986"/>
    <w:rsid w:val="00893AA4"/>
    <w:rsid w:val="00894E44"/>
    <w:rsid w:val="008968BB"/>
    <w:rsid w:val="008A2EB6"/>
    <w:rsid w:val="008A3B6B"/>
    <w:rsid w:val="008A5BCE"/>
    <w:rsid w:val="008B4C67"/>
    <w:rsid w:val="008B77BE"/>
    <w:rsid w:val="008C030D"/>
    <w:rsid w:val="008C505D"/>
    <w:rsid w:val="008C59D2"/>
    <w:rsid w:val="008C78D1"/>
    <w:rsid w:val="008D1663"/>
    <w:rsid w:val="008D1676"/>
    <w:rsid w:val="008D3271"/>
    <w:rsid w:val="008D7B33"/>
    <w:rsid w:val="008E08F5"/>
    <w:rsid w:val="008E5CD2"/>
    <w:rsid w:val="008F066A"/>
    <w:rsid w:val="008F6D3A"/>
    <w:rsid w:val="008F7105"/>
    <w:rsid w:val="008F7865"/>
    <w:rsid w:val="00900183"/>
    <w:rsid w:val="00900CD4"/>
    <w:rsid w:val="009022E8"/>
    <w:rsid w:val="00902AE3"/>
    <w:rsid w:val="00904668"/>
    <w:rsid w:val="009069D4"/>
    <w:rsid w:val="009135FC"/>
    <w:rsid w:val="009224C6"/>
    <w:rsid w:val="0093062A"/>
    <w:rsid w:val="00931DC7"/>
    <w:rsid w:val="00932451"/>
    <w:rsid w:val="009337BF"/>
    <w:rsid w:val="0093411F"/>
    <w:rsid w:val="00934949"/>
    <w:rsid w:val="00936261"/>
    <w:rsid w:val="0094224D"/>
    <w:rsid w:val="00944A1D"/>
    <w:rsid w:val="00950148"/>
    <w:rsid w:val="00952005"/>
    <w:rsid w:val="009535C5"/>
    <w:rsid w:val="00960DAA"/>
    <w:rsid w:val="0096239C"/>
    <w:rsid w:val="00964AEF"/>
    <w:rsid w:val="00965F63"/>
    <w:rsid w:val="00966C17"/>
    <w:rsid w:val="00971B6F"/>
    <w:rsid w:val="00972B41"/>
    <w:rsid w:val="00981CAC"/>
    <w:rsid w:val="00982669"/>
    <w:rsid w:val="0098663A"/>
    <w:rsid w:val="0099070A"/>
    <w:rsid w:val="009961DE"/>
    <w:rsid w:val="009964A4"/>
    <w:rsid w:val="009964F7"/>
    <w:rsid w:val="00996FFC"/>
    <w:rsid w:val="009A2C67"/>
    <w:rsid w:val="009B5C2C"/>
    <w:rsid w:val="009B6416"/>
    <w:rsid w:val="009B7D3A"/>
    <w:rsid w:val="009C0F19"/>
    <w:rsid w:val="009C170B"/>
    <w:rsid w:val="009C47E7"/>
    <w:rsid w:val="009C5DA4"/>
    <w:rsid w:val="009D02A7"/>
    <w:rsid w:val="009D08E1"/>
    <w:rsid w:val="009D1CF0"/>
    <w:rsid w:val="009D28A7"/>
    <w:rsid w:val="009D3356"/>
    <w:rsid w:val="009D3A76"/>
    <w:rsid w:val="009D4028"/>
    <w:rsid w:val="009D7BA6"/>
    <w:rsid w:val="009E33E2"/>
    <w:rsid w:val="009E43D2"/>
    <w:rsid w:val="009E4E65"/>
    <w:rsid w:val="009F0560"/>
    <w:rsid w:val="009F3A29"/>
    <w:rsid w:val="009F76C7"/>
    <w:rsid w:val="00A004D4"/>
    <w:rsid w:val="00A01A1F"/>
    <w:rsid w:val="00A0315F"/>
    <w:rsid w:val="00A04FB5"/>
    <w:rsid w:val="00A102B7"/>
    <w:rsid w:val="00A121E5"/>
    <w:rsid w:val="00A14397"/>
    <w:rsid w:val="00A1454E"/>
    <w:rsid w:val="00A161A4"/>
    <w:rsid w:val="00A1657A"/>
    <w:rsid w:val="00A21D2D"/>
    <w:rsid w:val="00A24E08"/>
    <w:rsid w:val="00A342EF"/>
    <w:rsid w:val="00A360F7"/>
    <w:rsid w:val="00A361D1"/>
    <w:rsid w:val="00A36AC0"/>
    <w:rsid w:val="00A41D6D"/>
    <w:rsid w:val="00A45F0F"/>
    <w:rsid w:val="00A516A6"/>
    <w:rsid w:val="00A5329B"/>
    <w:rsid w:val="00A544CB"/>
    <w:rsid w:val="00A54D9B"/>
    <w:rsid w:val="00A55E2D"/>
    <w:rsid w:val="00A5642C"/>
    <w:rsid w:val="00A6016F"/>
    <w:rsid w:val="00A625D2"/>
    <w:rsid w:val="00A63322"/>
    <w:rsid w:val="00A64006"/>
    <w:rsid w:val="00A658AF"/>
    <w:rsid w:val="00A65DF6"/>
    <w:rsid w:val="00A679EB"/>
    <w:rsid w:val="00A725B9"/>
    <w:rsid w:val="00A76175"/>
    <w:rsid w:val="00A76C2D"/>
    <w:rsid w:val="00A7730C"/>
    <w:rsid w:val="00A833A9"/>
    <w:rsid w:val="00A85A57"/>
    <w:rsid w:val="00A92ECB"/>
    <w:rsid w:val="00A93CA1"/>
    <w:rsid w:val="00A97055"/>
    <w:rsid w:val="00A9796C"/>
    <w:rsid w:val="00AA219E"/>
    <w:rsid w:val="00AA4FA6"/>
    <w:rsid w:val="00AA5200"/>
    <w:rsid w:val="00AB11C5"/>
    <w:rsid w:val="00AB1CC7"/>
    <w:rsid w:val="00AC5334"/>
    <w:rsid w:val="00AC666E"/>
    <w:rsid w:val="00AD108D"/>
    <w:rsid w:val="00AD533F"/>
    <w:rsid w:val="00AD5A29"/>
    <w:rsid w:val="00AD5CEA"/>
    <w:rsid w:val="00AE37CA"/>
    <w:rsid w:val="00AE4E28"/>
    <w:rsid w:val="00AF3547"/>
    <w:rsid w:val="00B00031"/>
    <w:rsid w:val="00B00182"/>
    <w:rsid w:val="00B01B47"/>
    <w:rsid w:val="00B01EE2"/>
    <w:rsid w:val="00B059E0"/>
    <w:rsid w:val="00B06399"/>
    <w:rsid w:val="00B1559D"/>
    <w:rsid w:val="00B2138D"/>
    <w:rsid w:val="00B21EF3"/>
    <w:rsid w:val="00B22C13"/>
    <w:rsid w:val="00B24638"/>
    <w:rsid w:val="00B316AD"/>
    <w:rsid w:val="00B3212F"/>
    <w:rsid w:val="00B331F9"/>
    <w:rsid w:val="00B371E9"/>
    <w:rsid w:val="00B42FCE"/>
    <w:rsid w:val="00B43197"/>
    <w:rsid w:val="00B43718"/>
    <w:rsid w:val="00B446F3"/>
    <w:rsid w:val="00B45153"/>
    <w:rsid w:val="00B4616E"/>
    <w:rsid w:val="00B473C2"/>
    <w:rsid w:val="00B47AD7"/>
    <w:rsid w:val="00B50630"/>
    <w:rsid w:val="00B52FB1"/>
    <w:rsid w:val="00B5526B"/>
    <w:rsid w:val="00B62623"/>
    <w:rsid w:val="00B63495"/>
    <w:rsid w:val="00B65BFD"/>
    <w:rsid w:val="00B67BE4"/>
    <w:rsid w:val="00B731CF"/>
    <w:rsid w:val="00B74E1F"/>
    <w:rsid w:val="00B776AC"/>
    <w:rsid w:val="00B82923"/>
    <w:rsid w:val="00B90DA8"/>
    <w:rsid w:val="00B91E42"/>
    <w:rsid w:val="00B96941"/>
    <w:rsid w:val="00BA16D2"/>
    <w:rsid w:val="00BA45CD"/>
    <w:rsid w:val="00BB376A"/>
    <w:rsid w:val="00BB57C2"/>
    <w:rsid w:val="00BB5BA4"/>
    <w:rsid w:val="00BC0D80"/>
    <w:rsid w:val="00BC1DC5"/>
    <w:rsid w:val="00BC4F3D"/>
    <w:rsid w:val="00BC6BC5"/>
    <w:rsid w:val="00BD1002"/>
    <w:rsid w:val="00BD5701"/>
    <w:rsid w:val="00BD5ACC"/>
    <w:rsid w:val="00BE1CFE"/>
    <w:rsid w:val="00BE245C"/>
    <w:rsid w:val="00BE2F66"/>
    <w:rsid w:val="00BE4444"/>
    <w:rsid w:val="00BE50B3"/>
    <w:rsid w:val="00BE60BA"/>
    <w:rsid w:val="00BE6539"/>
    <w:rsid w:val="00BE6AE9"/>
    <w:rsid w:val="00BF0C99"/>
    <w:rsid w:val="00BF48B3"/>
    <w:rsid w:val="00BF6334"/>
    <w:rsid w:val="00BF6A7B"/>
    <w:rsid w:val="00C0004C"/>
    <w:rsid w:val="00C0385A"/>
    <w:rsid w:val="00C041E3"/>
    <w:rsid w:val="00C04516"/>
    <w:rsid w:val="00C052E6"/>
    <w:rsid w:val="00C067FB"/>
    <w:rsid w:val="00C1207A"/>
    <w:rsid w:val="00C126FE"/>
    <w:rsid w:val="00C12FF3"/>
    <w:rsid w:val="00C13B45"/>
    <w:rsid w:val="00C15167"/>
    <w:rsid w:val="00C152D0"/>
    <w:rsid w:val="00C15B3D"/>
    <w:rsid w:val="00C2063B"/>
    <w:rsid w:val="00C2242F"/>
    <w:rsid w:val="00C233CF"/>
    <w:rsid w:val="00C23EF9"/>
    <w:rsid w:val="00C25394"/>
    <w:rsid w:val="00C3337B"/>
    <w:rsid w:val="00C37159"/>
    <w:rsid w:val="00C37EAD"/>
    <w:rsid w:val="00C40D87"/>
    <w:rsid w:val="00C42770"/>
    <w:rsid w:val="00C42C3C"/>
    <w:rsid w:val="00C44A3B"/>
    <w:rsid w:val="00C44B74"/>
    <w:rsid w:val="00C467BA"/>
    <w:rsid w:val="00C52308"/>
    <w:rsid w:val="00C53D5B"/>
    <w:rsid w:val="00C63608"/>
    <w:rsid w:val="00C64CEB"/>
    <w:rsid w:val="00C67D62"/>
    <w:rsid w:val="00C70826"/>
    <w:rsid w:val="00C735D0"/>
    <w:rsid w:val="00C74945"/>
    <w:rsid w:val="00C75A5D"/>
    <w:rsid w:val="00C77A60"/>
    <w:rsid w:val="00C8056A"/>
    <w:rsid w:val="00C90CF5"/>
    <w:rsid w:val="00C90D6F"/>
    <w:rsid w:val="00C9490A"/>
    <w:rsid w:val="00C96ADE"/>
    <w:rsid w:val="00C9716E"/>
    <w:rsid w:val="00C97FCE"/>
    <w:rsid w:val="00CA0A43"/>
    <w:rsid w:val="00CA2836"/>
    <w:rsid w:val="00CA6A4F"/>
    <w:rsid w:val="00CB0726"/>
    <w:rsid w:val="00CB0A1F"/>
    <w:rsid w:val="00CB0A3C"/>
    <w:rsid w:val="00CB35A8"/>
    <w:rsid w:val="00CB3DA8"/>
    <w:rsid w:val="00CB3EA8"/>
    <w:rsid w:val="00CB798F"/>
    <w:rsid w:val="00CC301F"/>
    <w:rsid w:val="00CC7C20"/>
    <w:rsid w:val="00CD1C36"/>
    <w:rsid w:val="00CD2852"/>
    <w:rsid w:val="00CD4E84"/>
    <w:rsid w:val="00CD511E"/>
    <w:rsid w:val="00CD549E"/>
    <w:rsid w:val="00CD7D20"/>
    <w:rsid w:val="00CD7F76"/>
    <w:rsid w:val="00CE0D2A"/>
    <w:rsid w:val="00CE11F8"/>
    <w:rsid w:val="00CE5864"/>
    <w:rsid w:val="00CE5C04"/>
    <w:rsid w:val="00CE754E"/>
    <w:rsid w:val="00CF0BB5"/>
    <w:rsid w:val="00D0169E"/>
    <w:rsid w:val="00D049DD"/>
    <w:rsid w:val="00D114B8"/>
    <w:rsid w:val="00D11894"/>
    <w:rsid w:val="00D11F40"/>
    <w:rsid w:val="00D17EE7"/>
    <w:rsid w:val="00D212C5"/>
    <w:rsid w:val="00D27038"/>
    <w:rsid w:val="00D27133"/>
    <w:rsid w:val="00D32B7A"/>
    <w:rsid w:val="00D35B51"/>
    <w:rsid w:val="00D36F6D"/>
    <w:rsid w:val="00D373DF"/>
    <w:rsid w:val="00D42074"/>
    <w:rsid w:val="00D43056"/>
    <w:rsid w:val="00D471A6"/>
    <w:rsid w:val="00D52361"/>
    <w:rsid w:val="00D52C7D"/>
    <w:rsid w:val="00D53223"/>
    <w:rsid w:val="00D53B1F"/>
    <w:rsid w:val="00D549D3"/>
    <w:rsid w:val="00D54A32"/>
    <w:rsid w:val="00D552D4"/>
    <w:rsid w:val="00D56326"/>
    <w:rsid w:val="00D563DB"/>
    <w:rsid w:val="00D622E8"/>
    <w:rsid w:val="00D629FA"/>
    <w:rsid w:val="00D65E59"/>
    <w:rsid w:val="00D65F94"/>
    <w:rsid w:val="00D67273"/>
    <w:rsid w:val="00D674C0"/>
    <w:rsid w:val="00D70E31"/>
    <w:rsid w:val="00D746C4"/>
    <w:rsid w:val="00D934DC"/>
    <w:rsid w:val="00D9384A"/>
    <w:rsid w:val="00D95705"/>
    <w:rsid w:val="00DA1FBB"/>
    <w:rsid w:val="00DA32F4"/>
    <w:rsid w:val="00DA34D6"/>
    <w:rsid w:val="00DA4605"/>
    <w:rsid w:val="00DB0654"/>
    <w:rsid w:val="00DB0B3F"/>
    <w:rsid w:val="00DB1123"/>
    <w:rsid w:val="00DB280C"/>
    <w:rsid w:val="00DB5F0E"/>
    <w:rsid w:val="00DB60FA"/>
    <w:rsid w:val="00DB7F11"/>
    <w:rsid w:val="00DC06F9"/>
    <w:rsid w:val="00DC42C9"/>
    <w:rsid w:val="00DC5B9B"/>
    <w:rsid w:val="00DC5D07"/>
    <w:rsid w:val="00DC6415"/>
    <w:rsid w:val="00DD0E7B"/>
    <w:rsid w:val="00DD0F78"/>
    <w:rsid w:val="00DD5579"/>
    <w:rsid w:val="00DD631A"/>
    <w:rsid w:val="00DE3EF0"/>
    <w:rsid w:val="00DE43AE"/>
    <w:rsid w:val="00DE5265"/>
    <w:rsid w:val="00DE5838"/>
    <w:rsid w:val="00DF484E"/>
    <w:rsid w:val="00DF7FAF"/>
    <w:rsid w:val="00E02C74"/>
    <w:rsid w:val="00E034E8"/>
    <w:rsid w:val="00E04ED7"/>
    <w:rsid w:val="00E141A7"/>
    <w:rsid w:val="00E145E1"/>
    <w:rsid w:val="00E15748"/>
    <w:rsid w:val="00E167FF"/>
    <w:rsid w:val="00E21EB9"/>
    <w:rsid w:val="00E22DF2"/>
    <w:rsid w:val="00E24583"/>
    <w:rsid w:val="00E27D41"/>
    <w:rsid w:val="00E442F6"/>
    <w:rsid w:val="00E44557"/>
    <w:rsid w:val="00E47F41"/>
    <w:rsid w:val="00E50692"/>
    <w:rsid w:val="00E507BD"/>
    <w:rsid w:val="00E50E42"/>
    <w:rsid w:val="00E5139A"/>
    <w:rsid w:val="00E552FC"/>
    <w:rsid w:val="00E56962"/>
    <w:rsid w:val="00E60FB1"/>
    <w:rsid w:val="00E66ABA"/>
    <w:rsid w:val="00E71520"/>
    <w:rsid w:val="00E71E11"/>
    <w:rsid w:val="00E81C8A"/>
    <w:rsid w:val="00E85612"/>
    <w:rsid w:val="00E8694E"/>
    <w:rsid w:val="00E86F51"/>
    <w:rsid w:val="00E8775A"/>
    <w:rsid w:val="00E9220B"/>
    <w:rsid w:val="00E926E4"/>
    <w:rsid w:val="00E931BA"/>
    <w:rsid w:val="00E9598C"/>
    <w:rsid w:val="00EA0AB9"/>
    <w:rsid w:val="00EA3B1A"/>
    <w:rsid w:val="00EA75CA"/>
    <w:rsid w:val="00EB0465"/>
    <w:rsid w:val="00EB0869"/>
    <w:rsid w:val="00EB533D"/>
    <w:rsid w:val="00EC7E16"/>
    <w:rsid w:val="00ED09C4"/>
    <w:rsid w:val="00ED0B8B"/>
    <w:rsid w:val="00ED2121"/>
    <w:rsid w:val="00ED338D"/>
    <w:rsid w:val="00EE2836"/>
    <w:rsid w:val="00EF401D"/>
    <w:rsid w:val="00EF468E"/>
    <w:rsid w:val="00EF593E"/>
    <w:rsid w:val="00F030D9"/>
    <w:rsid w:val="00F125FE"/>
    <w:rsid w:val="00F14361"/>
    <w:rsid w:val="00F1450C"/>
    <w:rsid w:val="00F158C3"/>
    <w:rsid w:val="00F16067"/>
    <w:rsid w:val="00F17BA9"/>
    <w:rsid w:val="00F220CB"/>
    <w:rsid w:val="00F2279C"/>
    <w:rsid w:val="00F32CBE"/>
    <w:rsid w:val="00F3418A"/>
    <w:rsid w:val="00F372DA"/>
    <w:rsid w:val="00F4494E"/>
    <w:rsid w:val="00F479EB"/>
    <w:rsid w:val="00F60DD3"/>
    <w:rsid w:val="00F62D83"/>
    <w:rsid w:val="00F652D3"/>
    <w:rsid w:val="00F67418"/>
    <w:rsid w:val="00F708A2"/>
    <w:rsid w:val="00F7331C"/>
    <w:rsid w:val="00F73328"/>
    <w:rsid w:val="00F740FC"/>
    <w:rsid w:val="00F77223"/>
    <w:rsid w:val="00F77580"/>
    <w:rsid w:val="00F84970"/>
    <w:rsid w:val="00F84CB9"/>
    <w:rsid w:val="00F866D4"/>
    <w:rsid w:val="00F87076"/>
    <w:rsid w:val="00F87470"/>
    <w:rsid w:val="00F87838"/>
    <w:rsid w:val="00F87F25"/>
    <w:rsid w:val="00F96493"/>
    <w:rsid w:val="00F97147"/>
    <w:rsid w:val="00FA31F9"/>
    <w:rsid w:val="00FB66C1"/>
    <w:rsid w:val="00FB71EC"/>
    <w:rsid w:val="00FC2800"/>
    <w:rsid w:val="00FC3206"/>
    <w:rsid w:val="00FC3E69"/>
    <w:rsid w:val="00FD0D1A"/>
    <w:rsid w:val="00FD0EF5"/>
    <w:rsid w:val="00FD174C"/>
    <w:rsid w:val="00FD1A0C"/>
    <w:rsid w:val="00FD7329"/>
    <w:rsid w:val="00FE2C63"/>
    <w:rsid w:val="00FE4FC3"/>
    <w:rsid w:val="00FE79AC"/>
    <w:rsid w:val="00FF016C"/>
    <w:rsid w:val="00FF415A"/>
    <w:rsid w:val="00FF4F84"/>
    <w:rsid w:val="00FF5AE0"/>
  </w:rsids>
  <m:mathPr>
    <m:mathFont m:val="Cambria Math"/>
    <m:brkBin m:val="before"/>
    <m:brkBinSub m:val="--"/>
    <m:smallFrac m:val="0"/>
    <m:dispDef/>
    <m:lMargin m:val="0"/>
    <m:rMargin m:val="0"/>
    <m:defJc m:val="centerGroup"/>
    <m:wrapIndent m:val="1440"/>
    <m:intLim m:val="subSup"/>
    <m:naryLim m:val="undOvr"/>
  </m:mathPr>
  <w:themeFontLang w:val="hr-H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258031F"/>
  <w15:chartTrackingRefBased/>
  <w15:docId w15:val="{380B43BF-65BC-42A7-B584-C844B93FA90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hr-HR"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paragraph" w:styleId="Heading1">
    <w:name w:val="heading 1"/>
    <w:basedOn w:val="Subtitle"/>
    <w:next w:val="BodyText"/>
    <w:link w:val="Heading1Char"/>
    <w:uiPriority w:val="9"/>
    <w:qFormat/>
    <w:rsid w:val="009B5C2C"/>
    <w:pPr>
      <w:keepNext/>
      <w:keepLines/>
      <w:numPr>
        <w:ilvl w:val="0"/>
      </w:numPr>
      <w:spacing w:before="240" w:after="240" w:line="240" w:lineRule="auto"/>
      <w:ind w:left="851" w:hanging="851"/>
      <w:outlineLvl w:val="0"/>
    </w:pPr>
    <w:rPr>
      <w:rFonts w:asciiTheme="majorHAnsi" w:eastAsiaTheme="majorEastAsia" w:hAnsiTheme="majorHAnsi" w:cstheme="majorBidi"/>
      <w:b/>
      <w:bCs/>
      <w:color w:val="2C6EAB" w:themeColor="accent1" w:themeShade="B5"/>
      <w:spacing w:val="0"/>
      <w:sz w:val="26"/>
      <w:szCs w:val="26"/>
      <w:lang w:val="en-US"/>
    </w:rPr>
  </w:style>
  <w:style w:type="paragraph" w:styleId="Heading2">
    <w:name w:val="heading 2"/>
    <w:basedOn w:val="Heading1"/>
    <w:next w:val="BodyText"/>
    <w:link w:val="Heading2Char"/>
    <w:uiPriority w:val="9"/>
    <w:unhideWhenUsed/>
    <w:qFormat/>
    <w:rsid w:val="009B5C2C"/>
    <w:pPr>
      <w:numPr>
        <w:ilvl w:val="2"/>
        <w:numId w:val="7"/>
      </w:numPr>
      <w:ind w:left="851" w:hanging="851"/>
      <w:outlineLvl w:val="1"/>
    </w:p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39"/>
    <w:rsid w:val="00C53D5B"/>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ListParagraph">
    <w:name w:val="List Paragraph"/>
    <w:basedOn w:val="Normal"/>
    <w:uiPriority w:val="34"/>
    <w:qFormat/>
    <w:rsid w:val="0021182D"/>
    <w:pPr>
      <w:ind w:left="720"/>
      <w:contextualSpacing/>
    </w:pPr>
  </w:style>
  <w:style w:type="character" w:styleId="CommentReference">
    <w:name w:val="annotation reference"/>
    <w:basedOn w:val="DefaultParagraphFont"/>
    <w:uiPriority w:val="99"/>
    <w:semiHidden/>
    <w:unhideWhenUsed/>
    <w:rsid w:val="003F41B4"/>
    <w:rPr>
      <w:sz w:val="16"/>
      <w:szCs w:val="16"/>
    </w:rPr>
  </w:style>
  <w:style w:type="paragraph" w:styleId="CommentText">
    <w:name w:val="annotation text"/>
    <w:basedOn w:val="Normal"/>
    <w:link w:val="CommentTextChar"/>
    <w:uiPriority w:val="99"/>
    <w:semiHidden/>
    <w:unhideWhenUsed/>
    <w:rsid w:val="003F41B4"/>
    <w:pPr>
      <w:spacing w:line="240" w:lineRule="auto"/>
    </w:pPr>
    <w:rPr>
      <w:sz w:val="20"/>
      <w:szCs w:val="20"/>
    </w:rPr>
  </w:style>
  <w:style w:type="character" w:customStyle="1" w:styleId="CommentTextChar">
    <w:name w:val="Comment Text Char"/>
    <w:basedOn w:val="DefaultParagraphFont"/>
    <w:link w:val="CommentText"/>
    <w:uiPriority w:val="99"/>
    <w:semiHidden/>
    <w:rsid w:val="003F41B4"/>
    <w:rPr>
      <w:sz w:val="20"/>
      <w:szCs w:val="20"/>
    </w:rPr>
  </w:style>
  <w:style w:type="paragraph" w:styleId="CommentSubject">
    <w:name w:val="annotation subject"/>
    <w:basedOn w:val="CommentText"/>
    <w:next w:val="CommentText"/>
    <w:link w:val="CommentSubjectChar"/>
    <w:uiPriority w:val="99"/>
    <w:semiHidden/>
    <w:unhideWhenUsed/>
    <w:rsid w:val="003F41B4"/>
    <w:rPr>
      <w:b/>
      <w:bCs/>
    </w:rPr>
  </w:style>
  <w:style w:type="character" w:customStyle="1" w:styleId="CommentSubjectChar">
    <w:name w:val="Comment Subject Char"/>
    <w:basedOn w:val="CommentTextChar"/>
    <w:link w:val="CommentSubject"/>
    <w:uiPriority w:val="99"/>
    <w:semiHidden/>
    <w:rsid w:val="003F41B4"/>
    <w:rPr>
      <w:b/>
      <w:bCs/>
      <w:sz w:val="20"/>
      <w:szCs w:val="20"/>
    </w:rPr>
  </w:style>
  <w:style w:type="paragraph" w:styleId="BalloonText">
    <w:name w:val="Balloon Text"/>
    <w:basedOn w:val="Normal"/>
    <w:link w:val="BalloonTextChar"/>
    <w:uiPriority w:val="99"/>
    <w:semiHidden/>
    <w:unhideWhenUsed/>
    <w:rsid w:val="003F41B4"/>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3F41B4"/>
    <w:rPr>
      <w:rFonts w:ascii="Segoe UI" w:hAnsi="Segoe UI" w:cs="Segoe UI"/>
      <w:sz w:val="18"/>
      <w:szCs w:val="18"/>
    </w:rPr>
  </w:style>
  <w:style w:type="character" w:styleId="Hyperlink">
    <w:name w:val="Hyperlink"/>
    <w:basedOn w:val="DefaultParagraphFont"/>
    <w:uiPriority w:val="99"/>
    <w:unhideWhenUsed/>
    <w:rsid w:val="00335072"/>
    <w:rPr>
      <w:color w:val="0563C1" w:themeColor="hyperlink"/>
      <w:u w:val="single"/>
    </w:rPr>
  </w:style>
  <w:style w:type="paragraph" w:styleId="Header">
    <w:name w:val="header"/>
    <w:basedOn w:val="Normal"/>
    <w:link w:val="HeaderChar"/>
    <w:uiPriority w:val="99"/>
    <w:unhideWhenUsed/>
    <w:rsid w:val="0043388D"/>
    <w:pPr>
      <w:tabs>
        <w:tab w:val="center" w:pos="4703"/>
        <w:tab w:val="right" w:pos="9406"/>
      </w:tabs>
      <w:spacing w:after="0" w:line="240" w:lineRule="auto"/>
    </w:pPr>
  </w:style>
  <w:style w:type="character" w:customStyle="1" w:styleId="HeaderChar">
    <w:name w:val="Header Char"/>
    <w:basedOn w:val="DefaultParagraphFont"/>
    <w:link w:val="Header"/>
    <w:uiPriority w:val="99"/>
    <w:rsid w:val="0043388D"/>
  </w:style>
  <w:style w:type="paragraph" w:styleId="Footer">
    <w:name w:val="footer"/>
    <w:basedOn w:val="Normal"/>
    <w:link w:val="FooterChar"/>
    <w:uiPriority w:val="99"/>
    <w:unhideWhenUsed/>
    <w:rsid w:val="0043388D"/>
    <w:pPr>
      <w:tabs>
        <w:tab w:val="center" w:pos="4703"/>
        <w:tab w:val="right" w:pos="9406"/>
      </w:tabs>
      <w:spacing w:after="0" w:line="240" w:lineRule="auto"/>
    </w:pPr>
  </w:style>
  <w:style w:type="character" w:customStyle="1" w:styleId="FooterChar">
    <w:name w:val="Footer Char"/>
    <w:basedOn w:val="DefaultParagraphFont"/>
    <w:link w:val="Footer"/>
    <w:uiPriority w:val="99"/>
    <w:rsid w:val="0043388D"/>
  </w:style>
  <w:style w:type="character" w:customStyle="1" w:styleId="Heading1Char">
    <w:name w:val="Heading 1 Char"/>
    <w:basedOn w:val="DefaultParagraphFont"/>
    <w:link w:val="Heading1"/>
    <w:uiPriority w:val="9"/>
    <w:rsid w:val="009B5C2C"/>
    <w:rPr>
      <w:rFonts w:asciiTheme="majorHAnsi" w:eastAsiaTheme="majorEastAsia" w:hAnsiTheme="majorHAnsi" w:cstheme="majorBidi"/>
      <w:b/>
      <w:bCs/>
      <w:color w:val="2C6EAB" w:themeColor="accent1" w:themeShade="B5"/>
      <w:sz w:val="26"/>
      <w:szCs w:val="26"/>
      <w:lang w:val="en-US"/>
    </w:rPr>
  </w:style>
  <w:style w:type="character" w:customStyle="1" w:styleId="Heading2Char">
    <w:name w:val="Heading 2 Char"/>
    <w:basedOn w:val="DefaultParagraphFont"/>
    <w:link w:val="Heading2"/>
    <w:uiPriority w:val="9"/>
    <w:rsid w:val="009B5C2C"/>
    <w:rPr>
      <w:rFonts w:asciiTheme="majorHAnsi" w:eastAsiaTheme="majorEastAsia" w:hAnsiTheme="majorHAnsi" w:cstheme="majorBidi"/>
      <w:b/>
      <w:bCs/>
      <w:color w:val="2C6EAB" w:themeColor="accent1" w:themeShade="B5"/>
      <w:sz w:val="26"/>
      <w:szCs w:val="26"/>
      <w:lang w:val="en-US"/>
    </w:rPr>
  </w:style>
  <w:style w:type="paragraph" w:styleId="BodyText">
    <w:name w:val="Body Text"/>
    <w:basedOn w:val="Normal"/>
    <w:link w:val="BodyTextChar"/>
    <w:qFormat/>
    <w:rsid w:val="009B5C2C"/>
    <w:pPr>
      <w:spacing w:before="180" w:after="180" w:line="240" w:lineRule="auto"/>
      <w:jc w:val="both"/>
    </w:pPr>
    <w:rPr>
      <w:lang w:val="en-US"/>
    </w:rPr>
  </w:style>
  <w:style w:type="character" w:customStyle="1" w:styleId="BodyTextChar">
    <w:name w:val="Body Text Char"/>
    <w:basedOn w:val="DefaultParagraphFont"/>
    <w:link w:val="BodyText"/>
    <w:rsid w:val="009B5C2C"/>
    <w:rPr>
      <w:lang w:val="en-US"/>
    </w:rPr>
  </w:style>
  <w:style w:type="paragraph" w:styleId="Subtitle">
    <w:name w:val="Subtitle"/>
    <w:basedOn w:val="Normal"/>
    <w:next w:val="Normal"/>
    <w:link w:val="SubtitleChar"/>
    <w:uiPriority w:val="11"/>
    <w:qFormat/>
    <w:rsid w:val="009B5C2C"/>
    <w:pPr>
      <w:numPr>
        <w:ilvl w:val="1"/>
      </w:numPr>
    </w:pPr>
    <w:rPr>
      <w:rFonts w:eastAsiaTheme="minorEastAsia"/>
      <w:color w:val="5A5A5A" w:themeColor="text1" w:themeTint="A5"/>
      <w:spacing w:val="15"/>
    </w:rPr>
  </w:style>
  <w:style w:type="character" w:customStyle="1" w:styleId="SubtitleChar">
    <w:name w:val="Subtitle Char"/>
    <w:basedOn w:val="DefaultParagraphFont"/>
    <w:link w:val="Subtitle"/>
    <w:uiPriority w:val="11"/>
    <w:rsid w:val="009B5C2C"/>
    <w:rPr>
      <w:rFonts w:eastAsiaTheme="minorEastAsia"/>
      <w:color w:val="5A5A5A" w:themeColor="text1" w:themeTint="A5"/>
      <w:spacing w:val="15"/>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63992734">
      <w:bodyDiv w:val="1"/>
      <w:marLeft w:val="0"/>
      <w:marRight w:val="0"/>
      <w:marTop w:val="0"/>
      <w:marBottom w:val="0"/>
      <w:divBdr>
        <w:top w:val="none" w:sz="0" w:space="0" w:color="auto"/>
        <w:left w:val="none" w:sz="0" w:space="0" w:color="auto"/>
        <w:bottom w:val="none" w:sz="0" w:space="0" w:color="auto"/>
        <w:right w:val="none" w:sz="0" w:space="0" w:color="auto"/>
      </w:divBdr>
    </w:div>
    <w:div w:id="204951116">
      <w:bodyDiv w:val="1"/>
      <w:marLeft w:val="0"/>
      <w:marRight w:val="0"/>
      <w:marTop w:val="0"/>
      <w:marBottom w:val="0"/>
      <w:divBdr>
        <w:top w:val="none" w:sz="0" w:space="0" w:color="auto"/>
        <w:left w:val="none" w:sz="0" w:space="0" w:color="auto"/>
        <w:bottom w:val="none" w:sz="0" w:space="0" w:color="auto"/>
        <w:right w:val="none" w:sz="0" w:space="0" w:color="auto"/>
      </w:divBdr>
      <w:divsChild>
        <w:div w:id="304435580">
          <w:marLeft w:val="0"/>
          <w:marRight w:val="0"/>
          <w:marTop w:val="0"/>
          <w:marBottom w:val="0"/>
          <w:divBdr>
            <w:top w:val="none" w:sz="0" w:space="0" w:color="auto"/>
            <w:left w:val="none" w:sz="0" w:space="0" w:color="auto"/>
            <w:bottom w:val="none" w:sz="0" w:space="0" w:color="auto"/>
            <w:right w:val="none" w:sz="0" w:space="0" w:color="auto"/>
          </w:divBdr>
          <w:divsChild>
            <w:div w:id="1105152733">
              <w:marLeft w:val="0"/>
              <w:marRight w:val="0"/>
              <w:marTop w:val="0"/>
              <w:marBottom w:val="0"/>
              <w:divBdr>
                <w:top w:val="none" w:sz="0" w:space="0" w:color="auto"/>
                <w:left w:val="none" w:sz="0" w:space="0" w:color="auto"/>
                <w:bottom w:val="none" w:sz="0" w:space="0" w:color="auto"/>
                <w:right w:val="none" w:sz="0" w:space="0" w:color="auto"/>
              </w:divBdr>
              <w:divsChild>
                <w:div w:id="668018559">
                  <w:marLeft w:val="0"/>
                  <w:marRight w:val="0"/>
                  <w:marTop w:val="0"/>
                  <w:marBottom w:val="0"/>
                  <w:divBdr>
                    <w:top w:val="none" w:sz="0" w:space="0" w:color="auto"/>
                    <w:left w:val="none" w:sz="0" w:space="0" w:color="auto"/>
                    <w:bottom w:val="none" w:sz="0" w:space="0" w:color="auto"/>
                    <w:right w:val="none" w:sz="0" w:space="0" w:color="auto"/>
                  </w:divBdr>
                  <w:divsChild>
                    <w:div w:id="87300639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849757699">
          <w:marLeft w:val="0"/>
          <w:marRight w:val="0"/>
          <w:marTop w:val="0"/>
          <w:marBottom w:val="0"/>
          <w:divBdr>
            <w:top w:val="none" w:sz="0" w:space="0" w:color="auto"/>
            <w:left w:val="none" w:sz="0" w:space="0" w:color="auto"/>
            <w:bottom w:val="none" w:sz="0" w:space="0" w:color="auto"/>
            <w:right w:val="none" w:sz="0" w:space="0" w:color="auto"/>
          </w:divBdr>
          <w:divsChild>
            <w:div w:id="360055259">
              <w:marLeft w:val="0"/>
              <w:marRight w:val="0"/>
              <w:marTop w:val="0"/>
              <w:marBottom w:val="0"/>
              <w:divBdr>
                <w:top w:val="none" w:sz="0" w:space="0" w:color="auto"/>
                <w:left w:val="none" w:sz="0" w:space="0" w:color="auto"/>
                <w:bottom w:val="none" w:sz="0" w:space="0" w:color="auto"/>
                <w:right w:val="none" w:sz="0" w:space="0" w:color="auto"/>
              </w:divBdr>
              <w:divsChild>
                <w:div w:id="5013565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735011092">
      <w:bodyDiv w:val="1"/>
      <w:marLeft w:val="0"/>
      <w:marRight w:val="0"/>
      <w:marTop w:val="0"/>
      <w:marBottom w:val="0"/>
      <w:divBdr>
        <w:top w:val="none" w:sz="0" w:space="0" w:color="auto"/>
        <w:left w:val="none" w:sz="0" w:space="0" w:color="auto"/>
        <w:bottom w:val="none" w:sz="0" w:space="0" w:color="auto"/>
        <w:right w:val="none" w:sz="0" w:space="0" w:color="auto"/>
      </w:divBdr>
      <w:divsChild>
        <w:div w:id="2012947691">
          <w:marLeft w:val="0"/>
          <w:marRight w:val="0"/>
          <w:marTop w:val="0"/>
          <w:marBottom w:val="0"/>
          <w:divBdr>
            <w:top w:val="none" w:sz="0" w:space="0" w:color="auto"/>
            <w:left w:val="none" w:sz="0" w:space="0" w:color="auto"/>
            <w:bottom w:val="none" w:sz="0" w:space="0" w:color="auto"/>
            <w:right w:val="none" w:sz="0" w:space="0" w:color="auto"/>
          </w:divBdr>
          <w:divsChild>
            <w:div w:id="1517039889">
              <w:marLeft w:val="0"/>
              <w:marRight w:val="0"/>
              <w:marTop w:val="0"/>
              <w:marBottom w:val="0"/>
              <w:divBdr>
                <w:top w:val="none" w:sz="0" w:space="0" w:color="auto"/>
                <w:left w:val="none" w:sz="0" w:space="0" w:color="auto"/>
                <w:bottom w:val="none" w:sz="0" w:space="0" w:color="auto"/>
                <w:right w:val="none" w:sz="0" w:space="0" w:color="auto"/>
              </w:divBdr>
              <w:divsChild>
                <w:div w:id="936717147">
                  <w:marLeft w:val="0"/>
                  <w:marRight w:val="0"/>
                  <w:marTop w:val="0"/>
                  <w:marBottom w:val="0"/>
                  <w:divBdr>
                    <w:top w:val="none" w:sz="0" w:space="0" w:color="auto"/>
                    <w:left w:val="none" w:sz="0" w:space="0" w:color="auto"/>
                    <w:bottom w:val="none" w:sz="0" w:space="0" w:color="auto"/>
                    <w:right w:val="none" w:sz="0" w:space="0" w:color="auto"/>
                  </w:divBdr>
                  <w:divsChild>
                    <w:div w:id="116165733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570650711">
          <w:marLeft w:val="0"/>
          <w:marRight w:val="0"/>
          <w:marTop w:val="0"/>
          <w:marBottom w:val="0"/>
          <w:divBdr>
            <w:top w:val="none" w:sz="0" w:space="0" w:color="auto"/>
            <w:left w:val="none" w:sz="0" w:space="0" w:color="auto"/>
            <w:bottom w:val="none" w:sz="0" w:space="0" w:color="auto"/>
            <w:right w:val="none" w:sz="0" w:space="0" w:color="auto"/>
          </w:divBdr>
          <w:divsChild>
            <w:div w:id="40784697">
              <w:marLeft w:val="0"/>
              <w:marRight w:val="0"/>
              <w:marTop w:val="0"/>
              <w:marBottom w:val="0"/>
              <w:divBdr>
                <w:top w:val="none" w:sz="0" w:space="0" w:color="auto"/>
                <w:left w:val="none" w:sz="0" w:space="0" w:color="auto"/>
                <w:bottom w:val="none" w:sz="0" w:space="0" w:color="auto"/>
                <w:right w:val="none" w:sz="0" w:space="0" w:color="auto"/>
              </w:divBdr>
              <w:divsChild>
                <w:div w:id="160314703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11801895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jpeg"/><Relationship Id="rId13" Type="http://schemas.openxmlformats.org/officeDocument/2006/relationships/image" Target="media/image3.tiff"/><Relationship Id="rId18" Type="http://schemas.openxmlformats.org/officeDocument/2006/relationships/theme" Target="theme/theme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yperlink" Target="https://dhaine.github.io/episensr" TargetMode="External"/><Relationship Id="rId17" Type="http://schemas.openxmlformats.org/officeDocument/2006/relationships/fontTable" Target="fontTable.xml"/><Relationship Id="rId2" Type="http://schemas.openxmlformats.org/officeDocument/2006/relationships/numbering" Target="numbering.xml"/><Relationship Id="rId16" Type="http://schemas.openxmlformats.org/officeDocument/2006/relationships/footer" Target="footer1.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https://doi.org/10.18637/jss.v042.i08" TargetMode="External"/><Relationship Id="rId5" Type="http://schemas.openxmlformats.org/officeDocument/2006/relationships/webSettings" Target="webSettings.xml"/><Relationship Id="rId15" Type="http://schemas.openxmlformats.org/officeDocument/2006/relationships/image" Target="media/image5.tiff"/><Relationship Id="rId10" Type="http://schemas.openxmlformats.org/officeDocument/2006/relationships/hyperlink" Target="https://www.straighthealthcare.com/organic-anion-transporting-polypeptide.html" TargetMode="External"/><Relationship Id="rId4" Type="http://schemas.openxmlformats.org/officeDocument/2006/relationships/settings" Target="settings.xml"/><Relationship Id="rId9" Type="http://schemas.openxmlformats.org/officeDocument/2006/relationships/image" Target="media/image2.tiff"/><Relationship Id="rId14" Type="http://schemas.openxmlformats.org/officeDocument/2006/relationships/image" Target="media/image4.tiff"/></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830290E3-7A09-4FF1-BFA3-9667D736C480}">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4280</TotalTime>
  <Pages>20</Pages>
  <Words>6979</Words>
  <Characters>39781</Characters>
  <Application>Microsoft Office Word</Application>
  <DocSecurity>0</DocSecurity>
  <Lines>331</Lines>
  <Paragraphs>93</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46667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Vladimir Trkulja</dc:creator>
  <cp:keywords/>
  <dc:description/>
  <cp:lastModifiedBy>Vladimir Trkulja</cp:lastModifiedBy>
  <cp:revision>150</cp:revision>
  <dcterms:created xsi:type="dcterms:W3CDTF">2022-08-26T10:26:00Z</dcterms:created>
  <dcterms:modified xsi:type="dcterms:W3CDTF">2022-09-09T05:12:00Z</dcterms:modified>
</cp:coreProperties>
</file>