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58D6D" w14:textId="219E56F0" w:rsidR="003627CD" w:rsidRPr="003627CD" w:rsidRDefault="003627C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627CD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="0079422D">
        <w:rPr>
          <w:rFonts w:ascii="Times New Roman" w:hAnsi="Times New Roman" w:cs="Times New Roman"/>
          <w:sz w:val="24"/>
          <w:szCs w:val="24"/>
        </w:rPr>
        <w:t xml:space="preserve"> 1</w:t>
      </w:r>
      <w:r w:rsidR="009D437D">
        <w:rPr>
          <w:rFonts w:ascii="Times New Roman" w:hAnsi="Times New Roman" w:cs="Times New Roman"/>
          <w:sz w:val="24"/>
          <w:szCs w:val="24"/>
        </w:rPr>
        <w:t>.</w:t>
      </w:r>
      <w:r w:rsidR="0064618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646187" w:rsidRPr="00646187">
        <w:rPr>
          <w:rFonts w:ascii="Times New Roman" w:hAnsi="Times New Roman" w:cs="Times New Roman"/>
          <w:b/>
          <w:bCs/>
          <w:sz w:val="24"/>
          <w:szCs w:val="24"/>
        </w:rPr>
        <w:t>M/F DISTRIBUTION IN GROUP 1</w:t>
      </w:r>
    </w:p>
    <w:p w14:paraId="68595AD5" w14:textId="38C3DD0D" w:rsidR="004A3215" w:rsidRDefault="004A3215">
      <w:r w:rsidRPr="00CD20CF"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42D477FB" wp14:editId="39F9F836">
            <wp:extent cx="6120130" cy="2503516"/>
            <wp:effectExtent l="0" t="0" r="13970" b="11430"/>
            <wp:docPr id="3" name="Grafico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30ACCE4" w14:textId="57AAF0C1" w:rsidR="00994454" w:rsidRDefault="00994454"/>
    <w:p w14:paraId="53E2F234" w14:textId="77777777" w:rsidR="00171968" w:rsidRDefault="00171968"/>
    <w:p w14:paraId="7273B7A6" w14:textId="76EAA461" w:rsidR="00994454" w:rsidRPr="00BA6FBD" w:rsidRDefault="00994454" w:rsidP="0099445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340EE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A6FBD">
        <w:rPr>
          <w:rFonts w:ascii="Times New Roman" w:hAnsi="Times New Roman" w:cs="Times New Roman"/>
          <w:sz w:val="24"/>
          <w:szCs w:val="24"/>
          <w:lang w:val="en-GB"/>
        </w:rPr>
        <w:t xml:space="preserve">Sex distribution </w:t>
      </w:r>
      <w:r>
        <w:rPr>
          <w:rFonts w:ascii="Times New Roman" w:hAnsi="Times New Roman" w:cs="Times New Roman"/>
          <w:sz w:val="24"/>
          <w:szCs w:val="24"/>
          <w:lang w:val="en-GB"/>
        </w:rPr>
        <w:t>related</w:t>
      </w:r>
      <w:r w:rsidRPr="00BA6FBD">
        <w:rPr>
          <w:rFonts w:ascii="Times New Roman" w:hAnsi="Times New Roman" w:cs="Times New Roman"/>
          <w:sz w:val="24"/>
          <w:szCs w:val="24"/>
          <w:lang w:val="en-GB"/>
        </w:rPr>
        <w:t xml:space="preserve"> to prevalence of autoimmune disorders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Pr="00BA6FBD">
        <w:rPr>
          <w:rFonts w:ascii="Times New Roman" w:hAnsi="Times New Roman" w:cs="Times New Roman"/>
          <w:sz w:val="24"/>
          <w:szCs w:val="24"/>
          <w:lang w:val="en-GB"/>
        </w:rPr>
        <w:t>group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1</w:t>
      </w:r>
      <w:r w:rsidRPr="00BA6FB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D6DBF02" w14:textId="77777777" w:rsidR="00994454" w:rsidRDefault="00994454"/>
    <w:p w14:paraId="1E2E5AAE" w14:textId="5253E2DC" w:rsidR="00994454" w:rsidRDefault="00994454"/>
    <w:p w14:paraId="7732E5EA" w14:textId="76AB3399" w:rsidR="00171968" w:rsidRDefault="00171968"/>
    <w:p w14:paraId="20E75C83" w14:textId="66D4BEAA" w:rsidR="00171968" w:rsidRDefault="00171968"/>
    <w:p w14:paraId="0AA37EFD" w14:textId="3D4B73B9" w:rsidR="00171968" w:rsidRDefault="00171968"/>
    <w:p w14:paraId="12A34272" w14:textId="1C38D8C5" w:rsidR="00171968" w:rsidRDefault="00171968"/>
    <w:p w14:paraId="4BE0D0BD" w14:textId="0AB4ADF7" w:rsidR="00171968" w:rsidRDefault="00171968"/>
    <w:p w14:paraId="5082A543" w14:textId="3F0ACE96" w:rsidR="00171968" w:rsidRDefault="00171968"/>
    <w:p w14:paraId="1CA422C4" w14:textId="5FD67D9C" w:rsidR="00171968" w:rsidRDefault="00171968"/>
    <w:p w14:paraId="429DC3A8" w14:textId="3967D2C8" w:rsidR="00171968" w:rsidRDefault="00171968"/>
    <w:p w14:paraId="5F0E18D2" w14:textId="3ADB2C25" w:rsidR="00171968" w:rsidRDefault="00171968"/>
    <w:p w14:paraId="05396AF3" w14:textId="06C8A826" w:rsidR="00171968" w:rsidRDefault="00171968"/>
    <w:p w14:paraId="5AE7724D" w14:textId="7C18CC29" w:rsidR="00171968" w:rsidRDefault="00171968"/>
    <w:p w14:paraId="5E5D3914" w14:textId="39639B98" w:rsidR="00171968" w:rsidRDefault="00171968"/>
    <w:p w14:paraId="3D54DC34" w14:textId="7B908364" w:rsidR="00171968" w:rsidRDefault="00171968"/>
    <w:p w14:paraId="720D7E9F" w14:textId="0ABF9E2A" w:rsidR="00171968" w:rsidRDefault="00171968"/>
    <w:p w14:paraId="7423633B" w14:textId="0CA2D48F" w:rsidR="00171968" w:rsidRDefault="00171968"/>
    <w:p w14:paraId="5DC12AD1" w14:textId="77777777" w:rsidR="00171968" w:rsidRDefault="00171968"/>
    <w:p w14:paraId="13CDFC5E" w14:textId="2BCD0216" w:rsidR="004A3215" w:rsidRPr="00994454" w:rsidRDefault="0099445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94454">
        <w:rPr>
          <w:rFonts w:ascii="Times New Roman" w:hAnsi="Times New Roman" w:cs="Times New Roman"/>
          <w:sz w:val="24"/>
          <w:szCs w:val="24"/>
        </w:rPr>
        <w:lastRenderedPageBreak/>
        <w:t>Table</w:t>
      </w:r>
      <w:proofErr w:type="spellEnd"/>
      <w:r w:rsidRPr="00994454">
        <w:rPr>
          <w:rFonts w:ascii="Times New Roman" w:hAnsi="Times New Roman" w:cs="Times New Roman"/>
          <w:sz w:val="24"/>
          <w:szCs w:val="24"/>
        </w:rPr>
        <w:t xml:space="preserve"> 2.</w:t>
      </w:r>
      <w:r w:rsidR="00E002F4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E002F4" w:rsidRPr="00E002F4">
        <w:rPr>
          <w:rFonts w:ascii="Times New Roman" w:hAnsi="Times New Roman" w:cs="Times New Roman"/>
          <w:b/>
          <w:bCs/>
          <w:sz w:val="24"/>
          <w:szCs w:val="24"/>
        </w:rPr>
        <w:t>M/F DISTRIBUTION IN GROUP 2</w:t>
      </w:r>
    </w:p>
    <w:p w14:paraId="12A79F5A" w14:textId="7BD72B22" w:rsidR="004A3215" w:rsidRDefault="004A3215">
      <w:r w:rsidRPr="00CD20CF"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29CF761D" wp14:editId="184E4D79">
            <wp:extent cx="6120130" cy="2273155"/>
            <wp:effectExtent l="0" t="0" r="13970" b="13335"/>
            <wp:docPr id="4" name="Grafico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89EAB92" w14:textId="0776D38B" w:rsidR="004A3215" w:rsidRDefault="004A3215"/>
    <w:p w14:paraId="749E2DB2" w14:textId="734BFA53" w:rsidR="009D437D" w:rsidRDefault="009D437D"/>
    <w:p w14:paraId="44CF3B50" w14:textId="26A48DC8" w:rsidR="009D437D" w:rsidRPr="00BA6FBD" w:rsidRDefault="0011062A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A1165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A6FBD" w:rsidRPr="00BA6FBD">
        <w:rPr>
          <w:rFonts w:ascii="Times New Roman" w:hAnsi="Times New Roman" w:cs="Times New Roman"/>
          <w:sz w:val="24"/>
          <w:szCs w:val="24"/>
          <w:lang w:val="en-GB"/>
        </w:rPr>
        <w:t xml:space="preserve">Sex distribution </w:t>
      </w:r>
      <w:r w:rsidR="00BA6FBD">
        <w:rPr>
          <w:rFonts w:ascii="Times New Roman" w:hAnsi="Times New Roman" w:cs="Times New Roman"/>
          <w:sz w:val="24"/>
          <w:szCs w:val="24"/>
          <w:lang w:val="en-GB"/>
        </w:rPr>
        <w:t>related</w:t>
      </w:r>
      <w:r w:rsidR="00BA6FBD" w:rsidRPr="00BA6FBD">
        <w:rPr>
          <w:rFonts w:ascii="Times New Roman" w:hAnsi="Times New Roman" w:cs="Times New Roman"/>
          <w:sz w:val="24"/>
          <w:szCs w:val="24"/>
          <w:lang w:val="en-GB"/>
        </w:rPr>
        <w:t xml:space="preserve"> to prevalence of autoimmune disorders </w:t>
      </w:r>
      <w:r w:rsidR="00994454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BA6FBD" w:rsidRPr="00BA6FBD">
        <w:rPr>
          <w:rFonts w:ascii="Times New Roman" w:hAnsi="Times New Roman" w:cs="Times New Roman"/>
          <w:sz w:val="24"/>
          <w:szCs w:val="24"/>
          <w:lang w:val="en-GB"/>
        </w:rPr>
        <w:t>group</w:t>
      </w:r>
      <w:r w:rsidR="00994454">
        <w:rPr>
          <w:rFonts w:ascii="Times New Roman" w:hAnsi="Times New Roman" w:cs="Times New Roman"/>
          <w:sz w:val="24"/>
          <w:szCs w:val="24"/>
          <w:lang w:val="en-GB"/>
        </w:rPr>
        <w:t xml:space="preserve"> 2</w:t>
      </w:r>
      <w:r w:rsidR="00BA6FBD" w:rsidRPr="00BA6FB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2B99D379" w14:textId="47529635" w:rsidR="009D437D" w:rsidRDefault="009D437D"/>
    <w:p w14:paraId="46595382" w14:textId="6BE57D69" w:rsidR="009D437D" w:rsidRDefault="009D437D"/>
    <w:p w14:paraId="5E092785" w14:textId="203DF541" w:rsidR="009D437D" w:rsidRDefault="009D437D"/>
    <w:p w14:paraId="03F69396" w14:textId="77777777" w:rsidR="009D437D" w:rsidRDefault="009D437D"/>
    <w:p w14:paraId="03AB0110" w14:textId="4472A9C7" w:rsidR="009D437D" w:rsidRDefault="009D437D"/>
    <w:p w14:paraId="7DE81EEA" w14:textId="4CF6FF3A" w:rsidR="00171968" w:rsidRDefault="00171968"/>
    <w:p w14:paraId="3AAA369A" w14:textId="2EFD8651" w:rsidR="00171968" w:rsidRDefault="00171968"/>
    <w:p w14:paraId="4F169922" w14:textId="30FD80AC" w:rsidR="00171968" w:rsidRDefault="00171968"/>
    <w:p w14:paraId="083E1FBA" w14:textId="56948EF5" w:rsidR="00171968" w:rsidRDefault="00171968"/>
    <w:p w14:paraId="1C3D3096" w14:textId="727DAD53" w:rsidR="00171968" w:rsidRDefault="00171968"/>
    <w:p w14:paraId="5A6F4A41" w14:textId="7A807840" w:rsidR="00171968" w:rsidRDefault="00171968"/>
    <w:p w14:paraId="2D922AE2" w14:textId="5B83EEDA" w:rsidR="00171968" w:rsidRDefault="00171968"/>
    <w:p w14:paraId="6F6EF75C" w14:textId="0F148048" w:rsidR="00171968" w:rsidRDefault="00171968"/>
    <w:p w14:paraId="208A0760" w14:textId="6A49B0B5" w:rsidR="00171968" w:rsidRDefault="00171968"/>
    <w:p w14:paraId="280D10DB" w14:textId="184C7A20" w:rsidR="00171968" w:rsidRDefault="00171968"/>
    <w:p w14:paraId="48F5EBED" w14:textId="1D68B5D2" w:rsidR="00171968" w:rsidRDefault="00171968"/>
    <w:p w14:paraId="55140125" w14:textId="7B7CC9B2" w:rsidR="00171968" w:rsidRDefault="00171968"/>
    <w:p w14:paraId="7D52A905" w14:textId="77777777" w:rsidR="00171968" w:rsidRDefault="00171968"/>
    <w:p w14:paraId="7F432B06" w14:textId="77777777" w:rsidR="00171968" w:rsidRDefault="00171968"/>
    <w:p w14:paraId="49BF9606" w14:textId="0FAC56A8" w:rsidR="009D437D" w:rsidRPr="00E24605" w:rsidRDefault="009D437D" w:rsidP="00E24605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D437D">
        <w:rPr>
          <w:rFonts w:ascii="Times New Roman" w:hAnsi="Times New Roman" w:cs="Times New Roman"/>
          <w:sz w:val="24"/>
          <w:szCs w:val="24"/>
        </w:rPr>
        <w:lastRenderedPageBreak/>
        <w:t>Table</w:t>
      </w:r>
      <w:proofErr w:type="spellEnd"/>
      <w:r w:rsidRPr="009D437D">
        <w:rPr>
          <w:rFonts w:ascii="Times New Roman" w:hAnsi="Times New Roman" w:cs="Times New Roman"/>
          <w:sz w:val="24"/>
          <w:szCs w:val="24"/>
        </w:rPr>
        <w:t xml:space="preserve"> 3</w:t>
      </w:r>
      <w:r w:rsidR="00BA6FBD">
        <w:rPr>
          <w:rFonts w:ascii="Times New Roman" w:hAnsi="Times New Roman" w:cs="Times New Roman"/>
          <w:sz w:val="24"/>
          <w:szCs w:val="24"/>
        </w:rPr>
        <w:t>.</w:t>
      </w:r>
      <w:r w:rsidR="00E24605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E24605" w:rsidRPr="00E24605">
        <w:rPr>
          <w:rFonts w:ascii="Times New Roman" w:hAnsi="Times New Roman" w:cs="Times New Roman"/>
          <w:b/>
          <w:bCs/>
          <w:sz w:val="24"/>
          <w:szCs w:val="24"/>
        </w:rPr>
        <w:t>DISTRIBUTION OF SYMPTOMS</w:t>
      </w:r>
    </w:p>
    <w:p w14:paraId="59802C84" w14:textId="77777777" w:rsidR="009D437D" w:rsidRDefault="009D437D"/>
    <w:p w14:paraId="7E5331CD" w14:textId="218AA2AA" w:rsidR="004A3215" w:rsidRDefault="004A3215">
      <w:r w:rsidRPr="00CD20CF"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4ACC1421" wp14:editId="46F48053">
            <wp:extent cx="6120130" cy="2211598"/>
            <wp:effectExtent l="0" t="0" r="13970" b="17780"/>
            <wp:docPr id="5" name="Grafico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E8F28E0" w14:textId="5A000621" w:rsidR="00EF4509" w:rsidRDefault="00EF4509"/>
    <w:p w14:paraId="4DF7F375" w14:textId="77777777" w:rsidR="002662ED" w:rsidRDefault="002662ED"/>
    <w:p w14:paraId="27BC3FE5" w14:textId="6BDFDD0F" w:rsidR="00EF4509" w:rsidRPr="00EF4509" w:rsidRDefault="00EF450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A3F09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3</w:t>
      </w:r>
      <w:r w:rsidRPr="00EF4509">
        <w:rPr>
          <w:rFonts w:ascii="Times New Roman" w:hAnsi="Times New Roman" w:cs="Times New Roman"/>
          <w:sz w:val="24"/>
          <w:szCs w:val="24"/>
          <w:lang w:val="en-GB"/>
        </w:rPr>
        <w:t xml:space="preserve"> Symptoms distribution at celiac disease onset in the two groups.</w:t>
      </w:r>
    </w:p>
    <w:sectPr w:rsidR="00EF4509" w:rsidRPr="00EF45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8E3"/>
    <w:rsid w:val="0011062A"/>
    <w:rsid w:val="00171968"/>
    <w:rsid w:val="002662ED"/>
    <w:rsid w:val="002817E9"/>
    <w:rsid w:val="002A1165"/>
    <w:rsid w:val="00337968"/>
    <w:rsid w:val="003627CD"/>
    <w:rsid w:val="00377D36"/>
    <w:rsid w:val="00392041"/>
    <w:rsid w:val="004340EE"/>
    <w:rsid w:val="00491CF9"/>
    <w:rsid w:val="004A3215"/>
    <w:rsid w:val="006408E3"/>
    <w:rsid w:val="00646187"/>
    <w:rsid w:val="0079422D"/>
    <w:rsid w:val="007A3F09"/>
    <w:rsid w:val="007E2110"/>
    <w:rsid w:val="00834CDA"/>
    <w:rsid w:val="008E10BD"/>
    <w:rsid w:val="00960B57"/>
    <w:rsid w:val="00994454"/>
    <w:rsid w:val="009D437D"/>
    <w:rsid w:val="00A02084"/>
    <w:rsid w:val="00BA6FBD"/>
    <w:rsid w:val="00D308D1"/>
    <w:rsid w:val="00E002F4"/>
    <w:rsid w:val="00E24605"/>
    <w:rsid w:val="00EF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7C9C8"/>
  <w15:chartTrackingRefBased/>
  <w15:docId w15:val="{8D3AD2E9-24C7-47B2-800A-E07787BB7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it-IT" sz="1200" baseline="0"/>
              <a:t>M/F  DISTRIBUTION IN GROUP 1</a:t>
            </a:r>
            <a:endParaRPr lang="it-IT" sz="1200"/>
          </a:p>
        </c:rich>
      </c:tx>
      <c:overlay val="0"/>
      <c:spPr>
        <a:noFill/>
        <a:ln w="25392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3947287457696603"/>
          <c:y val="0.28684837258534007"/>
          <c:w val="0.70942467439237011"/>
          <c:h val="0.431773185007074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Female</c:v>
                </c:pt>
              </c:strCache>
            </c:strRef>
          </c:tx>
          <c:spPr>
            <a:gradFill rotWithShape="0">
              <a:gsLst>
                <a:gs pos="0">
                  <a:srgbClr val="9BC1FF"/>
                </a:gs>
                <a:gs pos="100000">
                  <a:srgbClr val="3F80CD"/>
                </a:gs>
              </a:gsLst>
              <a:lin ang="5400000"/>
            </a:gradFill>
            <a:ln w="25392">
              <a:noFill/>
            </a:ln>
            <a:effectLst>
              <a:outerShdw dist="35921" dir="2700000" algn="br">
                <a:srgbClr val="000000"/>
              </a:outerShdw>
            </a:effectLst>
          </c:spPr>
          <c:invertIfNegative val="0"/>
          <c:cat>
            <c:strRef>
              <c:f>Foglio1!$A$2:$A$5</c:f>
              <c:strCache>
                <c:ptCount val="4"/>
                <c:pt idx="0">
                  <c:v>IDDM</c:v>
                </c:pt>
                <c:pt idx="1">
                  <c:v>IDDM + THYR</c:v>
                </c:pt>
                <c:pt idx="2">
                  <c:v>THYROIDITIS</c:v>
                </c:pt>
                <c:pt idx="3">
                  <c:v>JIA</c:v>
                </c:pt>
              </c:strCache>
            </c:strRef>
          </c:cat>
          <c:val>
            <c:numRef>
              <c:f>Foglio1!$B$2:$B$5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7B9-41BB-836E-98DB48D3EFF5}"/>
            </c:ext>
          </c:extLst>
        </c:ser>
        <c:ser>
          <c:idx val="1"/>
          <c:order val="1"/>
          <c:tx>
            <c:strRef>
              <c:f>Foglio1!$C$1</c:f>
              <c:strCache>
                <c:ptCount val="1"/>
                <c:pt idx="0">
                  <c:v>Male</c:v>
                </c:pt>
              </c:strCache>
            </c:strRef>
          </c:tx>
          <c:spPr>
            <a:gradFill rotWithShape="0">
              <a:gsLst>
                <a:gs pos="0">
                  <a:srgbClr val="FF9A99"/>
                </a:gs>
                <a:gs pos="100000">
                  <a:srgbClr val="D1403C"/>
                </a:gs>
              </a:gsLst>
              <a:lin ang="5400000"/>
            </a:gradFill>
            <a:ln w="25392">
              <a:noFill/>
            </a:ln>
            <a:effectLst>
              <a:outerShdw dist="35921" dir="2700000" algn="br">
                <a:srgbClr val="000000"/>
              </a:outerShdw>
            </a:effectLst>
          </c:spPr>
          <c:invertIfNegative val="0"/>
          <c:cat>
            <c:strRef>
              <c:f>Foglio1!$A$2:$A$5</c:f>
              <c:strCache>
                <c:ptCount val="4"/>
                <c:pt idx="0">
                  <c:v>IDDM</c:v>
                </c:pt>
                <c:pt idx="1">
                  <c:v>IDDM + THYR</c:v>
                </c:pt>
                <c:pt idx="2">
                  <c:v>THYROIDITIS</c:v>
                </c:pt>
                <c:pt idx="3">
                  <c:v>JIA</c:v>
                </c:pt>
              </c:strCache>
            </c:strRef>
          </c:cat>
          <c:val>
            <c:numRef>
              <c:f>Foglio1!$C$2:$C$5</c:f>
              <c:numCache>
                <c:formatCode>General</c:formatCode>
                <c:ptCount val="4"/>
                <c:pt idx="0">
                  <c:v>6</c:v>
                </c:pt>
                <c:pt idx="1">
                  <c:v>3</c:v>
                </c:pt>
                <c:pt idx="2">
                  <c:v>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7B9-41BB-836E-98DB48D3EF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3026959"/>
        <c:axId val="1"/>
      </c:barChart>
      <c:catAx>
        <c:axId val="53026959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ln w="3174">
            <a:solidFill>
              <a:srgbClr val="808080"/>
            </a:solidFill>
            <a:prstDash val="solid"/>
          </a:ln>
        </c:sp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4">
              <a:solidFill>
                <a:srgbClr val="80808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4">
            <a:solidFill>
              <a:srgbClr val="808080"/>
            </a:solidFill>
            <a:prstDash val="solid"/>
          </a:ln>
        </c:spPr>
        <c:crossAx val="53026959"/>
        <c:crosses val="autoZero"/>
        <c:crossBetween val="between"/>
      </c:valAx>
      <c:dTable>
        <c:showHorzBorder val="1"/>
        <c:showVertBorder val="1"/>
        <c:showOutline val="1"/>
        <c:showKeys val="0"/>
        <c:spPr>
          <a:ln w="3174">
            <a:solidFill>
              <a:srgbClr val="808080"/>
            </a:solidFill>
            <a:prstDash val="solid"/>
          </a:ln>
        </c:spPr>
        <c:txPr>
          <a:bodyPr/>
          <a:lstStyle/>
          <a:p>
            <a:pPr rtl="0">
              <a:defRPr sz="1000" b="0" i="0" u="none" strike="noStrike" baseline="0">
                <a:solidFill>
                  <a:srgbClr val="000000"/>
                </a:solidFill>
                <a:latin typeface="Cambria"/>
                <a:ea typeface="Cambria"/>
                <a:cs typeface="Cambria"/>
              </a:defRPr>
            </a:pPr>
            <a:endParaRPr lang="it-IT"/>
          </a:p>
        </c:txPr>
      </c:dTable>
      <c:spPr>
        <a:solidFill>
          <a:srgbClr val="FFFFFF"/>
        </a:solidFill>
        <a:ln w="25392">
          <a:noFill/>
        </a:ln>
      </c:spPr>
    </c:plotArea>
    <c:legend>
      <c:legendPos val="r"/>
      <c:layout>
        <c:manualLayout>
          <c:xMode val="edge"/>
          <c:yMode val="edge"/>
          <c:x val="0.87361769352290675"/>
          <c:y val="0.57073170731707312"/>
          <c:w val="0.10268562401263823"/>
          <c:h val="0.25365853658536586"/>
        </c:manualLayout>
      </c:layout>
      <c:overlay val="0"/>
      <c:spPr>
        <a:noFill/>
        <a:ln w="25392">
          <a:noFill/>
        </a:ln>
      </c:spPr>
    </c:legend>
    <c:plotVisOnly val="1"/>
    <c:dispBlanksAs val="gap"/>
    <c:showDLblsOverMax val="0"/>
  </c:chart>
  <c:spPr>
    <a:solidFill>
      <a:srgbClr val="FFFFFF"/>
    </a:solidFill>
    <a:ln w="3174">
      <a:solidFill>
        <a:srgbClr val="808080"/>
      </a:solidFill>
      <a:prstDash val="solid"/>
    </a:ln>
  </c:sp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 algn="ctr" rtl="0">
              <a:defRPr sz="1200" b="1" i="0" u="none" strike="noStrike" baseline="0">
                <a:solidFill>
                  <a:srgbClr val="000000"/>
                </a:solidFill>
                <a:latin typeface="Cambria"/>
                <a:ea typeface="Cambria"/>
                <a:cs typeface="Cambria"/>
              </a:defRPr>
            </a:pPr>
            <a:r>
              <a:rPr lang="it-IT"/>
              <a:t>M/F  DISTRIBUTION IN GROUP 2</a:t>
            </a:r>
          </a:p>
        </c:rich>
      </c:tx>
      <c:overlay val="0"/>
      <c:spPr>
        <a:noFill/>
        <a:ln w="25411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3947287457696603"/>
          <c:y val="0.28684837258534007"/>
          <c:w val="0.70942467439237011"/>
          <c:h val="0.431773185007074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Female</c:v>
                </c:pt>
              </c:strCache>
            </c:strRef>
          </c:tx>
          <c:spPr>
            <a:gradFill rotWithShape="0">
              <a:gsLst>
                <a:gs pos="0">
                  <a:srgbClr val="9BC1FF"/>
                </a:gs>
                <a:gs pos="100000">
                  <a:srgbClr val="3F80CD"/>
                </a:gs>
              </a:gsLst>
              <a:lin ang="5400000"/>
            </a:gradFill>
            <a:ln w="25411">
              <a:noFill/>
            </a:ln>
            <a:effectLst>
              <a:outerShdw dist="35921" dir="2700000" algn="br">
                <a:srgbClr val="000000"/>
              </a:outerShdw>
            </a:effectLst>
          </c:spPr>
          <c:invertIfNegative val="0"/>
          <c:cat>
            <c:strRef>
              <c:f>Foglio1!$A$2:$A$5</c:f>
              <c:strCache>
                <c:ptCount val="4"/>
                <c:pt idx="0">
                  <c:v>IDDM</c:v>
                </c:pt>
                <c:pt idx="1">
                  <c:v>IDDM + THYR</c:v>
                </c:pt>
                <c:pt idx="2">
                  <c:v>THYROIDITIS</c:v>
                </c:pt>
                <c:pt idx="3">
                  <c:v>JIA</c:v>
                </c:pt>
              </c:strCache>
            </c:strRef>
          </c:cat>
          <c:val>
            <c:numRef>
              <c:f>Foglio1!$B$2:$B$5</c:f>
              <c:numCache>
                <c:formatCode>General</c:formatCode>
                <c:ptCount val="4"/>
                <c:pt idx="0">
                  <c:v>3</c:v>
                </c:pt>
                <c:pt idx="1">
                  <c:v>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BDE-4FC7-8C3D-DA2E4D9526B3}"/>
            </c:ext>
          </c:extLst>
        </c:ser>
        <c:ser>
          <c:idx val="1"/>
          <c:order val="1"/>
          <c:tx>
            <c:strRef>
              <c:f>Foglio1!$C$1</c:f>
              <c:strCache>
                <c:ptCount val="1"/>
                <c:pt idx="0">
                  <c:v>Male</c:v>
                </c:pt>
              </c:strCache>
            </c:strRef>
          </c:tx>
          <c:spPr>
            <a:gradFill rotWithShape="0">
              <a:gsLst>
                <a:gs pos="0">
                  <a:srgbClr val="FF9A99"/>
                </a:gs>
                <a:gs pos="100000">
                  <a:srgbClr val="D1403C"/>
                </a:gs>
              </a:gsLst>
              <a:lin ang="5400000"/>
            </a:gradFill>
            <a:ln w="25411">
              <a:noFill/>
            </a:ln>
            <a:effectLst>
              <a:outerShdw dist="35921" dir="2700000" algn="br">
                <a:srgbClr val="000000"/>
              </a:outerShdw>
            </a:effectLst>
          </c:spPr>
          <c:invertIfNegative val="0"/>
          <c:cat>
            <c:strRef>
              <c:f>Foglio1!$A$2:$A$5</c:f>
              <c:strCache>
                <c:ptCount val="4"/>
                <c:pt idx="0">
                  <c:v>IDDM</c:v>
                </c:pt>
                <c:pt idx="1">
                  <c:v>IDDM + THYR</c:v>
                </c:pt>
                <c:pt idx="2">
                  <c:v>THYROIDITIS</c:v>
                </c:pt>
                <c:pt idx="3">
                  <c:v>JIA</c:v>
                </c:pt>
              </c:strCache>
            </c:strRef>
          </c:cat>
          <c:val>
            <c:numRef>
              <c:f>Foglio1!$C$2:$C$5</c:f>
              <c:numCache>
                <c:formatCode>General</c:formatCode>
                <c:ptCount val="4"/>
                <c:pt idx="0">
                  <c:v>2</c:v>
                </c:pt>
                <c:pt idx="1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BDE-4FC7-8C3D-DA2E4D9526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72984784"/>
        <c:axId val="1"/>
      </c:barChart>
      <c:catAx>
        <c:axId val="13729847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ln w="3176">
            <a:solidFill>
              <a:srgbClr val="808080"/>
            </a:solidFill>
            <a:prstDash val="solid"/>
          </a:ln>
        </c:sp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6">
              <a:solidFill>
                <a:srgbClr val="80808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6">
            <a:solidFill>
              <a:srgbClr val="808080"/>
            </a:solidFill>
            <a:prstDash val="solid"/>
          </a:ln>
        </c:spPr>
        <c:crossAx val="1372984784"/>
        <c:crosses val="autoZero"/>
        <c:crossBetween val="between"/>
      </c:valAx>
      <c:dTable>
        <c:showHorzBorder val="1"/>
        <c:showVertBorder val="1"/>
        <c:showOutline val="1"/>
        <c:showKeys val="0"/>
        <c:spPr>
          <a:ln w="3176">
            <a:solidFill>
              <a:srgbClr val="808080"/>
            </a:solidFill>
            <a:prstDash val="solid"/>
          </a:ln>
        </c:spPr>
      </c:dTable>
      <c:spPr>
        <a:solidFill>
          <a:srgbClr val="FFFFFF"/>
        </a:solidFill>
        <a:ln w="25411">
          <a:noFill/>
        </a:ln>
      </c:spPr>
    </c:plotArea>
    <c:legend>
      <c:legendPos val="r"/>
      <c:layout>
        <c:manualLayout>
          <c:xMode val="edge"/>
          <c:yMode val="edge"/>
          <c:x val="0.87835703001579779"/>
          <c:y val="0.59825327510917026"/>
          <c:w val="0.10268562401263823"/>
          <c:h val="0.22707423580786026"/>
        </c:manualLayout>
      </c:layout>
      <c:overlay val="0"/>
      <c:spPr>
        <a:noFill/>
        <a:ln w="25411">
          <a:noFill/>
        </a:ln>
      </c:spPr>
    </c:legend>
    <c:plotVisOnly val="1"/>
    <c:dispBlanksAs val="gap"/>
    <c:showDLblsOverMax val="0"/>
  </c:chart>
  <c:spPr>
    <a:solidFill>
      <a:srgbClr val="FFFFFF"/>
    </a:solidFill>
    <a:ln w="3176">
      <a:solidFill>
        <a:srgbClr val="808080"/>
      </a:solidFill>
      <a:prstDash val="solid"/>
    </a:ln>
  </c:sp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 algn="ctr" rtl="0">
              <a:defRPr sz="1200" b="1" i="0" u="none" strike="noStrike" baseline="0">
                <a:solidFill>
                  <a:srgbClr val="000000"/>
                </a:solidFill>
                <a:latin typeface="Cambria"/>
                <a:ea typeface="Cambria"/>
                <a:cs typeface="Cambria"/>
              </a:defRPr>
            </a:pPr>
            <a:r>
              <a:rPr lang="it-IT"/>
              <a:t> DISTRIBUTION OF SYMPTOMS</a:t>
            </a:r>
          </a:p>
        </c:rich>
      </c:tx>
      <c:overlay val="0"/>
      <c:spPr>
        <a:noFill/>
        <a:ln w="25411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3947287457696603"/>
          <c:y val="0.28684837258534007"/>
          <c:w val="0.70942467439237011"/>
          <c:h val="0.431773185007074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GROUP 1</c:v>
                </c:pt>
              </c:strCache>
            </c:strRef>
          </c:tx>
          <c:spPr>
            <a:gradFill rotWithShape="0">
              <a:gsLst>
                <a:gs pos="0">
                  <a:srgbClr val="9BC1FF"/>
                </a:gs>
                <a:gs pos="100000">
                  <a:srgbClr val="3F80CD"/>
                </a:gs>
              </a:gsLst>
              <a:lin ang="5400000"/>
            </a:gradFill>
            <a:ln w="25411">
              <a:noFill/>
            </a:ln>
            <a:effectLst>
              <a:outerShdw dist="35921" dir="2700000" algn="br">
                <a:srgbClr val="000000"/>
              </a:outerShdw>
            </a:effectLst>
          </c:spPr>
          <c:invertIfNegative val="0"/>
          <c:cat>
            <c:strRef>
              <c:f>Foglio1!$A$2:$A$7</c:f>
              <c:strCache>
                <c:ptCount val="6"/>
                <c:pt idx="0">
                  <c:v>ABDOMINAL PAIN</c:v>
                </c:pt>
                <c:pt idx="1">
                  <c:v>POSTPRANDIAL HYPOGLICAEMIA</c:v>
                </c:pt>
                <c:pt idx="2">
                  <c:v>POOR GROWTH</c:v>
                </c:pt>
                <c:pt idx="3">
                  <c:v>OCCIPITAL EPILEPSY</c:v>
                </c:pt>
                <c:pt idx="4">
                  <c:v>ATOPIC DERMATITIS</c:v>
                </c:pt>
                <c:pt idx="5">
                  <c:v>ASYNTOMATIC</c:v>
                </c:pt>
              </c:strCache>
            </c:strRef>
          </c:cat>
          <c:val>
            <c:numRef>
              <c:f>Foglio1!$B$2:$B$7</c:f>
              <c:numCache>
                <c:formatCode>General</c:formatCode>
                <c:ptCount val="6"/>
                <c:pt idx="0">
                  <c:v>15</c:v>
                </c:pt>
                <c:pt idx="1">
                  <c:v>6</c:v>
                </c:pt>
                <c:pt idx="2">
                  <c:v>6</c:v>
                </c:pt>
                <c:pt idx="3">
                  <c:v>1</c:v>
                </c:pt>
                <c:pt idx="5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ED3-441B-A5BE-720EE5AE57AF}"/>
            </c:ext>
          </c:extLst>
        </c:ser>
        <c:ser>
          <c:idx val="1"/>
          <c:order val="1"/>
          <c:tx>
            <c:strRef>
              <c:f>Foglio1!$C$1</c:f>
              <c:strCache>
                <c:ptCount val="1"/>
                <c:pt idx="0">
                  <c:v>GROUP 2</c:v>
                </c:pt>
              </c:strCache>
            </c:strRef>
          </c:tx>
          <c:spPr>
            <a:gradFill rotWithShape="0">
              <a:gsLst>
                <a:gs pos="0">
                  <a:srgbClr val="FF9A99"/>
                </a:gs>
                <a:gs pos="100000">
                  <a:srgbClr val="D1403C"/>
                </a:gs>
              </a:gsLst>
              <a:lin ang="5400000"/>
            </a:gradFill>
            <a:ln w="25411">
              <a:noFill/>
            </a:ln>
            <a:effectLst>
              <a:outerShdw dist="35921" dir="2700000" algn="br">
                <a:srgbClr val="000000"/>
              </a:outerShdw>
            </a:effectLst>
          </c:spPr>
          <c:invertIfNegative val="0"/>
          <c:cat>
            <c:strRef>
              <c:f>Foglio1!$A$2:$A$7</c:f>
              <c:strCache>
                <c:ptCount val="6"/>
                <c:pt idx="0">
                  <c:v>ABDOMINAL PAIN</c:v>
                </c:pt>
                <c:pt idx="1">
                  <c:v>POSTPRANDIAL HYPOGLICAEMIA</c:v>
                </c:pt>
                <c:pt idx="2">
                  <c:v>POOR GROWTH</c:v>
                </c:pt>
                <c:pt idx="3">
                  <c:v>OCCIPITAL EPILEPSY</c:v>
                </c:pt>
                <c:pt idx="4">
                  <c:v>ATOPIC DERMATITIS</c:v>
                </c:pt>
                <c:pt idx="5">
                  <c:v>ASYNTOMATIC</c:v>
                </c:pt>
              </c:strCache>
            </c:strRef>
          </c:cat>
          <c:val>
            <c:numRef>
              <c:f>Foglio1!$C$2:$C$7</c:f>
              <c:numCache>
                <c:formatCode>General</c:formatCode>
                <c:ptCount val="6"/>
                <c:pt idx="0">
                  <c:v>16</c:v>
                </c:pt>
                <c:pt idx="1">
                  <c:v>4</c:v>
                </c:pt>
                <c:pt idx="2">
                  <c:v>6</c:v>
                </c:pt>
                <c:pt idx="3">
                  <c:v>0</c:v>
                </c:pt>
                <c:pt idx="4">
                  <c:v>1</c:v>
                </c:pt>
                <c:pt idx="5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ED3-441B-A5BE-720EE5AE57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005175792"/>
        <c:axId val="1"/>
      </c:barChart>
      <c:catAx>
        <c:axId val="20051757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ln w="3176">
            <a:solidFill>
              <a:srgbClr val="808080"/>
            </a:solidFill>
            <a:prstDash val="solid"/>
          </a:ln>
        </c:sp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6">
              <a:solidFill>
                <a:srgbClr val="80808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6">
            <a:solidFill>
              <a:srgbClr val="808080"/>
            </a:solidFill>
            <a:prstDash val="solid"/>
          </a:ln>
        </c:spPr>
        <c:crossAx val="2005175792"/>
        <c:crosses val="autoZero"/>
        <c:crossBetween val="between"/>
      </c:valAx>
      <c:dTable>
        <c:showHorzBorder val="1"/>
        <c:showVertBorder val="1"/>
        <c:showOutline val="1"/>
        <c:showKeys val="0"/>
        <c:spPr>
          <a:ln w="3176">
            <a:solidFill>
              <a:srgbClr val="808080"/>
            </a:solidFill>
            <a:prstDash val="solid"/>
          </a:ln>
        </c:spPr>
      </c:dTable>
      <c:spPr>
        <a:solidFill>
          <a:srgbClr val="FFFFFF"/>
        </a:solidFill>
        <a:ln w="25411">
          <a:noFill/>
        </a:ln>
      </c:spPr>
    </c:plotArea>
    <c:legend>
      <c:legendPos val="r"/>
      <c:layout>
        <c:manualLayout>
          <c:xMode val="edge"/>
          <c:yMode val="edge"/>
          <c:x val="0.86097946287519744"/>
          <c:y val="0.68918918918918914"/>
          <c:w val="0.12006319115323855"/>
          <c:h val="0.23423423423423423"/>
        </c:manualLayout>
      </c:layout>
      <c:overlay val="0"/>
      <c:spPr>
        <a:noFill/>
        <a:ln w="25411">
          <a:noFill/>
        </a:ln>
      </c:spPr>
    </c:legend>
    <c:plotVisOnly val="1"/>
    <c:dispBlanksAs val="gap"/>
    <c:showDLblsOverMax val="0"/>
  </c:chart>
  <c:spPr>
    <a:solidFill>
      <a:srgbClr val="FFFFFF"/>
    </a:solidFill>
    <a:ln w="3176">
      <a:solidFill>
        <a:srgbClr val="808080"/>
      </a:solidFill>
      <a:prstDash val="solid"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mbria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tint val="100000"/>
              <a:shade val="100000"/>
              <a:satMod val="130000"/>
            </a:schemeClr>
          </a:gs>
          <a:gs pos="100000">
            <a:schemeClr val="phClr">
              <a:tint val="50000"/>
              <a:shade val="100000"/>
              <a:satMod val="350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mbria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tint val="100000"/>
              <a:shade val="100000"/>
              <a:satMod val="130000"/>
            </a:schemeClr>
          </a:gs>
          <a:gs pos="100000">
            <a:schemeClr val="phClr">
              <a:tint val="50000"/>
              <a:shade val="100000"/>
              <a:satMod val="350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mbria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tint val="100000"/>
              <a:shade val="100000"/>
              <a:satMod val="130000"/>
            </a:schemeClr>
          </a:gs>
          <a:gs pos="100000">
            <a:schemeClr val="phClr">
              <a:tint val="50000"/>
              <a:shade val="100000"/>
              <a:satMod val="350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Salvatore Accomando</cp:lastModifiedBy>
  <cp:revision>10</cp:revision>
  <dcterms:created xsi:type="dcterms:W3CDTF">2022-04-04T09:40:00Z</dcterms:created>
  <dcterms:modified xsi:type="dcterms:W3CDTF">2022-11-10T08:44:00Z</dcterms:modified>
</cp:coreProperties>
</file>