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7A186C" w14:textId="77777777" w:rsidR="008069C3" w:rsidRPr="00F87911" w:rsidRDefault="008069C3" w:rsidP="008069C3">
      <w:pPr>
        <w:spacing w:after="0" w:line="480" w:lineRule="auto"/>
        <w:rPr>
          <w:rFonts w:ascii="Times New Roman" w:hAnsi="Times New Roman" w:cs="Times New Roman"/>
        </w:rPr>
      </w:pPr>
      <w:r w:rsidRPr="00F87911">
        <w:rPr>
          <w:rFonts w:ascii="Times New Roman" w:hAnsi="Times New Roman" w:cs="Times New Roman"/>
        </w:rPr>
        <w:t>Additional Files:</w:t>
      </w:r>
    </w:p>
    <w:p w14:paraId="2B079218" w14:textId="77777777" w:rsidR="008069C3" w:rsidRPr="00AF7525" w:rsidRDefault="008069C3" w:rsidP="008069C3">
      <w:pPr>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1: States included in the study </w:t>
      </w:r>
    </w:p>
    <w:p w14:paraId="5C7C78A9" w14:textId="77777777" w:rsidR="008069C3" w:rsidRPr="00AF7525" w:rsidRDefault="008069C3" w:rsidP="008069C3">
      <w:pPr>
        <w:spacing w:after="0" w:line="240" w:lineRule="auto"/>
        <w:rPr>
          <w:rFonts w:ascii="Arial" w:hAnsi="Arial" w:cs="Arial"/>
          <w:sz w:val="16"/>
          <w:szCs w:val="16"/>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0"/>
        <w:gridCol w:w="1797"/>
        <w:gridCol w:w="2320"/>
        <w:gridCol w:w="2320"/>
      </w:tblGrid>
      <w:tr w:rsidR="008069C3" w:rsidRPr="00AF7525" w14:paraId="2B80B242" w14:textId="77777777" w:rsidTr="00F74BC5">
        <w:trPr>
          <w:trHeight w:val="268"/>
        </w:trPr>
        <w:tc>
          <w:tcPr>
            <w:tcW w:w="2320" w:type="dxa"/>
            <w:tcBorders>
              <w:bottom w:val="single" w:sz="4" w:space="0" w:color="auto"/>
            </w:tcBorders>
            <w:shd w:val="clear" w:color="auto" w:fill="BFBFBF" w:themeFill="background1" w:themeFillShade="BF"/>
            <w:noWrap/>
            <w:hideMark/>
          </w:tcPr>
          <w:p w14:paraId="2E2DD259" w14:textId="77777777" w:rsidR="008069C3" w:rsidRPr="00AF7525" w:rsidRDefault="008069C3" w:rsidP="00F74BC5">
            <w:pPr>
              <w:rPr>
                <w:rFonts w:ascii="Arial" w:hAnsi="Arial" w:cs="Arial"/>
                <w:b/>
                <w:sz w:val="20"/>
                <w:szCs w:val="20"/>
              </w:rPr>
            </w:pPr>
            <w:r w:rsidRPr="00AF7525">
              <w:rPr>
                <w:rFonts w:ascii="Arial" w:hAnsi="Arial" w:cs="Arial"/>
                <w:b/>
                <w:sz w:val="20"/>
                <w:szCs w:val="20"/>
              </w:rPr>
              <w:t>State</w:t>
            </w:r>
          </w:p>
        </w:tc>
        <w:tc>
          <w:tcPr>
            <w:tcW w:w="1797" w:type="dxa"/>
            <w:tcBorders>
              <w:bottom w:val="single" w:sz="4" w:space="0" w:color="auto"/>
            </w:tcBorders>
            <w:shd w:val="clear" w:color="auto" w:fill="BFBFBF" w:themeFill="background1" w:themeFillShade="BF"/>
            <w:noWrap/>
            <w:hideMark/>
          </w:tcPr>
          <w:p w14:paraId="2EEB69D7" w14:textId="77777777" w:rsidR="008069C3" w:rsidRPr="00AF7525" w:rsidRDefault="008069C3" w:rsidP="00F74BC5">
            <w:pPr>
              <w:jc w:val="center"/>
              <w:rPr>
                <w:rFonts w:ascii="Arial" w:hAnsi="Arial" w:cs="Arial"/>
                <w:b/>
                <w:sz w:val="20"/>
                <w:szCs w:val="20"/>
              </w:rPr>
            </w:pPr>
            <w:r w:rsidRPr="00AF7525">
              <w:rPr>
                <w:rFonts w:ascii="Arial" w:hAnsi="Arial" w:cs="Arial"/>
                <w:b/>
                <w:sz w:val="20"/>
                <w:szCs w:val="20"/>
              </w:rPr>
              <w:t>2013</w:t>
            </w:r>
          </w:p>
        </w:tc>
        <w:tc>
          <w:tcPr>
            <w:tcW w:w="2320" w:type="dxa"/>
            <w:tcBorders>
              <w:bottom w:val="single" w:sz="4" w:space="0" w:color="auto"/>
            </w:tcBorders>
            <w:shd w:val="clear" w:color="auto" w:fill="BFBFBF" w:themeFill="background1" w:themeFillShade="BF"/>
            <w:noWrap/>
            <w:hideMark/>
          </w:tcPr>
          <w:p w14:paraId="184817DA" w14:textId="77777777" w:rsidR="008069C3" w:rsidRPr="00AF7525" w:rsidRDefault="008069C3" w:rsidP="00F74BC5">
            <w:pPr>
              <w:jc w:val="center"/>
              <w:rPr>
                <w:rFonts w:ascii="Arial" w:hAnsi="Arial" w:cs="Arial"/>
                <w:b/>
                <w:sz w:val="20"/>
                <w:szCs w:val="20"/>
              </w:rPr>
            </w:pPr>
            <w:r w:rsidRPr="00AF7525">
              <w:rPr>
                <w:rFonts w:ascii="Arial" w:hAnsi="Arial" w:cs="Arial"/>
                <w:b/>
                <w:sz w:val="20"/>
                <w:szCs w:val="20"/>
              </w:rPr>
              <w:t>2015</w:t>
            </w:r>
          </w:p>
        </w:tc>
        <w:tc>
          <w:tcPr>
            <w:tcW w:w="2320" w:type="dxa"/>
            <w:tcBorders>
              <w:bottom w:val="single" w:sz="4" w:space="0" w:color="auto"/>
            </w:tcBorders>
            <w:shd w:val="clear" w:color="auto" w:fill="BFBFBF" w:themeFill="background1" w:themeFillShade="BF"/>
            <w:noWrap/>
            <w:hideMark/>
          </w:tcPr>
          <w:p w14:paraId="20C7C942" w14:textId="77777777" w:rsidR="008069C3" w:rsidRPr="00AF7525" w:rsidRDefault="008069C3" w:rsidP="00F74BC5">
            <w:pPr>
              <w:jc w:val="center"/>
              <w:rPr>
                <w:rFonts w:ascii="Arial" w:hAnsi="Arial" w:cs="Arial"/>
                <w:b/>
                <w:sz w:val="20"/>
                <w:szCs w:val="20"/>
              </w:rPr>
            </w:pPr>
            <w:r w:rsidRPr="00AF7525">
              <w:rPr>
                <w:rFonts w:ascii="Arial" w:hAnsi="Arial" w:cs="Arial"/>
                <w:b/>
                <w:sz w:val="20"/>
                <w:szCs w:val="20"/>
              </w:rPr>
              <w:t>2017</w:t>
            </w:r>
          </w:p>
        </w:tc>
      </w:tr>
      <w:tr w:rsidR="008069C3" w:rsidRPr="00AF7525" w14:paraId="30DA8278" w14:textId="77777777" w:rsidTr="00F74BC5">
        <w:trPr>
          <w:trHeight w:val="268"/>
        </w:trPr>
        <w:tc>
          <w:tcPr>
            <w:tcW w:w="2320" w:type="dxa"/>
            <w:tcBorders>
              <w:top w:val="single" w:sz="4" w:space="0" w:color="auto"/>
              <w:bottom w:val="nil"/>
            </w:tcBorders>
            <w:shd w:val="clear" w:color="auto" w:fill="E7E6E6" w:themeFill="background2"/>
            <w:noWrap/>
            <w:hideMark/>
          </w:tcPr>
          <w:p w14:paraId="03435A2F" w14:textId="77777777" w:rsidR="008069C3" w:rsidRPr="00AF7525" w:rsidRDefault="008069C3" w:rsidP="00F74BC5">
            <w:pPr>
              <w:rPr>
                <w:rFonts w:ascii="Arial" w:hAnsi="Arial" w:cs="Arial"/>
                <w:sz w:val="20"/>
                <w:szCs w:val="20"/>
              </w:rPr>
            </w:pPr>
            <w:r w:rsidRPr="00AF7525">
              <w:rPr>
                <w:rFonts w:ascii="Arial" w:hAnsi="Arial" w:cs="Arial"/>
                <w:sz w:val="20"/>
                <w:szCs w:val="20"/>
              </w:rPr>
              <w:t>Alaska</w:t>
            </w:r>
          </w:p>
        </w:tc>
        <w:tc>
          <w:tcPr>
            <w:tcW w:w="1797" w:type="dxa"/>
            <w:tcBorders>
              <w:top w:val="single" w:sz="4" w:space="0" w:color="auto"/>
              <w:bottom w:val="nil"/>
            </w:tcBorders>
            <w:shd w:val="clear" w:color="auto" w:fill="E7E6E6" w:themeFill="background2"/>
            <w:noWrap/>
          </w:tcPr>
          <w:p w14:paraId="49E7662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tcBorders>
              <w:top w:val="single" w:sz="4" w:space="0" w:color="auto"/>
              <w:bottom w:val="nil"/>
            </w:tcBorders>
            <w:shd w:val="clear" w:color="auto" w:fill="E7E6E6" w:themeFill="background2"/>
            <w:noWrap/>
            <w:hideMark/>
          </w:tcPr>
          <w:p w14:paraId="4D4614DF"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tcBorders>
              <w:top w:val="single" w:sz="4" w:space="0" w:color="auto"/>
              <w:bottom w:val="nil"/>
            </w:tcBorders>
            <w:shd w:val="clear" w:color="auto" w:fill="E7E6E6" w:themeFill="background2"/>
            <w:noWrap/>
            <w:hideMark/>
          </w:tcPr>
          <w:p w14:paraId="149B9CC9"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43062E9F" w14:textId="77777777" w:rsidTr="00F74BC5">
        <w:trPr>
          <w:trHeight w:val="268"/>
        </w:trPr>
        <w:tc>
          <w:tcPr>
            <w:tcW w:w="2320" w:type="dxa"/>
            <w:tcBorders>
              <w:top w:val="nil"/>
            </w:tcBorders>
            <w:noWrap/>
          </w:tcPr>
          <w:p w14:paraId="49CBF8F4" w14:textId="77777777" w:rsidR="008069C3" w:rsidRPr="00AF7525" w:rsidRDefault="008069C3" w:rsidP="00F74BC5">
            <w:pPr>
              <w:rPr>
                <w:rFonts w:ascii="Arial" w:hAnsi="Arial" w:cs="Arial"/>
                <w:sz w:val="20"/>
                <w:szCs w:val="20"/>
              </w:rPr>
            </w:pPr>
            <w:r w:rsidRPr="00AF7525">
              <w:rPr>
                <w:rFonts w:ascii="Arial" w:hAnsi="Arial" w:cs="Arial"/>
                <w:sz w:val="20"/>
                <w:szCs w:val="20"/>
              </w:rPr>
              <w:t>Arkansas</w:t>
            </w:r>
          </w:p>
        </w:tc>
        <w:tc>
          <w:tcPr>
            <w:tcW w:w="1797" w:type="dxa"/>
            <w:tcBorders>
              <w:top w:val="nil"/>
            </w:tcBorders>
            <w:noWrap/>
          </w:tcPr>
          <w:p w14:paraId="311A8DCC"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tcBorders>
              <w:top w:val="nil"/>
            </w:tcBorders>
            <w:noWrap/>
          </w:tcPr>
          <w:p w14:paraId="62BE86D3"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tcBorders>
              <w:top w:val="nil"/>
            </w:tcBorders>
            <w:noWrap/>
          </w:tcPr>
          <w:p w14:paraId="424743F0"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4E5D2740" w14:textId="77777777" w:rsidTr="00F74BC5">
        <w:trPr>
          <w:trHeight w:val="268"/>
        </w:trPr>
        <w:tc>
          <w:tcPr>
            <w:tcW w:w="2320" w:type="dxa"/>
            <w:shd w:val="clear" w:color="auto" w:fill="E7E6E6" w:themeFill="background2"/>
            <w:noWrap/>
            <w:hideMark/>
          </w:tcPr>
          <w:p w14:paraId="5F375AD5" w14:textId="77777777" w:rsidR="008069C3" w:rsidRPr="00AF7525" w:rsidRDefault="008069C3" w:rsidP="00F74BC5">
            <w:pPr>
              <w:rPr>
                <w:rFonts w:ascii="Arial" w:hAnsi="Arial" w:cs="Arial"/>
                <w:sz w:val="20"/>
                <w:szCs w:val="20"/>
              </w:rPr>
            </w:pPr>
            <w:r w:rsidRPr="00AF7525">
              <w:rPr>
                <w:rFonts w:ascii="Arial" w:hAnsi="Arial" w:cs="Arial"/>
                <w:sz w:val="20"/>
                <w:szCs w:val="20"/>
              </w:rPr>
              <w:t>Connecticut</w:t>
            </w:r>
          </w:p>
        </w:tc>
        <w:tc>
          <w:tcPr>
            <w:tcW w:w="1797" w:type="dxa"/>
            <w:shd w:val="clear" w:color="auto" w:fill="E7E6E6" w:themeFill="background2"/>
            <w:noWrap/>
          </w:tcPr>
          <w:p w14:paraId="69A48BBF"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68920D94"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461FD5E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70F6F33F" w14:textId="77777777" w:rsidTr="00F74BC5">
        <w:trPr>
          <w:trHeight w:val="268"/>
        </w:trPr>
        <w:tc>
          <w:tcPr>
            <w:tcW w:w="2320" w:type="dxa"/>
            <w:noWrap/>
          </w:tcPr>
          <w:p w14:paraId="66B7AE85" w14:textId="77777777" w:rsidR="008069C3" w:rsidRPr="00AF7525" w:rsidRDefault="008069C3" w:rsidP="00F74BC5">
            <w:pPr>
              <w:rPr>
                <w:rFonts w:ascii="Arial" w:hAnsi="Arial" w:cs="Arial"/>
                <w:sz w:val="20"/>
                <w:szCs w:val="20"/>
              </w:rPr>
            </w:pPr>
            <w:r w:rsidRPr="00AF7525">
              <w:rPr>
                <w:rFonts w:ascii="Arial" w:hAnsi="Arial" w:cs="Arial"/>
                <w:sz w:val="20"/>
                <w:szCs w:val="20"/>
              </w:rPr>
              <w:t>Maryland</w:t>
            </w:r>
          </w:p>
        </w:tc>
        <w:tc>
          <w:tcPr>
            <w:tcW w:w="1797" w:type="dxa"/>
            <w:noWrap/>
          </w:tcPr>
          <w:p w14:paraId="2FAF1037"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tcPr>
          <w:p w14:paraId="6A0DD709"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tcPr>
          <w:p w14:paraId="2FFF51EE"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34E6B0DC" w14:textId="77777777" w:rsidTr="00F74BC5">
        <w:trPr>
          <w:trHeight w:val="268"/>
        </w:trPr>
        <w:tc>
          <w:tcPr>
            <w:tcW w:w="2320" w:type="dxa"/>
            <w:shd w:val="clear" w:color="auto" w:fill="E7E6E6" w:themeFill="background2"/>
            <w:noWrap/>
            <w:hideMark/>
          </w:tcPr>
          <w:p w14:paraId="4CDEA548" w14:textId="77777777" w:rsidR="008069C3" w:rsidRPr="00AF7525" w:rsidRDefault="008069C3" w:rsidP="00F74BC5">
            <w:pPr>
              <w:rPr>
                <w:rFonts w:ascii="Arial" w:hAnsi="Arial" w:cs="Arial"/>
                <w:sz w:val="20"/>
                <w:szCs w:val="20"/>
              </w:rPr>
            </w:pPr>
            <w:r w:rsidRPr="00AF7525">
              <w:rPr>
                <w:rFonts w:ascii="Arial" w:hAnsi="Arial" w:cs="Arial"/>
                <w:sz w:val="20"/>
                <w:szCs w:val="20"/>
              </w:rPr>
              <w:t>Massachusetts</w:t>
            </w:r>
          </w:p>
        </w:tc>
        <w:tc>
          <w:tcPr>
            <w:tcW w:w="1797" w:type="dxa"/>
            <w:shd w:val="clear" w:color="auto" w:fill="E7E6E6" w:themeFill="background2"/>
            <w:noWrap/>
          </w:tcPr>
          <w:p w14:paraId="14779C7E"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4BBB3F60"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697B2927"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64EA4472" w14:textId="77777777" w:rsidTr="00F74BC5">
        <w:trPr>
          <w:trHeight w:val="268"/>
        </w:trPr>
        <w:tc>
          <w:tcPr>
            <w:tcW w:w="2320" w:type="dxa"/>
            <w:noWrap/>
            <w:hideMark/>
          </w:tcPr>
          <w:p w14:paraId="111BACC9" w14:textId="77777777" w:rsidR="008069C3" w:rsidRPr="00AF7525" w:rsidRDefault="008069C3" w:rsidP="00F74BC5">
            <w:pPr>
              <w:rPr>
                <w:rFonts w:ascii="Arial" w:hAnsi="Arial" w:cs="Arial"/>
                <w:sz w:val="20"/>
                <w:szCs w:val="20"/>
              </w:rPr>
            </w:pPr>
            <w:r w:rsidRPr="00AF7525">
              <w:rPr>
                <w:rFonts w:ascii="Arial" w:hAnsi="Arial" w:cs="Arial"/>
                <w:sz w:val="20"/>
                <w:szCs w:val="20"/>
              </w:rPr>
              <w:t>Missouri</w:t>
            </w:r>
          </w:p>
        </w:tc>
        <w:tc>
          <w:tcPr>
            <w:tcW w:w="1797" w:type="dxa"/>
            <w:noWrap/>
          </w:tcPr>
          <w:p w14:paraId="6DC04BB8"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0525D499"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1759A3B6"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5705D3EE" w14:textId="77777777" w:rsidTr="00F74BC5">
        <w:trPr>
          <w:trHeight w:val="268"/>
        </w:trPr>
        <w:tc>
          <w:tcPr>
            <w:tcW w:w="2320" w:type="dxa"/>
            <w:shd w:val="clear" w:color="auto" w:fill="E7E6E6" w:themeFill="background2"/>
            <w:noWrap/>
            <w:hideMark/>
          </w:tcPr>
          <w:p w14:paraId="0A50C69F" w14:textId="77777777" w:rsidR="008069C3" w:rsidRPr="00AF7525" w:rsidRDefault="008069C3" w:rsidP="00F74BC5">
            <w:pPr>
              <w:rPr>
                <w:rFonts w:ascii="Arial" w:hAnsi="Arial" w:cs="Arial"/>
                <w:sz w:val="20"/>
                <w:szCs w:val="20"/>
              </w:rPr>
            </w:pPr>
            <w:r w:rsidRPr="00AF7525">
              <w:rPr>
                <w:rFonts w:ascii="Arial" w:hAnsi="Arial" w:cs="Arial"/>
                <w:sz w:val="20"/>
                <w:szCs w:val="20"/>
              </w:rPr>
              <w:t>Montana</w:t>
            </w:r>
          </w:p>
        </w:tc>
        <w:tc>
          <w:tcPr>
            <w:tcW w:w="1797" w:type="dxa"/>
            <w:shd w:val="clear" w:color="auto" w:fill="E7E6E6" w:themeFill="background2"/>
            <w:noWrap/>
          </w:tcPr>
          <w:p w14:paraId="57E0893E"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5BFDF44D"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38921394"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2338A3CF" w14:textId="77777777" w:rsidTr="00F74BC5">
        <w:trPr>
          <w:trHeight w:val="268"/>
        </w:trPr>
        <w:tc>
          <w:tcPr>
            <w:tcW w:w="2320" w:type="dxa"/>
            <w:noWrap/>
            <w:hideMark/>
          </w:tcPr>
          <w:p w14:paraId="15A03006" w14:textId="77777777" w:rsidR="008069C3" w:rsidRPr="00AF7525" w:rsidRDefault="008069C3" w:rsidP="00F74BC5">
            <w:pPr>
              <w:rPr>
                <w:rFonts w:ascii="Arial" w:hAnsi="Arial" w:cs="Arial"/>
                <w:sz w:val="20"/>
                <w:szCs w:val="20"/>
              </w:rPr>
            </w:pPr>
            <w:r w:rsidRPr="00AF7525">
              <w:rPr>
                <w:rFonts w:ascii="Arial" w:hAnsi="Arial" w:cs="Arial"/>
                <w:sz w:val="20"/>
                <w:szCs w:val="20"/>
              </w:rPr>
              <w:t>North Dakota</w:t>
            </w:r>
          </w:p>
        </w:tc>
        <w:tc>
          <w:tcPr>
            <w:tcW w:w="1797" w:type="dxa"/>
            <w:noWrap/>
          </w:tcPr>
          <w:p w14:paraId="3D5F127F"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0355747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0060F8E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1E6BAA28" w14:textId="77777777" w:rsidTr="00F74BC5">
        <w:trPr>
          <w:trHeight w:val="268"/>
        </w:trPr>
        <w:tc>
          <w:tcPr>
            <w:tcW w:w="2320" w:type="dxa"/>
            <w:shd w:val="clear" w:color="auto" w:fill="E7E6E6" w:themeFill="background2"/>
            <w:noWrap/>
            <w:hideMark/>
          </w:tcPr>
          <w:p w14:paraId="4EF10E65" w14:textId="77777777" w:rsidR="008069C3" w:rsidRPr="00AF7525" w:rsidRDefault="008069C3" w:rsidP="00F74BC5">
            <w:pPr>
              <w:rPr>
                <w:rFonts w:ascii="Arial" w:hAnsi="Arial" w:cs="Arial"/>
                <w:sz w:val="20"/>
                <w:szCs w:val="20"/>
              </w:rPr>
            </w:pPr>
            <w:r w:rsidRPr="00AF7525">
              <w:rPr>
                <w:rFonts w:ascii="Arial" w:hAnsi="Arial" w:cs="Arial"/>
                <w:sz w:val="20"/>
                <w:szCs w:val="20"/>
              </w:rPr>
              <w:t>Nebraska</w:t>
            </w:r>
          </w:p>
        </w:tc>
        <w:tc>
          <w:tcPr>
            <w:tcW w:w="1797" w:type="dxa"/>
            <w:shd w:val="clear" w:color="auto" w:fill="E7E6E6" w:themeFill="background2"/>
            <w:noWrap/>
          </w:tcPr>
          <w:p w14:paraId="10C22AE3"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03F3F30D"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40BFF01F"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0EF8A7FF" w14:textId="77777777" w:rsidTr="00F74BC5">
        <w:trPr>
          <w:trHeight w:val="268"/>
        </w:trPr>
        <w:tc>
          <w:tcPr>
            <w:tcW w:w="2320" w:type="dxa"/>
            <w:shd w:val="clear" w:color="auto" w:fill="auto"/>
            <w:noWrap/>
            <w:hideMark/>
          </w:tcPr>
          <w:p w14:paraId="236B92A8" w14:textId="77777777" w:rsidR="008069C3" w:rsidRPr="00AF7525" w:rsidRDefault="008069C3" w:rsidP="00F74BC5">
            <w:pPr>
              <w:rPr>
                <w:rFonts w:ascii="Arial" w:hAnsi="Arial" w:cs="Arial"/>
                <w:sz w:val="20"/>
                <w:szCs w:val="20"/>
              </w:rPr>
            </w:pPr>
            <w:r w:rsidRPr="00AF7525">
              <w:rPr>
                <w:rFonts w:ascii="Arial" w:hAnsi="Arial" w:cs="Arial"/>
                <w:sz w:val="20"/>
                <w:szCs w:val="20"/>
              </w:rPr>
              <w:t>New Jersey</w:t>
            </w:r>
          </w:p>
        </w:tc>
        <w:tc>
          <w:tcPr>
            <w:tcW w:w="1797" w:type="dxa"/>
            <w:shd w:val="clear" w:color="auto" w:fill="auto"/>
            <w:noWrap/>
          </w:tcPr>
          <w:p w14:paraId="70E5ED80"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auto"/>
            <w:noWrap/>
            <w:hideMark/>
          </w:tcPr>
          <w:p w14:paraId="3FD549BA"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auto"/>
            <w:noWrap/>
            <w:hideMark/>
          </w:tcPr>
          <w:p w14:paraId="747A32B8"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6031BACB" w14:textId="77777777" w:rsidTr="00F74BC5">
        <w:trPr>
          <w:trHeight w:val="268"/>
        </w:trPr>
        <w:tc>
          <w:tcPr>
            <w:tcW w:w="2320" w:type="dxa"/>
            <w:shd w:val="clear" w:color="auto" w:fill="E7E6E6" w:themeFill="background2"/>
            <w:noWrap/>
            <w:hideMark/>
          </w:tcPr>
          <w:p w14:paraId="74518B85" w14:textId="77777777" w:rsidR="008069C3" w:rsidRPr="00AF7525" w:rsidRDefault="008069C3" w:rsidP="00F74BC5">
            <w:pPr>
              <w:rPr>
                <w:rFonts w:ascii="Arial" w:hAnsi="Arial" w:cs="Arial"/>
                <w:sz w:val="20"/>
                <w:szCs w:val="20"/>
              </w:rPr>
            </w:pPr>
            <w:r w:rsidRPr="00AF7525">
              <w:rPr>
                <w:rFonts w:ascii="Arial" w:hAnsi="Arial" w:cs="Arial"/>
                <w:sz w:val="20"/>
                <w:szCs w:val="20"/>
              </w:rPr>
              <w:t>Rhode Island</w:t>
            </w:r>
          </w:p>
        </w:tc>
        <w:tc>
          <w:tcPr>
            <w:tcW w:w="1797" w:type="dxa"/>
            <w:shd w:val="clear" w:color="auto" w:fill="E7E6E6" w:themeFill="background2"/>
            <w:noWrap/>
          </w:tcPr>
          <w:p w14:paraId="77625BC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136717CB"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hideMark/>
          </w:tcPr>
          <w:p w14:paraId="75087307"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2A9B9B60" w14:textId="77777777" w:rsidTr="00F74BC5">
        <w:trPr>
          <w:trHeight w:val="268"/>
        </w:trPr>
        <w:tc>
          <w:tcPr>
            <w:tcW w:w="2320" w:type="dxa"/>
            <w:noWrap/>
            <w:hideMark/>
          </w:tcPr>
          <w:p w14:paraId="6ED7E345" w14:textId="77777777" w:rsidR="008069C3" w:rsidRPr="00AF7525" w:rsidRDefault="008069C3" w:rsidP="00F74BC5">
            <w:pPr>
              <w:rPr>
                <w:rFonts w:ascii="Arial" w:hAnsi="Arial" w:cs="Arial"/>
                <w:sz w:val="20"/>
                <w:szCs w:val="20"/>
              </w:rPr>
            </w:pPr>
            <w:r w:rsidRPr="00AF7525">
              <w:rPr>
                <w:rFonts w:ascii="Arial" w:hAnsi="Arial" w:cs="Arial"/>
                <w:sz w:val="20"/>
                <w:szCs w:val="20"/>
              </w:rPr>
              <w:t>South Carolina</w:t>
            </w:r>
          </w:p>
        </w:tc>
        <w:tc>
          <w:tcPr>
            <w:tcW w:w="1797" w:type="dxa"/>
            <w:noWrap/>
          </w:tcPr>
          <w:p w14:paraId="6B36D2FD"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314916BE"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5BFA40FA"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3A9D3CF4" w14:textId="77777777" w:rsidTr="00F74BC5">
        <w:trPr>
          <w:trHeight w:val="268"/>
        </w:trPr>
        <w:tc>
          <w:tcPr>
            <w:tcW w:w="2320" w:type="dxa"/>
            <w:shd w:val="clear" w:color="auto" w:fill="E7E6E6" w:themeFill="background2"/>
            <w:noWrap/>
          </w:tcPr>
          <w:p w14:paraId="2EA48293" w14:textId="77777777" w:rsidR="008069C3" w:rsidRPr="00AF7525" w:rsidRDefault="008069C3" w:rsidP="00F74BC5">
            <w:pPr>
              <w:rPr>
                <w:rFonts w:ascii="Arial" w:hAnsi="Arial" w:cs="Arial"/>
                <w:sz w:val="20"/>
                <w:szCs w:val="20"/>
              </w:rPr>
            </w:pPr>
            <w:r w:rsidRPr="00AF7525">
              <w:rPr>
                <w:rFonts w:ascii="Arial" w:hAnsi="Arial" w:cs="Arial"/>
                <w:sz w:val="20"/>
                <w:szCs w:val="20"/>
              </w:rPr>
              <w:t>Texas</w:t>
            </w:r>
          </w:p>
        </w:tc>
        <w:tc>
          <w:tcPr>
            <w:tcW w:w="1797" w:type="dxa"/>
            <w:shd w:val="clear" w:color="auto" w:fill="E7E6E6" w:themeFill="background2"/>
            <w:noWrap/>
          </w:tcPr>
          <w:p w14:paraId="78320CED"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tcPr>
          <w:p w14:paraId="3326E3E6"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shd w:val="clear" w:color="auto" w:fill="E7E6E6" w:themeFill="background2"/>
            <w:noWrap/>
          </w:tcPr>
          <w:p w14:paraId="7601B582"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r w:rsidR="008069C3" w:rsidRPr="00AF7525" w14:paraId="221F31ED" w14:textId="77777777" w:rsidTr="00F74BC5">
        <w:trPr>
          <w:trHeight w:val="268"/>
        </w:trPr>
        <w:tc>
          <w:tcPr>
            <w:tcW w:w="2320" w:type="dxa"/>
            <w:noWrap/>
            <w:hideMark/>
          </w:tcPr>
          <w:p w14:paraId="3D3838E1" w14:textId="77777777" w:rsidR="008069C3" w:rsidRPr="00AF7525" w:rsidRDefault="008069C3" w:rsidP="00F74BC5">
            <w:pPr>
              <w:rPr>
                <w:rFonts w:ascii="Arial" w:hAnsi="Arial" w:cs="Arial"/>
                <w:sz w:val="20"/>
                <w:szCs w:val="20"/>
              </w:rPr>
            </w:pPr>
            <w:r w:rsidRPr="00AF7525">
              <w:rPr>
                <w:rFonts w:ascii="Arial" w:hAnsi="Arial" w:cs="Arial"/>
                <w:sz w:val="20"/>
                <w:szCs w:val="20"/>
              </w:rPr>
              <w:t>Utah</w:t>
            </w:r>
          </w:p>
        </w:tc>
        <w:tc>
          <w:tcPr>
            <w:tcW w:w="1797" w:type="dxa"/>
            <w:noWrap/>
          </w:tcPr>
          <w:p w14:paraId="30EADA38"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3CC25EF3"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c>
          <w:tcPr>
            <w:tcW w:w="2320" w:type="dxa"/>
            <w:noWrap/>
            <w:hideMark/>
          </w:tcPr>
          <w:p w14:paraId="07C16A7F" w14:textId="77777777" w:rsidR="008069C3" w:rsidRPr="00AF7525" w:rsidRDefault="008069C3" w:rsidP="00F74BC5">
            <w:pPr>
              <w:jc w:val="center"/>
              <w:rPr>
                <w:rFonts w:ascii="Arial" w:hAnsi="Arial" w:cs="Arial"/>
                <w:sz w:val="20"/>
                <w:szCs w:val="20"/>
              </w:rPr>
            </w:pPr>
            <w:r w:rsidRPr="00AF7525">
              <w:rPr>
                <w:rFonts w:ascii="Arial" w:hAnsi="Arial" w:cs="Arial"/>
                <w:sz w:val="20"/>
                <w:szCs w:val="20"/>
              </w:rPr>
              <w:t>--</w:t>
            </w:r>
          </w:p>
        </w:tc>
      </w:tr>
    </w:tbl>
    <w:p w14:paraId="21CB15E2"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 xml:space="preserve">Notes: </w:t>
      </w:r>
    </w:p>
    <w:p w14:paraId="07134F34"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a. Data were from state Youth Risk Behavior Surveys in 2013, 2015 and 2017, the United States;</w:t>
      </w:r>
    </w:p>
    <w:p w14:paraId="0AD2380A"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b. “√”: participated the survey and included the question about talking on a phone while driving (CWD);</w:t>
      </w:r>
    </w:p>
    <w:p w14:paraId="3DBC8950"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 xml:space="preserve">c. “--”: Did not participate the survey or did </w:t>
      </w:r>
      <w:r>
        <w:rPr>
          <w:rFonts w:ascii="Arial" w:hAnsi="Arial" w:cs="Arial"/>
          <w:sz w:val="16"/>
          <w:szCs w:val="16"/>
        </w:rPr>
        <w:t>not include the question about CWD</w:t>
      </w:r>
      <w:r w:rsidRPr="00AF7525">
        <w:rPr>
          <w:rFonts w:ascii="Arial" w:hAnsi="Arial" w:cs="Arial"/>
          <w:sz w:val="16"/>
          <w:szCs w:val="16"/>
        </w:rPr>
        <w:t>;</w:t>
      </w:r>
    </w:p>
    <w:p w14:paraId="04EC85F4" w14:textId="77777777" w:rsidR="008069C3" w:rsidRPr="00AF7525" w:rsidRDefault="008069C3" w:rsidP="008069C3">
      <w:pPr>
        <w:spacing w:after="0" w:line="240" w:lineRule="auto"/>
        <w:rPr>
          <w:rFonts w:ascii="Times New Roman" w:hAnsi="Times New Roman" w:cs="Times New Roman"/>
        </w:rPr>
        <w:sectPr w:rsidR="008069C3" w:rsidRPr="00AF7525">
          <w:footerReference w:type="default" r:id="rId4"/>
          <w:pgSz w:w="12240" w:h="15840"/>
          <w:pgMar w:top="1440" w:right="1440" w:bottom="1440" w:left="1440" w:header="720" w:footer="720" w:gutter="0"/>
          <w:cols w:space="720"/>
          <w:docGrid w:linePitch="360"/>
        </w:sectPr>
      </w:pPr>
    </w:p>
    <w:p w14:paraId="00DB847D" w14:textId="77777777" w:rsidR="008069C3" w:rsidRPr="00AF7525" w:rsidRDefault="008069C3" w:rsidP="008069C3">
      <w:pPr>
        <w:spacing w:after="0" w:line="240" w:lineRule="auto"/>
        <w:jc w:val="center"/>
        <w:rPr>
          <w:rFonts w:ascii="Arial" w:hAnsi="Arial" w:cs="Arial"/>
          <w:sz w:val="24"/>
          <w:szCs w:val="24"/>
        </w:rPr>
      </w:pPr>
      <w:r w:rsidRPr="000730DF">
        <w:rPr>
          <w:rFonts w:ascii="Arial" w:hAnsi="Arial" w:cs="Arial"/>
          <w:b/>
          <w:sz w:val="24"/>
          <w:szCs w:val="24"/>
        </w:rPr>
        <w:lastRenderedPageBreak/>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2: Cellphone laws and state-level covariates </w:t>
      </w:r>
    </w:p>
    <w:tbl>
      <w:tblPr>
        <w:tblStyle w:val="TableGrid"/>
        <w:tblW w:w="4868" w:type="pct"/>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0"/>
        <w:gridCol w:w="3117"/>
        <w:gridCol w:w="3634"/>
        <w:gridCol w:w="2408"/>
        <w:gridCol w:w="1759"/>
      </w:tblGrid>
      <w:tr w:rsidR="008069C3" w:rsidRPr="00AF7525" w14:paraId="7ED9429B" w14:textId="77777777" w:rsidTr="00F74BC5">
        <w:trPr>
          <w:trHeight w:val="198"/>
        </w:trPr>
        <w:tc>
          <w:tcPr>
            <w:tcW w:w="674" w:type="pct"/>
            <w:tcBorders>
              <w:top w:val="single" w:sz="4" w:space="0" w:color="auto"/>
              <w:bottom w:val="single" w:sz="4" w:space="0" w:color="auto"/>
              <w:right w:val="nil"/>
            </w:tcBorders>
            <w:shd w:val="clear" w:color="auto" w:fill="D0CECE" w:themeFill="background2" w:themeFillShade="E6"/>
            <w:noWrap/>
            <w:hideMark/>
          </w:tcPr>
          <w:p w14:paraId="00764E49" w14:textId="77777777" w:rsidR="008069C3" w:rsidRPr="00AF7525" w:rsidRDefault="008069C3" w:rsidP="00F74BC5">
            <w:pPr>
              <w:rPr>
                <w:rFonts w:ascii="Arial" w:hAnsi="Arial" w:cs="Arial"/>
                <w:b/>
                <w:sz w:val="20"/>
                <w:szCs w:val="20"/>
              </w:rPr>
            </w:pPr>
            <w:r w:rsidRPr="00AF7525">
              <w:rPr>
                <w:rFonts w:ascii="Arial" w:hAnsi="Arial" w:cs="Arial"/>
                <w:b/>
                <w:sz w:val="20"/>
                <w:szCs w:val="20"/>
              </w:rPr>
              <w:t>State</w:t>
            </w:r>
          </w:p>
        </w:tc>
        <w:tc>
          <w:tcPr>
            <w:tcW w:w="1235" w:type="pct"/>
            <w:tcBorders>
              <w:top w:val="single" w:sz="4" w:space="0" w:color="auto"/>
              <w:left w:val="nil"/>
              <w:bottom w:val="single" w:sz="4" w:space="0" w:color="auto"/>
              <w:right w:val="nil"/>
            </w:tcBorders>
            <w:shd w:val="clear" w:color="auto" w:fill="D0CECE" w:themeFill="background2" w:themeFillShade="E6"/>
            <w:noWrap/>
            <w:hideMark/>
          </w:tcPr>
          <w:p w14:paraId="55A5F3B4" w14:textId="77777777" w:rsidR="008069C3" w:rsidRPr="00AF7525" w:rsidRDefault="008069C3" w:rsidP="00F74BC5">
            <w:pPr>
              <w:rPr>
                <w:rFonts w:ascii="Arial" w:hAnsi="Arial" w:cs="Arial"/>
                <w:b/>
                <w:sz w:val="20"/>
                <w:szCs w:val="20"/>
              </w:rPr>
            </w:pPr>
            <w:r w:rsidRPr="00AF7525">
              <w:rPr>
                <w:rFonts w:ascii="Arial" w:hAnsi="Arial" w:cs="Arial"/>
                <w:b/>
                <w:sz w:val="20"/>
                <w:szCs w:val="20"/>
              </w:rPr>
              <w:t xml:space="preserve">Young driver ban </w:t>
            </w:r>
          </w:p>
          <w:p w14:paraId="5A8313AB" w14:textId="77777777" w:rsidR="008069C3" w:rsidRPr="00AF7525" w:rsidRDefault="008069C3" w:rsidP="00F74BC5">
            <w:pPr>
              <w:rPr>
                <w:rFonts w:ascii="Arial" w:hAnsi="Arial" w:cs="Arial"/>
                <w:b/>
                <w:sz w:val="20"/>
                <w:szCs w:val="20"/>
              </w:rPr>
            </w:pPr>
            <w:r w:rsidRPr="00AF7525">
              <w:rPr>
                <w:rFonts w:ascii="Arial" w:hAnsi="Arial" w:cs="Arial"/>
                <w:b/>
                <w:sz w:val="20"/>
                <w:szCs w:val="20"/>
              </w:rPr>
              <w:t>(Effective year)</w:t>
            </w:r>
          </w:p>
        </w:tc>
        <w:tc>
          <w:tcPr>
            <w:tcW w:w="1440" w:type="pct"/>
            <w:tcBorders>
              <w:top w:val="single" w:sz="4" w:space="0" w:color="auto"/>
              <w:left w:val="nil"/>
              <w:bottom w:val="single" w:sz="4" w:space="0" w:color="auto"/>
              <w:right w:val="nil"/>
            </w:tcBorders>
            <w:shd w:val="clear" w:color="auto" w:fill="D0CECE" w:themeFill="background2" w:themeFillShade="E6"/>
            <w:noWrap/>
            <w:hideMark/>
          </w:tcPr>
          <w:p w14:paraId="71967F74" w14:textId="77777777" w:rsidR="008069C3" w:rsidRPr="00AF7525" w:rsidRDefault="008069C3" w:rsidP="00F74BC5">
            <w:pPr>
              <w:rPr>
                <w:rFonts w:ascii="Arial" w:hAnsi="Arial" w:cs="Arial"/>
                <w:b/>
                <w:sz w:val="20"/>
                <w:szCs w:val="20"/>
              </w:rPr>
            </w:pPr>
            <w:r w:rsidRPr="00AF7525">
              <w:rPr>
                <w:rFonts w:ascii="Arial" w:hAnsi="Arial" w:cs="Arial"/>
                <w:b/>
                <w:sz w:val="20"/>
                <w:szCs w:val="20"/>
              </w:rPr>
              <w:t>Handheld calling ban</w:t>
            </w:r>
          </w:p>
          <w:p w14:paraId="35A47A68" w14:textId="77777777" w:rsidR="008069C3" w:rsidRPr="00AF7525" w:rsidRDefault="008069C3" w:rsidP="00F74BC5">
            <w:pPr>
              <w:rPr>
                <w:rFonts w:ascii="Arial" w:hAnsi="Arial" w:cs="Arial"/>
                <w:b/>
                <w:sz w:val="20"/>
                <w:szCs w:val="20"/>
              </w:rPr>
            </w:pPr>
            <w:r w:rsidRPr="00AF7525">
              <w:rPr>
                <w:rFonts w:ascii="Arial" w:hAnsi="Arial" w:cs="Arial"/>
                <w:b/>
                <w:sz w:val="20"/>
                <w:szCs w:val="20"/>
              </w:rPr>
              <w:t>(Effective year)</w:t>
            </w:r>
          </w:p>
        </w:tc>
        <w:tc>
          <w:tcPr>
            <w:tcW w:w="954" w:type="pct"/>
            <w:tcBorders>
              <w:top w:val="single" w:sz="4" w:space="0" w:color="auto"/>
              <w:left w:val="nil"/>
              <w:bottom w:val="single" w:sz="4" w:space="0" w:color="auto"/>
              <w:right w:val="nil"/>
            </w:tcBorders>
            <w:shd w:val="clear" w:color="auto" w:fill="D0CECE" w:themeFill="background2" w:themeFillShade="E6"/>
          </w:tcPr>
          <w:p w14:paraId="01F8A59A" w14:textId="77777777" w:rsidR="008069C3" w:rsidRPr="00AF7525" w:rsidRDefault="008069C3" w:rsidP="00F74BC5">
            <w:pPr>
              <w:rPr>
                <w:rFonts w:ascii="Arial" w:hAnsi="Arial" w:cs="Arial"/>
                <w:b/>
                <w:sz w:val="20"/>
                <w:szCs w:val="20"/>
              </w:rPr>
            </w:pPr>
            <w:r w:rsidRPr="00AF7525">
              <w:rPr>
                <w:rFonts w:ascii="Arial" w:hAnsi="Arial" w:cs="Arial"/>
                <w:b/>
                <w:color w:val="000000"/>
                <w:sz w:val="20"/>
                <w:szCs w:val="20"/>
              </w:rPr>
              <w:t>Percentage of public school district in rural</w:t>
            </w:r>
          </w:p>
        </w:tc>
        <w:tc>
          <w:tcPr>
            <w:tcW w:w="697" w:type="pct"/>
            <w:tcBorders>
              <w:top w:val="single" w:sz="4" w:space="0" w:color="auto"/>
              <w:left w:val="nil"/>
              <w:bottom w:val="single" w:sz="4" w:space="0" w:color="auto"/>
              <w:right w:val="nil"/>
            </w:tcBorders>
            <w:shd w:val="clear" w:color="auto" w:fill="D0CECE" w:themeFill="background2" w:themeFillShade="E6"/>
          </w:tcPr>
          <w:p w14:paraId="3AF5B2CD" w14:textId="77777777" w:rsidR="008069C3" w:rsidRPr="00AF7525" w:rsidRDefault="008069C3" w:rsidP="00F74BC5">
            <w:pPr>
              <w:rPr>
                <w:rFonts w:ascii="Arial" w:hAnsi="Arial" w:cs="Arial"/>
                <w:b/>
                <w:sz w:val="20"/>
                <w:szCs w:val="20"/>
              </w:rPr>
            </w:pPr>
            <w:r w:rsidRPr="00AF7525">
              <w:rPr>
                <w:rFonts w:ascii="Arial" w:hAnsi="Arial" w:cs="Arial"/>
                <w:b/>
                <w:color w:val="000000"/>
                <w:sz w:val="20"/>
                <w:szCs w:val="20"/>
              </w:rPr>
              <w:t>GDL scores</w:t>
            </w:r>
          </w:p>
        </w:tc>
      </w:tr>
      <w:tr w:rsidR="008069C3" w:rsidRPr="00AF7525" w14:paraId="64F95CE1" w14:textId="77777777" w:rsidTr="00F74BC5">
        <w:trPr>
          <w:trHeight w:val="198"/>
        </w:trPr>
        <w:tc>
          <w:tcPr>
            <w:tcW w:w="674" w:type="pct"/>
            <w:tcBorders>
              <w:top w:val="single" w:sz="4" w:space="0" w:color="auto"/>
              <w:bottom w:val="nil"/>
              <w:right w:val="nil"/>
            </w:tcBorders>
            <w:shd w:val="clear" w:color="auto" w:fill="E7E6E6" w:themeFill="background2"/>
            <w:noWrap/>
            <w:hideMark/>
          </w:tcPr>
          <w:p w14:paraId="6FDD26DF" w14:textId="77777777" w:rsidR="008069C3" w:rsidRPr="00AF7525" w:rsidRDefault="008069C3" w:rsidP="00F74BC5">
            <w:pPr>
              <w:rPr>
                <w:rFonts w:ascii="Arial" w:hAnsi="Arial" w:cs="Arial"/>
                <w:b/>
                <w:sz w:val="20"/>
                <w:szCs w:val="20"/>
              </w:rPr>
            </w:pPr>
            <w:r w:rsidRPr="00AF7525">
              <w:rPr>
                <w:rFonts w:ascii="Arial" w:hAnsi="Arial" w:cs="Arial"/>
                <w:b/>
                <w:sz w:val="20"/>
                <w:szCs w:val="20"/>
              </w:rPr>
              <w:t>Alaska</w:t>
            </w:r>
          </w:p>
        </w:tc>
        <w:tc>
          <w:tcPr>
            <w:tcW w:w="1235" w:type="pct"/>
            <w:tcBorders>
              <w:top w:val="single" w:sz="4" w:space="0" w:color="auto"/>
              <w:left w:val="nil"/>
              <w:bottom w:val="nil"/>
              <w:right w:val="nil"/>
            </w:tcBorders>
            <w:shd w:val="clear" w:color="auto" w:fill="E7E6E6" w:themeFill="background2"/>
            <w:noWrap/>
            <w:hideMark/>
          </w:tcPr>
          <w:p w14:paraId="12292EE1"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1440" w:type="pct"/>
            <w:tcBorders>
              <w:top w:val="single" w:sz="4" w:space="0" w:color="auto"/>
              <w:left w:val="nil"/>
              <w:bottom w:val="nil"/>
              <w:right w:val="nil"/>
            </w:tcBorders>
            <w:shd w:val="clear" w:color="auto" w:fill="E7E6E6" w:themeFill="background2"/>
            <w:noWrap/>
            <w:hideMark/>
          </w:tcPr>
          <w:p w14:paraId="50F81693"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top w:val="single" w:sz="4" w:space="0" w:color="auto"/>
              <w:left w:val="nil"/>
              <w:bottom w:val="nil"/>
              <w:right w:val="nil"/>
            </w:tcBorders>
            <w:shd w:val="clear" w:color="auto" w:fill="E7E6E6" w:themeFill="background2"/>
          </w:tcPr>
          <w:p w14:paraId="5886DF04"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79.3</w:t>
            </w:r>
          </w:p>
        </w:tc>
        <w:tc>
          <w:tcPr>
            <w:tcW w:w="697" w:type="pct"/>
            <w:tcBorders>
              <w:top w:val="single" w:sz="4" w:space="0" w:color="auto"/>
              <w:left w:val="nil"/>
              <w:bottom w:val="nil"/>
              <w:right w:val="nil"/>
            </w:tcBorders>
            <w:shd w:val="clear" w:color="auto" w:fill="E7E6E6" w:themeFill="background2"/>
          </w:tcPr>
          <w:p w14:paraId="49267F95"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5 (Fair/Moderate)</w:t>
            </w:r>
          </w:p>
        </w:tc>
      </w:tr>
      <w:tr w:rsidR="008069C3" w:rsidRPr="00AF7525" w14:paraId="2AFA12C9" w14:textId="77777777" w:rsidTr="00F74BC5">
        <w:trPr>
          <w:trHeight w:val="198"/>
        </w:trPr>
        <w:tc>
          <w:tcPr>
            <w:tcW w:w="674" w:type="pct"/>
            <w:tcBorders>
              <w:top w:val="nil"/>
              <w:right w:val="nil"/>
            </w:tcBorders>
            <w:noWrap/>
            <w:hideMark/>
          </w:tcPr>
          <w:p w14:paraId="4D6D1734" w14:textId="77777777" w:rsidR="008069C3" w:rsidRPr="00AF7525" w:rsidRDefault="008069C3" w:rsidP="00F74BC5">
            <w:pPr>
              <w:rPr>
                <w:rFonts w:ascii="Arial" w:hAnsi="Arial" w:cs="Arial"/>
                <w:b/>
                <w:sz w:val="20"/>
                <w:szCs w:val="20"/>
              </w:rPr>
            </w:pPr>
            <w:r w:rsidRPr="00AF7525">
              <w:rPr>
                <w:rFonts w:ascii="Arial" w:hAnsi="Arial" w:cs="Arial"/>
                <w:b/>
                <w:sz w:val="20"/>
                <w:szCs w:val="20"/>
              </w:rPr>
              <w:t>Arkansas</w:t>
            </w:r>
          </w:p>
        </w:tc>
        <w:tc>
          <w:tcPr>
            <w:tcW w:w="1235" w:type="pct"/>
            <w:tcBorders>
              <w:top w:val="nil"/>
              <w:left w:val="nil"/>
              <w:right w:val="nil"/>
            </w:tcBorders>
            <w:noWrap/>
            <w:hideMark/>
          </w:tcPr>
          <w:p w14:paraId="6D1FFC35" w14:textId="77777777" w:rsidR="008069C3" w:rsidRPr="00AF7525" w:rsidRDefault="008069C3" w:rsidP="00F74BC5">
            <w:pPr>
              <w:rPr>
                <w:rFonts w:ascii="Arial" w:hAnsi="Arial" w:cs="Arial"/>
                <w:sz w:val="20"/>
                <w:szCs w:val="20"/>
              </w:rPr>
            </w:pPr>
            <w:r w:rsidRPr="00AF7525">
              <w:rPr>
                <w:rFonts w:ascii="Arial" w:hAnsi="Arial" w:cs="Arial"/>
                <w:sz w:val="20"/>
                <w:szCs w:val="20"/>
              </w:rPr>
              <w:t>Yes, 2009</w:t>
            </w:r>
          </w:p>
        </w:tc>
        <w:tc>
          <w:tcPr>
            <w:tcW w:w="1440" w:type="pct"/>
            <w:tcBorders>
              <w:top w:val="nil"/>
              <w:left w:val="nil"/>
              <w:right w:val="nil"/>
            </w:tcBorders>
            <w:noWrap/>
            <w:hideMark/>
          </w:tcPr>
          <w:p w14:paraId="7F1B60AE"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top w:val="nil"/>
              <w:left w:val="nil"/>
              <w:right w:val="nil"/>
            </w:tcBorders>
          </w:tcPr>
          <w:p w14:paraId="5858F4E9"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62.0</w:t>
            </w:r>
          </w:p>
        </w:tc>
        <w:tc>
          <w:tcPr>
            <w:tcW w:w="697" w:type="pct"/>
            <w:tcBorders>
              <w:top w:val="nil"/>
              <w:left w:val="nil"/>
              <w:right w:val="nil"/>
            </w:tcBorders>
          </w:tcPr>
          <w:p w14:paraId="67B878AA"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6 (Fair/Moderate)</w:t>
            </w:r>
          </w:p>
        </w:tc>
      </w:tr>
      <w:tr w:rsidR="008069C3" w:rsidRPr="00AF7525" w14:paraId="3388EAF8" w14:textId="77777777" w:rsidTr="00F74BC5">
        <w:trPr>
          <w:trHeight w:val="198"/>
        </w:trPr>
        <w:tc>
          <w:tcPr>
            <w:tcW w:w="674" w:type="pct"/>
            <w:tcBorders>
              <w:right w:val="nil"/>
            </w:tcBorders>
            <w:shd w:val="clear" w:color="auto" w:fill="E7E6E6" w:themeFill="background2"/>
            <w:noWrap/>
            <w:hideMark/>
          </w:tcPr>
          <w:p w14:paraId="56AF7A9E" w14:textId="77777777" w:rsidR="008069C3" w:rsidRPr="00AF7525" w:rsidRDefault="008069C3" w:rsidP="00F74BC5">
            <w:pPr>
              <w:rPr>
                <w:rFonts w:ascii="Arial" w:hAnsi="Arial" w:cs="Arial"/>
                <w:b/>
                <w:sz w:val="20"/>
                <w:szCs w:val="20"/>
              </w:rPr>
            </w:pPr>
            <w:r w:rsidRPr="00AF7525">
              <w:rPr>
                <w:rFonts w:ascii="Arial" w:hAnsi="Arial" w:cs="Arial"/>
                <w:b/>
                <w:sz w:val="20"/>
                <w:szCs w:val="20"/>
              </w:rPr>
              <w:t>Connecticut</w:t>
            </w:r>
          </w:p>
        </w:tc>
        <w:tc>
          <w:tcPr>
            <w:tcW w:w="1235" w:type="pct"/>
            <w:tcBorders>
              <w:left w:val="nil"/>
              <w:right w:val="nil"/>
            </w:tcBorders>
            <w:shd w:val="clear" w:color="auto" w:fill="E7E6E6" w:themeFill="background2"/>
            <w:noWrap/>
            <w:hideMark/>
          </w:tcPr>
          <w:p w14:paraId="24FFD1D2" w14:textId="77777777" w:rsidR="008069C3" w:rsidRPr="00AF7525" w:rsidRDefault="008069C3" w:rsidP="00F74BC5">
            <w:pPr>
              <w:rPr>
                <w:rFonts w:ascii="Arial" w:hAnsi="Arial" w:cs="Arial"/>
                <w:sz w:val="20"/>
                <w:szCs w:val="20"/>
              </w:rPr>
            </w:pPr>
            <w:r w:rsidRPr="00AF7525">
              <w:rPr>
                <w:rFonts w:ascii="Arial" w:hAnsi="Arial" w:cs="Arial"/>
                <w:sz w:val="20"/>
                <w:szCs w:val="20"/>
              </w:rPr>
              <w:t>Yes, 2005</w:t>
            </w:r>
          </w:p>
        </w:tc>
        <w:tc>
          <w:tcPr>
            <w:tcW w:w="1440" w:type="pct"/>
            <w:tcBorders>
              <w:left w:val="nil"/>
              <w:right w:val="nil"/>
            </w:tcBorders>
            <w:shd w:val="clear" w:color="auto" w:fill="E7E6E6" w:themeFill="background2"/>
            <w:noWrap/>
            <w:hideMark/>
          </w:tcPr>
          <w:p w14:paraId="052137A4" w14:textId="77777777" w:rsidR="008069C3" w:rsidRPr="00AF7525" w:rsidRDefault="008069C3" w:rsidP="00F74BC5">
            <w:pPr>
              <w:rPr>
                <w:rFonts w:ascii="Arial" w:hAnsi="Arial" w:cs="Arial"/>
                <w:sz w:val="20"/>
                <w:szCs w:val="20"/>
              </w:rPr>
            </w:pPr>
            <w:r w:rsidRPr="00AF7525">
              <w:rPr>
                <w:rFonts w:ascii="Arial" w:hAnsi="Arial" w:cs="Arial"/>
                <w:sz w:val="20"/>
                <w:szCs w:val="20"/>
              </w:rPr>
              <w:t xml:space="preserve">Yes, 2005; Not allow to talk into or </w:t>
            </w:r>
            <w:r>
              <w:rPr>
                <w:rFonts w:ascii="Arial" w:hAnsi="Arial" w:cs="Arial"/>
                <w:sz w:val="20"/>
                <w:szCs w:val="20"/>
              </w:rPr>
              <w:t>listen</w:t>
            </w:r>
            <w:r w:rsidRPr="00AF7525">
              <w:rPr>
                <w:rFonts w:ascii="Arial" w:hAnsi="Arial" w:cs="Arial"/>
                <w:sz w:val="20"/>
                <w:szCs w:val="20"/>
              </w:rPr>
              <w:t xml:space="preserve"> on a hand-held mobile telephone</w:t>
            </w:r>
          </w:p>
        </w:tc>
        <w:tc>
          <w:tcPr>
            <w:tcW w:w="954" w:type="pct"/>
            <w:tcBorders>
              <w:left w:val="nil"/>
              <w:right w:val="nil"/>
            </w:tcBorders>
            <w:shd w:val="clear" w:color="auto" w:fill="E7E6E6" w:themeFill="background2"/>
          </w:tcPr>
          <w:p w14:paraId="66603397"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37.3</w:t>
            </w:r>
          </w:p>
        </w:tc>
        <w:tc>
          <w:tcPr>
            <w:tcW w:w="697" w:type="pct"/>
            <w:tcBorders>
              <w:left w:val="nil"/>
              <w:right w:val="nil"/>
            </w:tcBorders>
            <w:shd w:val="clear" w:color="auto" w:fill="E7E6E6" w:themeFill="background2"/>
          </w:tcPr>
          <w:p w14:paraId="13A81DB8"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11 (Excellent)</w:t>
            </w:r>
          </w:p>
        </w:tc>
      </w:tr>
      <w:tr w:rsidR="008069C3" w:rsidRPr="00AF7525" w14:paraId="5324E03F" w14:textId="77777777" w:rsidTr="00F74BC5">
        <w:trPr>
          <w:trHeight w:val="198"/>
        </w:trPr>
        <w:tc>
          <w:tcPr>
            <w:tcW w:w="674" w:type="pct"/>
            <w:tcBorders>
              <w:right w:val="nil"/>
            </w:tcBorders>
            <w:noWrap/>
            <w:hideMark/>
          </w:tcPr>
          <w:p w14:paraId="26AAFEBE" w14:textId="77777777" w:rsidR="008069C3" w:rsidRPr="00AF7525" w:rsidRDefault="008069C3" w:rsidP="00F74BC5">
            <w:pPr>
              <w:rPr>
                <w:rFonts w:ascii="Arial" w:hAnsi="Arial" w:cs="Arial"/>
                <w:b/>
                <w:sz w:val="20"/>
                <w:szCs w:val="20"/>
              </w:rPr>
            </w:pPr>
            <w:r w:rsidRPr="00AF7525">
              <w:rPr>
                <w:rFonts w:ascii="Arial" w:hAnsi="Arial" w:cs="Arial"/>
                <w:b/>
                <w:sz w:val="20"/>
                <w:szCs w:val="20"/>
              </w:rPr>
              <w:t>Massachusetts</w:t>
            </w:r>
          </w:p>
        </w:tc>
        <w:tc>
          <w:tcPr>
            <w:tcW w:w="1235" w:type="pct"/>
            <w:tcBorders>
              <w:left w:val="nil"/>
              <w:right w:val="nil"/>
            </w:tcBorders>
            <w:noWrap/>
            <w:hideMark/>
          </w:tcPr>
          <w:p w14:paraId="08FB7FEA" w14:textId="77777777" w:rsidR="008069C3" w:rsidRPr="00AF7525" w:rsidRDefault="008069C3" w:rsidP="00F74BC5">
            <w:pPr>
              <w:rPr>
                <w:rFonts w:ascii="Arial" w:hAnsi="Arial" w:cs="Arial"/>
                <w:sz w:val="20"/>
                <w:szCs w:val="20"/>
              </w:rPr>
            </w:pPr>
            <w:r w:rsidRPr="00AF7525">
              <w:rPr>
                <w:rFonts w:ascii="Arial" w:hAnsi="Arial" w:cs="Arial"/>
                <w:sz w:val="20"/>
                <w:szCs w:val="20"/>
              </w:rPr>
              <w:t>Yes, 2010</w:t>
            </w:r>
          </w:p>
        </w:tc>
        <w:tc>
          <w:tcPr>
            <w:tcW w:w="1440" w:type="pct"/>
            <w:tcBorders>
              <w:left w:val="nil"/>
              <w:right w:val="nil"/>
            </w:tcBorders>
            <w:noWrap/>
            <w:hideMark/>
          </w:tcPr>
          <w:p w14:paraId="3366F306"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tcPr>
          <w:p w14:paraId="0F85FDCE"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16.8</w:t>
            </w:r>
          </w:p>
        </w:tc>
        <w:tc>
          <w:tcPr>
            <w:tcW w:w="697" w:type="pct"/>
            <w:tcBorders>
              <w:left w:val="nil"/>
              <w:right w:val="nil"/>
            </w:tcBorders>
          </w:tcPr>
          <w:p w14:paraId="22668C66"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9 (Excellent)</w:t>
            </w:r>
          </w:p>
        </w:tc>
      </w:tr>
      <w:tr w:rsidR="008069C3" w:rsidRPr="00AF7525" w14:paraId="1E61BD2E" w14:textId="77777777" w:rsidTr="00F74BC5">
        <w:trPr>
          <w:trHeight w:val="198"/>
        </w:trPr>
        <w:tc>
          <w:tcPr>
            <w:tcW w:w="674" w:type="pct"/>
            <w:tcBorders>
              <w:right w:val="nil"/>
            </w:tcBorders>
            <w:shd w:val="clear" w:color="auto" w:fill="E7E6E6" w:themeFill="background2"/>
            <w:noWrap/>
            <w:hideMark/>
          </w:tcPr>
          <w:p w14:paraId="48BBBDC2" w14:textId="77777777" w:rsidR="008069C3" w:rsidRPr="00AF7525" w:rsidRDefault="008069C3" w:rsidP="00F74BC5">
            <w:pPr>
              <w:rPr>
                <w:rFonts w:ascii="Arial" w:hAnsi="Arial" w:cs="Arial"/>
                <w:b/>
                <w:sz w:val="20"/>
                <w:szCs w:val="20"/>
              </w:rPr>
            </w:pPr>
            <w:r w:rsidRPr="00AF7525">
              <w:rPr>
                <w:rFonts w:ascii="Arial" w:hAnsi="Arial" w:cs="Arial"/>
                <w:b/>
                <w:sz w:val="20"/>
                <w:szCs w:val="20"/>
              </w:rPr>
              <w:t>Maryland</w:t>
            </w:r>
          </w:p>
        </w:tc>
        <w:tc>
          <w:tcPr>
            <w:tcW w:w="1235" w:type="pct"/>
            <w:tcBorders>
              <w:left w:val="nil"/>
              <w:right w:val="nil"/>
            </w:tcBorders>
            <w:shd w:val="clear" w:color="auto" w:fill="E7E6E6" w:themeFill="background2"/>
            <w:noWrap/>
            <w:hideMark/>
          </w:tcPr>
          <w:p w14:paraId="656B9264" w14:textId="77777777" w:rsidR="008069C3" w:rsidRPr="00AF7525" w:rsidRDefault="008069C3" w:rsidP="00F74BC5">
            <w:pPr>
              <w:rPr>
                <w:rFonts w:ascii="Arial" w:hAnsi="Arial" w:cs="Arial"/>
                <w:sz w:val="20"/>
                <w:szCs w:val="20"/>
              </w:rPr>
            </w:pPr>
            <w:r w:rsidRPr="00AF7525">
              <w:rPr>
                <w:rFonts w:ascii="Arial" w:hAnsi="Arial" w:cs="Arial"/>
                <w:sz w:val="20"/>
                <w:szCs w:val="20"/>
              </w:rPr>
              <w:t>Yes, 2005</w:t>
            </w:r>
          </w:p>
        </w:tc>
        <w:tc>
          <w:tcPr>
            <w:tcW w:w="1440" w:type="pct"/>
            <w:tcBorders>
              <w:left w:val="nil"/>
              <w:right w:val="nil"/>
            </w:tcBorders>
            <w:shd w:val="clear" w:color="auto" w:fill="E7E6E6" w:themeFill="background2"/>
            <w:noWrap/>
            <w:hideMark/>
          </w:tcPr>
          <w:p w14:paraId="6ADBFB24" w14:textId="77777777" w:rsidR="008069C3" w:rsidRPr="00AF7525" w:rsidRDefault="008069C3" w:rsidP="00F74BC5">
            <w:pPr>
              <w:rPr>
                <w:rFonts w:ascii="Arial" w:hAnsi="Arial" w:cs="Arial"/>
                <w:sz w:val="20"/>
                <w:szCs w:val="20"/>
              </w:rPr>
            </w:pPr>
            <w:r w:rsidRPr="00AF7525">
              <w:rPr>
                <w:rFonts w:ascii="Arial" w:hAnsi="Arial" w:cs="Arial"/>
                <w:sz w:val="20"/>
                <w:szCs w:val="20"/>
              </w:rPr>
              <w:t>Yes, 2010; Not allow to use the driver's hands to use a handheld telephone other than to initiate or terminate a wireless telephone call or to turn on or turn off the handheld telephone</w:t>
            </w:r>
          </w:p>
        </w:tc>
        <w:tc>
          <w:tcPr>
            <w:tcW w:w="954" w:type="pct"/>
            <w:tcBorders>
              <w:left w:val="nil"/>
              <w:right w:val="nil"/>
            </w:tcBorders>
            <w:shd w:val="clear" w:color="auto" w:fill="E7E6E6" w:themeFill="background2"/>
          </w:tcPr>
          <w:p w14:paraId="143E74BD"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25.0</w:t>
            </w:r>
          </w:p>
        </w:tc>
        <w:tc>
          <w:tcPr>
            <w:tcW w:w="697" w:type="pct"/>
            <w:tcBorders>
              <w:left w:val="nil"/>
              <w:right w:val="nil"/>
            </w:tcBorders>
            <w:shd w:val="clear" w:color="auto" w:fill="E7E6E6" w:themeFill="background2"/>
          </w:tcPr>
          <w:p w14:paraId="3B11366D"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10 (Excellent)</w:t>
            </w:r>
          </w:p>
        </w:tc>
      </w:tr>
      <w:tr w:rsidR="008069C3" w:rsidRPr="00AF7525" w14:paraId="40E436AB" w14:textId="77777777" w:rsidTr="00F74BC5">
        <w:trPr>
          <w:trHeight w:val="198"/>
        </w:trPr>
        <w:tc>
          <w:tcPr>
            <w:tcW w:w="674" w:type="pct"/>
            <w:tcBorders>
              <w:right w:val="nil"/>
            </w:tcBorders>
            <w:noWrap/>
            <w:hideMark/>
          </w:tcPr>
          <w:p w14:paraId="26A34F6D" w14:textId="77777777" w:rsidR="008069C3" w:rsidRPr="00AF7525" w:rsidRDefault="008069C3" w:rsidP="00F74BC5">
            <w:pPr>
              <w:rPr>
                <w:rFonts w:ascii="Arial" w:hAnsi="Arial" w:cs="Arial"/>
                <w:b/>
                <w:sz w:val="20"/>
                <w:szCs w:val="20"/>
              </w:rPr>
            </w:pPr>
            <w:r w:rsidRPr="00AF7525">
              <w:rPr>
                <w:rFonts w:ascii="Arial" w:hAnsi="Arial" w:cs="Arial"/>
                <w:b/>
                <w:sz w:val="20"/>
                <w:szCs w:val="20"/>
              </w:rPr>
              <w:t>Missouri</w:t>
            </w:r>
          </w:p>
        </w:tc>
        <w:tc>
          <w:tcPr>
            <w:tcW w:w="1235" w:type="pct"/>
            <w:tcBorders>
              <w:left w:val="nil"/>
              <w:right w:val="nil"/>
            </w:tcBorders>
            <w:noWrap/>
            <w:hideMark/>
          </w:tcPr>
          <w:p w14:paraId="622AC789" w14:textId="77777777" w:rsidR="008069C3" w:rsidRPr="00AF7525" w:rsidRDefault="008069C3" w:rsidP="00F74BC5">
            <w:pPr>
              <w:rPr>
                <w:rFonts w:ascii="Arial" w:hAnsi="Arial" w:cs="Arial"/>
                <w:sz w:val="20"/>
                <w:szCs w:val="20"/>
              </w:rPr>
            </w:pPr>
            <w:r w:rsidRPr="00AF7525">
              <w:rPr>
                <w:rFonts w:ascii="Arial" w:hAnsi="Arial" w:cs="Arial"/>
                <w:sz w:val="20"/>
                <w:szCs w:val="20"/>
              </w:rPr>
              <w:t>No ban (</w:t>
            </w:r>
            <w:r>
              <w:rPr>
                <w:rFonts w:ascii="Arial" w:hAnsi="Arial" w:cs="Arial"/>
                <w:sz w:val="20"/>
                <w:szCs w:val="20"/>
              </w:rPr>
              <w:t>only b</w:t>
            </w:r>
            <w:r w:rsidRPr="00AF7525">
              <w:rPr>
                <w:rFonts w:ascii="Arial" w:hAnsi="Arial" w:cs="Arial"/>
                <w:sz w:val="20"/>
                <w:szCs w:val="20"/>
              </w:rPr>
              <w:t>an texting for young drivers, 2009)</w:t>
            </w:r>
          </w:p>
        </w:tc>
        <w:tc>
          <w:tcPr>
            <w:tcW w:w="1440" w:type="pct"/>
            <w:tcBorders>
              <w:left w:val="nil"/>
              <w:right w:val="nil"/>
            </w:tcBorders>
            <w:noWrap/>
            <w:hideMark/>
          </w:tcPr>
          <w:p w14:paraId="1E35C2CA"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tcPr>
          <w:p w14:paraId="0F7E8811"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69.5</w:t>
            </w:r>
          </w:p>
        </w:tc>
        <w:tc>
          <w:tcPr>
            <w:tcW w:w="697" w:type="pct"/>
            <w:tcBorders>
              <w:left w:val="nil"/>
              <w:right w:val="nil"/>
            </w:tcBorders>
          </w:tcPr>
          <w:p w14:paraId="0436AF00"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 (Good)</w:t>
            </w:r>
          </w:p>
        </w:tc>
      </w:tr>
      <w:tr w:rsidR="008069C3" w:rsidRPr="00AF7525" w14:paraId="5EA8A9A4" w14:textId="77777777" w:rsidTr="00F74BC5">
        <w:trPr>
          <w:trHeight w:val="198"/>
        </w:trPr>
        <w:tc>
          <w:tcPr>
            <w:tcW w:w="674" w:type="pct"/>
            <w:tcBorders>
              <w:right w:val="nil"/>
            </w:tcBorders>
            <w:shd w:val="clear" w:color="auto" w:fill="E7E6E6" w:themeFill="background2"/>
            <w:noWrap/>
            <w:hideMark/>
          </w:tcPr>
          <w:p w14:paraId="0E120349" w14:textId="77777777" w:rsidR="008069C3" w:rsidRPr="00AF7525" w:rsidRDefault="008069C3" w:rsidP="00F74BC5">
            <w:pPr>
              <w:rPr>
                <w:rFonts w:ascii="Arial" w:hAnsi="Arial" w:cs="Arial"/>
                <w:b/>
                <w:sz w:val="20"/>
                <w:szCs w:val="20"/>
              </w:rPr>
            </w:pPr>
            <w:r w:rsidRPr="00AF7525">
              <w:rPr>
                <w:rFonts w:ascii="Arial" w:hAnsi="Arial" w:cs="Arial"/>
                <w:b/>
                <w:sz w:val="20"/>
                <w:szCs w:val="20"/>
              </w:rPr>
              <w:t>Montana</w:t>
            </w:r>
          </w:p>
        </w:tc>
        <w:tc>
          <w:tcPr>
            <w:tcW w:w="1235" w:type="pct"/>
            <w:tcBorders>
              <w:left w:val="nil"/>
              <w:right w:val="nil"/>
            </w:tcBorders>
            <w:shd w:val="clear" w:color="auto" w:fill="E7E6E6" w:themeFill="background2"/>
            <w:noWrap/>
            <w:hideMark/>
          </w:tcPr>
          <w:p w14:paraId="6414ADBB"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1440" w:type="pct"/>
            <w:tcBorders>
              <w:left w:val="nil"/>
              <w:right w:val="nil"/>
            </w:tcBorders>
            <w:shd w:val="clear" w:color="auto" w:fill="E7E6E6" w:themeFill="background2"/>
            <w:noWrap/>
            <w:hideMark/>
          </w:tcPr>
          <w:p w14:paraId="0859D134"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shd w:val="clear" w:color="auto" w:fill="E7E6E6" w:themeFill="background2"/>
          </w:tcPr>
          <w:p w14:paraId="78BB6B70"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83.8</w:t>
            </w:r>
          </w:p>
        </w:tc>
        <w:tc>
          <w:tcPr>
            <w:tcW w:w="697" w:type="pct"/>
            <w:tcBorders>
              <w:left w:val="nil"/>
              <w:right w:val="nil"/>
            </w:tcBorders>
            <w:shd w:val="clear" w:color="auto" w:fill="E7E6E6" w:themeFill="background2"/>
          </w:tcPr>
          <w:p w14:paraId="4915A6B1"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7 (Fair/Moderate)</w:t>
            </w:r>
          </w:p>
        </w:tc>
      </w:tr>
      <w:tr w:rsidR="008069C3" w:rsidRPr="00AF7525" w14:paraId="47A040A5" w14:textId="77777777" w:rsidTr="00F74BC5">
        <w:trPr>
          <w:trHeight w:val="198"/>
        </w:trPr>
        <w:tc>
          <w:tcPr>
            <w:tcW w:w="674" w:type="pct"/>
            <w:tcBorders>
              <w:right w:val="nil"/>
            </w:tcBorders>
            <w:noWrap/>
            <w:hideMark/>
          </w:tcPr>
          <w:p w14:paraId="0780F483" w14:textId="77777777" w:rsidR="008069C3" w:rsidRPr="00AF7525" w:rsidRDefault="008069C3" w:rsidP="00F74BC5">
            <w:pPr>
              <w:rPr>
                <w:rFonts w:ascii="Arial" w:hAnsi="Arial" w:cs="Arial"/>
                <w:b/>
                <w:sz w:val="20"/>
                <w:szCs w:val="20"/>
              </w:rPr>
            </w:pPr>
            <w:r w:rsidRPr="00AF7525">
              <w:rPr>
                <w:rFonts w:ascii="Arial" w:hAnsi="Arial" w:cs="Arial"/>
                <w:b/>
                <w:sz w:val="20"/>
                <w:szCs w:val="20"/>
              </w:rPr>
              <w:t>Nebraska</w:t>
            </w:r>
          </w:p>
        </w:tc>
        <w:tc>
          <w:tcPr>
            <w:tcW w:w="1235" w:type="pct"/>
            <w:tcBorders>
              <w:left w:val="nil"/>
              <w:right w:val="nil"/>
            </w:tcBorders>
            <w:noWrap/>
            <w:hideMark/>
          </w:tcPr>
          <w:p w14:paraId="793109B2" w14:textId="77777777" w:rsidR="008069C3" w:rsidRPr="00AF7525" w:rsidRDefault="008069C3" w:rsidP="00F74BC5">
            <w:pPr>
              <w:rPr>
                <w:rFonts w:ascii="Arial" w:hAnsi="Arial" w:cs="Arial"/>
                <w:sz w:val="20"/>
                <w:szCs w:val="20"/>
              </w:rPr>
            </w:pPr>
            <w:r w:rsidRPr="00AF7525">
              <w:rPr>
                <w:rFonts w:ascii="Arial" w:hAnsi="Arial" w:cs="Arial"/>
                <w:sz w:val="20"/>
                <w:szCs w:val="20"/>
              </w:rPr>
              <w:t>Yes, 2008</w:t>
            </w:r>
          </w:p>
        </w:tc>
        <w:tc>
          <w:tcPr>
            <w:tcW w:w="1440" w:type="pct"/>
            <w:tcBorders>
              <w:left w:val="nil"/>
              <w:right w:val="nil"/>
            </w:tcBorders>
            <w:noWrap/>
            <w:hideMark/>
          </w:tcPr>
          <w:p w14:paraId="694DF623"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tcPr>
          <w:p w14:paraId="6EE87BF2"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79.5</w:t>
            </w:r>
          </w:p>
        </w:tc>
        <w:tc>
          <w:tcPr>
            <w:tcW w:w="697" w:type="pct"/>
            <w:tcBorders>
              <w:left w:val="nil"/>
              <w:right w:val="nil"/>
            </w:tcBorders>
          </w:tcPr>
          <w:p w14:paraId="67E7EDF2"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 (Good)</w:t>
            </w:r>
          </w:p>
        </w:tc>
      </w:tr>
      <w:tr w:rsidR="008069C3" w:rsidRPr="00AF7525" w14:paraId="0BED457C" w14:textId="77777777" w:rsidTr="00F74BC5">
        <w:trPr>
          <w:trHeight w:val="198"/>
        </w:trPr>
        <w:tc>
          <w:tcPr>
            <w:tcW w:w="674" w:type="pct"/>
            <w:tcBorders>
              <w:right w:val="nil"/>
            </w:tcBorders>
            <w:shd w:val="clear" w:color="auto" w:fill="E7E6E6" w:themeFill="background2"/>
            <w:noWrap/>
            <w:hideMark/>
          </w:tcPr>
          <w:p w14:paraId="69DCCAB6" w14:textId="77777777" w:rsidR="008069C3" w:rsidRPr="00AF7525" w:rsidRDefault="008069C3" w:rsidP="00F74BC5">
            <w:pPr>
              <w:rPr>
                <w:rFonts w:ascii="Arial" w:hAnsi="Arial" w:cs="Arial"/>
                <w:b/>
                <w:sz w:val="20"/>
                <w:szCs w:val="20"/>
              </w:rPr>
            </w:pPr>
            <w:r w:rsidRPr="00AF7525">
              <w:rPr>
                <w:rFonts w:ascii="Arial" w:hAnsi="Arial" w:cs="Arial"/>
                <w:b/>
                <w:sz w:val="20"/>
                <w:szCs w:val="20"/>
              </w:rPr>
              <w:t>North Dakota</w:t>
            </w:r>
          </w:p>
        </w:tc>
        <w:tc>
          <w:tcPr>
            <w:tcW w:w="1235" w:type="pct"/>
            <w:tcBorders>
              <w:left w:val="nil"/>
              <w:right w:val="nil"/>
            </w:tcBorders>
            <w:shd w:val="clear" w:color="auto" w:fill="E7E6E6" w:themeFill="background2"/>
            <w:noWrap/>
            <w:hideMark/>
          </w:tcPr>
          <w:p w14:paraId="5659A0FA" w14:textId="77777777" w:rsidR="008069C3" w:rsidRPr="00AF7525" w:rsidRDefault="008069C3" w:rsidP="00F74BC5">
            <w:pPr>
              <w:rPr>
                <w:rFonts w:ascii="Arial" w:hAnsi="Arial" w:cs="Arial"/>
                <w:sz w:val="20"/>
                <w:szCs w:val="20"/>
              </w:rPr>
            </w:pPr>
            <w:r w:rsidRPr="00AF7525">
              <w:rPr>
                <w:rFonts w:ascii="Arial" w:hAnsi="Arial" w:cs="Arial"/>
                <w:sz w:val="20"/>
                <w:szCs w:val="20"/>
              </w:rPr>
              <w:t>Yes, 2012</w:t>
            </w:r>
          </w:p>
        </w:tc>
        <w:tc>
          <w:tcPr>
            <w:tcW w:w="1440" w:type="pct"/>
            <w:tcBorders>
              <w:left w:val="nil"/>
              <w:right w:val="nil"/>
            </w:tcBorders>
            <w:shd w:val="clear" w:color="auto" w:fill="E7E6E6" w:themeFill="background2"/>
            <w:noWrap/>
            <w:hideMark/>
          </w:tcPr>
          <w:p w14:paraId="47817022"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shd w:val="clear" w:color="auto" w:fill="E7E6E6" w:themeFill="background2"/>
          </w:tcPr>
          <w:p w14:paraId="4BB7B5F9"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89.2</w:t>
            </w:r>
          </w:p>
        </w:tc>
        <w:tc>
          <w:tcPr>
            <w:tcW w:w="697" w:type="pct"/>
            <w:tcBorders>
              <w:left w:val="nil"/>
              <w:right w:val="nil"/>
            </w:tcBorders>
            <w:shd w:val="clear" w:color="auto" w:fill="E7E6E6" w:themeFill="background2"/>
          </w:tcPr>
          <w:p w14:paraId="61CCE154"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 (Good)</w:t>
            </w:r>
          </w:p>
        </w:tc>
      </w:tr>
      <w:tr w:rsidR="008069C3" w:rsidRPr="00AF7525" w14:paraId="6F3717DE" w14:textId="77777777" w:rsidTr="00F74BC5">
        <w:trPr>
          <w:trHeight w:val="198"/>
        </w:trPr>
        <w:tc>
          <w:tcPr>
            <w:tcW w:w="674" w:type="pct"/>
            <w:tcBorders>
              <w:right w:val="nil"/>
            </w:tcBorders>
            <w:shd w:val="clear" w:color="auto" w:fill="FFFFFF" w:themeFill="background1"/>
            <w:noWrap/>
            <w:hideMark/>
          </w:tcPr>
          <w:p w14:paraId="288F6417" w14:textId="77777777" w:rsidR="008069C3" w:rsidRPr="00AF7525" w:rsidRDefault="008069C3" w:rsidP="00F74BC5">
            <w:pPr>
              <w:rPr>
                <w:rFonts w:ascii="Arial" w:hAnsi="Arial" w:cs="Arial"/>
                <w:b/>
                <w:sz w:val="20"/>
                <w:szCs w:val="20"/>
              </w:rPr>
            </w:pPr>
            <w:r w:rsidRPr="00AF7525">
              <w:rPr>
                <w:rFonts w:ascii="Arial" w:hAnsi="Arial" w:cs="Arial"/>
                <w:b/>
                <w:sz w:val="20"/>
                <w:szCs w:val="20"/>
              </w:rPr>
              <w:t>New Jersey</w:t>
            </w:r>
          </w:p>
        </w:tc>
        <w:tc>
          <w:tcPr>
            <w:tcW w:w="1235" w:type="pct"/>
            <w:tcBorders>
              <w:left w:val="nil"/>
              <w:right w:val="nil"/>
            </w:tcBorders>
            <w:shd w:val="clear" w:color="auto" w:fill="FFFFFF" w:themeFill="background1"/>
            <w:noWrap/>
            <w:hideMark/>
          </w:tcPr>
          <w:p w14:paraId="1FFF891E" w14:textId="77777777" w:rsidR="008069C3" w:rsidRPr="00AF7525" w:rsidRDefault="008069C3" w:rsidP="00F74BC5">
            <w:pPr>
              <w:rPr>
                <w:rFonts w:ascii="Arial" w:hAnsi="Arial" w:cs="Arial"/>
                <w:sz w:val="20"/>
                <w:szCs w:val="20"/>
              </w:rPr>
            </w:pPr>
            <w:r w:rsidRPr="00AF7525">
              <w:rPr>
                <w:rFonts w:ascii="Arial" w:hAnsi="Arial" w:cs="Arial"/>
                <w:sz w:val="20"/>
                <w:szCs w:val="20"/>
              </w:rPr>
              <w:t>Yes, 2002</w:t>
            </w:r>
          </w:p>
        </w:tc>
        <w:tc>
          <w:tcPr>
            <w:tcW w:w="1440" w:type="pct"/>
            <w:tcBorders>
              <w:left w:val="nil"/>
              <w:right w:val="nil"/>
            </w:tcBorders>
            <w:shd w:val="clear" w:color="auto" w:fill="FFFFFF" w:themeFill="background1"/>
            <w:noWrap/>
            <w:hideMark/>
          </w:tcPr>
          <w:p w14:paraId="293C17AC" w14:textId="77777777" w:rsidR="008069C3" w:rsidRPr="00AF7525" w:rsidRDefault="008069C3" w:rsidP="00F74BC5">
            <w:pPr>
              <w:rPr>
                <w:rFonts w:ascii="Arial" w:hAnsi="Arial" w:cs="Arial"/>
                <w:sz w:val="20"/>
                <w:szCs w:val="20"/>
              </w:rPr>
            </w:pPr>
            <w:r>
              <w:rPr>
                <w:rFonts w:ascii="Arial" w:hAnsi="Arial" w:cs="Arial"/>
                <w:sz w:val="20"/>
                <w:szCs w:val="20"/>
              </w:rPr>
              <w:t>Yes, 2004; Not allow to talk or listen</w:t>
            </w:r>
            <w:r w:rsidRPr="00AF7525">
              <w:rPr>
                <w:rFonts w:ascii="Arial" w:hAnsi="Arial" w:cs="Arial"/>
                <w:sz w:val="20"/>
                <w:szCs w:val="20"/>
              </w:rPr>
              <w:t xml:space="preserve"> to another person on the handheld telephone </w:t>
            </w:r>
          </w:p>
        </w:tc>
        <w:tc>
          <w:tcPr>
            <w:tcW w:w="954" w:type="pct"/>
            <w:tcBorders>
              <w:left w:val="nil"/>
              <w:right w:val="nil"/>
            </w:tcBorders>
            <w:shd w:val="clear" w:color="auto" w:fill="FFFFFF" w:themeFill="background1"/>
          </w:tcPr>
          <w:p w14:paraId="0164D7D0"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17.6</w:t>
            </w:r>
          </w:p>
        </w:tc>
        <w:tc>
          <w:tcPr>
            <w:tcW w:w="697" w:type="pct"/>
            <w:tcBorders>
              <w:left w:val="nil"/>
              <w:right w:val="nil"/>
            </w:tcBorders>
            <w:shd w:val="clear" w:color="auto" w:fill="FFFFFF" w:themeFill="background1"/>
          </w:tcPr>
          <w:p w14:paraId="14B7EE21"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9 (Excellent)</w:t>
            </w:r>
          </w:p>
        </w:tc>
      </w:tr>
      <w:tr w:rsidR="008069C3" w:rsidRPr="00AF7525" w14:paraId="4015E947" w14:textId="77777777" w:rsidTr="00F74BC5">
        <w:trPr>
          <w:trHeight w:val="198"/>
        </w:trPr>
        <w:tc>
          <w:tcPr>
            <w:tcW w:w="674" w:type="pct"/>
            <w:tcBorders>
              <w:right w:val="nil"/>
            </w:tcBorders>
            <w:shd w:val="clear" w:color="auto" w:fill="E7E6E6" w:themeFill="background2"/>
            <w:noWrap/>
            <w:hideMark/>
          </w:tcPr>
          <w:p w14:paraId="2F9B879D" w14:textId="77777777" w:rsidR="008069C3" w:rsidRPr="00AF7525" w:rsidRDefault="008069C3" w:rsidP="00F74BC5">
            <w:pPr>
              <w:rPr>
                <w:rFonts w:ascii="Arial" w:hAnsi="Arial" w:cs="Arial"/>
                <w:b/>
                <w:sz w:val="20"/>
                <w:szCs w:val="20"/>
              </w:rPr>
            </w:pPr>
            <w:r w:rsidRPr="00AF7525">
              <w:rPr>
                <w:rFonts w:ascii="Arial" w:hAnsi="Arial" w:cs="Arial"/>
                <w:b/>
                <w:sz w:val="20"/>
                <w:szCs w:val="20"/>
              </w:rPr>
              <w:t>Rhode Island</w:t>
            </w:r>
          </w:p>
        </w:tc>
        <w:tc>
          <w:tcPr>
            <w:tcW w:w="1235" w:type="pct"/>
            <w:tcBorders>
              <w:left w:val="nil"/>
              <w:right w:val="nil"/>
            </w:tcBorders>
            <w:shd w:val="clear" w:color="auto" w:fill="E7E6E6" w:themeFill="background2"/>
            <w:noWrap/>
            <w:hideMark/>
          </w:tcPr>
          <w:p w14:paraId="7CAE59BD" w14:textId="77777777" w:rsidR="008069C3" w:rsidRPr="00AF7525" w:rsidRDefault="008069C3" w:rsidP="00F74BC5">
            <w:pPr>
              <w:rPr>
                <w:rFonts w:ascii="Arial" w:hAnsi="Arial" w:cs="Arial"/>
                <w:sz w:val="20"/>
                <w:szCs w:val="20"/>
              </w:rPr>
            </w:pPr>
            <w:r w:rsidRPr="00AF7525">
              <w:rPr>
                <w:rFonts w:ascii="Arial" w:hAnsi="Arial" w:cs="Arial"/>
                <w:sz w:val="20"/>
                <w:szCs w:val="20"/>
              </w:rPr>
              <w:t>Yes, 2006</w:t>
            </w:r>
          </w:p>
        </w:tc>
        <w:tc>
          <w:tcPr>
            <w:tcW w:w="1440" w:type="pct"/>
            <w:tcBorders>
              <w:left w:val="nil"/>
              <w:right w:val="nil"/>
            </w:tcBorders>
            <w:shd w:val="clear" w:color="auto" w:fill="E7E6E6" w:themeFill="background2"/>
            <w:noWrap/>
            <w:hideMark/>
          </w:tcPr>
          <w:p w14:paraId="47B5A158" w14:textId="77777777" w:rsidR="008069C3" w:rsidRPr="00AF7525" w:rsidRDefault="008069C3" w:rsidP="00F74BC5">
            <w:pPr>
              <w:rPr>
                <w:rFonts w:ascii="Arial" w:hAnsi="Arial" w:cs="Arial"/>
                <w:sz w:val="20"/>
                <w:szCs w:val="20"/>
              </w:rPr>
            </w:pPr>
            <w:r w:rsidRPr="00AF7525">
              <w:rPr>
                <w:rFonts w:ascii="Arial" w:hAnsi="Arial" w:cs="Arial"/>
                <w:sz w:val="20"/>
                <w:szCs w:val="20"/>
              </w:rPr>
              <w:t>No ban during study period (Effective in 2018)</w:t>
            </w:r>
          </w:p>
        </w:tc>
        <w:tc>
          <w:tcPr>
            <w:tcW w:w="954" w:type="pct"/>
            <w:tcBorders>
              <w:left w:val="nil"/>
              <w:right w:val="nil"/>
            </w:tcBorders>
            <w:shd w:val="clear" w:color="auto" w:fill="E7E6E6" w:themeFill="background2"/>
          </w:tcPr>
          <w:p w14:paraId="1DFB8636"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17.1</w:t>
            </w:r>
          </w:p>
        </w:tc>
        <w:tc>
          <w:tcPr>
            <w:tcW w:w="697" w:type="pct"/>
            <w:tcBorders>
              <w:left w:val="nil"/>
              <w:right w:val="nil"/>
            </w:tcBorders>
            <w:shd w:val="clear" w:color="auto" w:fill="E7E6E6" w:themeFill="background2"/>
          </w:tcPr>
          <w:p w14:paraId="555885E8"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10 (Excellent)</w:t>
            </w:r>
          </w:p>
        </w:tc>
      </w:tr>
      <w:tr w:rsidR="008069C3" w:rsidRPr="00AF7525" w14:paraId="2F09063A" w14:textId="77777777" w:rsidTr="00F74BC5">
        <w:trPr>
          <w:trHeight w:val="198"/>
        </w:trPr>
        <w:tc>
          <w:tcPr>
            <w:tcW w:w="674" w:type="pct"/>
            <w:tcBorders>
              <w:right w:val="nil"/>
            </w:tcBorders>
            <w:noWrap/>
            <w:hideMark/>
          </w:tcPr>
          <w:p w14:paraId="23A31406" w14:textId="77777777" w:rsidR="008069C3" w:rsidRPr="00AF7525" w:rsidRDefault="008069C3" w:rsidP="00F74BC5">
            <w:pPr>
              <w:rPr>
                <w:rFonts w:ascii="Arial" w:hAnsi="Arial" w:cs="Arial"/>
                <w:b/>
                <w:sz w:val="20"/>
                <w:szCs w:val="20"/>
              </w:rPr>
            </w:pPr>
            <w:r w:rsidRPr="00AF7525">
              <w:rPr>
                <w:rFonts w:ascii="Arial" w:hAnsi="Arial" w:cs="Arial"/>
                <w:b/>
                <w:sz w:val="20"/>
                <w:szCs w:val="20"/>
              </w:rPr>
              <w:lastRenderedPageBreak/>
              <w:t>South Carolina</w:t>
            </w:r>
          </w:p>
        </w:tc>
        <w:tc>
          <w:tcPr>
            <w:tcW w:w="1235" w:type="pct"/>
            <w:tcBorders>
              <w:left w:val="nil"/>
              <w:right w:val="nil"/>
            </w:tcBorders>
            <w:noWrap/>
            <w:hideMark/>
          </w:tcPr>
          <w:p w14:paraId="4243EBBE"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1440" w:type="pct"/>
            <w:tcBorders>
              <w:left w:val="nil"/>
              <w:right w:val="nil"/>
            </w:tcBorders>
            <w:noWrap/>
            <w:hideMark/>
          </w:tcPr>
          <w:p w14:paraId="42B7AF64"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tcPr>
          <w:p w14:paraId="1BD0613A"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46.4</w:t>
            </w:r>
          </w:p>
        </w:tc>
        <w:tc>
          <w:tcPr>
            <w:tcW w:w="697" w:type="pct"/>
            <w:tcBorders>
              <w:left w:val="nil"/>
              <w:right w:val="nil"/>
            </w:tcBorders>
          </w:tcPr>
          <w:p w14:paraId="242EB601"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7 (Fair/Moderate)</w:t>
            </w:r>
          </w:p>
        </w:tc>
      </w:tr>
      <w:tr w:rsidR="008069C3" w:rsidRPr="00AF7525" w14:paraId="735509E5" w14:textId="77777777" w:rsidTr="00F74BC5">
        <w:trPr>
          <w:trHeight w:val="198"/>
        </w:trPr>
        <w:tc>
          <w:tcPr>
            <w:tcW w:w="674" w:type="pct"/>
            <w:tcBorders>
              <w:right w:val="nil"/>
            </w:tcBorders>
            <w:shd w:val="clear" w:color="auto" w:fill="E7E6E6" w:themeFill="background2"/>
            <w:noWrap/>
            <w:hideMark/>
          </w:tcPr>
          <w:p w14:paraId="0840ABF3" w14:textId="77777777" w:rsidR="008069C3" w:rsidRPr="00AF7525" w:rsidRDefault="008069C3" w:rsidP="00F74BC5">
            <w:pPr>
              <w:rPr>
                <w:rFonts w:ascii="Arial" w:hAnsi="Arial" w:cs="Arial"/>
                <w:b/>
                <w:sz w:val="20"/>
                <w:szCs w:val="20"/>
              </w:rPr>
            </w:pPr>
            <w:r w:rsidRPr="00AF7525">
              <w:rPr>
                <w:rFonts w:ascii="Arial" w:hAnsi="Arial" w:cs="Arial"/>
                <w:b/>
                <w:sz w:val="20"/>
                <w:szCs w:val="20"/>
              </w:rPr>
              <w:t>Texas</w:t>
            </w:r>
          </w:p>
        </w:tc>
        <w:tc>
          <w:tcPr>
            <w:tcW w:w="1235" w:type="pct"/>
            <w:tcBorders>
              <w:left w:val="nil"/>
              <w:right w:val="nil"/>
            </w:tcBorders>
            <w:shd w:val="clear" w:color="auto" w:fill="E7E6E6" w:themeFill="background2"/>
            <w:noWrap/>
            <w:hideMark/>
          </w:tcPr>
          <w:p w14:paraId="34114AB1" w14:textId="77777777" w:rsidR="008069C3" w:rsidRPr="00AF7525" w:rsidRDefault="008069C3" w:rsidP="00F74BC5">
            <w:pPr>
              <w:rPr>
                <w:rFonts w:ascii="Arial" w:hAnsi="Arial" w:cs="Arial"/>
                <w:sz w:val="20"/>
                <w:szCs w:val="20"/>
              </w:rPr>
            </w:pPr>
            <w:r w:rsidRPr="00AF7525">
              <w:rPr>
                <w:rFonts w:ascii="Arial" w:hAnsi="Arial" w:cs="Arial"/>
                <w:sz w:val="20"/>
                <w:szCs w:val="20"/>
              </w:rPr>
              <w:t>Yes, 2009</w:t>
            </w:r>
          </w:p>
        </w:tc>
        <w:tc>
          <w:tcPr>
            <w:tcW w:w="1440" w:type="pct"/>
            <w:tcBorders>
              <w:left w:val="nil"/>
              <w:right w:val="nil"/>
            </w:tcBorders>
            <w:shd w:val="clear" w:color="auto" w:fill="E7E6E6" w:themeFill="background2"/>
            <w:noWrap/>
            <w:hideMark/>
          </w:tcPr>
          <w:p w14:paraId="166B31BC"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right w:val="nil"/>
            </w:tcBorders>
            <w:shd w:val="clear" w:color="auto" w:fill="E7E6E6" w:themeFill="background2"/>
          </w:tcPr>
          <w:p w14:paraId="295FAD13"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61.4</w:t>
            </w:r>
          </w:p>
        </w:tc>
        <w:tc>
          <w:tcPr>
            <w:tcW w:w="697" w:type="pct"/>
            <w:tcBorders>
              <w:left w:val="nil"/>
              <w:right w:val="nil"/>
            </w:tcBorders>
            <w:shd w:val="clear" w:color="auto" w:fill="E7E6E6" w:themeFill="background2"/>
          </w:tcPr>
          <w:p w14:paraId="567F7915"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 (Good)</w:t>
            </w:r>
          </w:p>
        </w:tc>
      </w:tr>
      <w:tr w:rsidR="008069C3" w:rsidRPr="00AF7525" w14:paraId="19471424" w14:textId="77777777" w:rsidTr="00F74BC5">
        <w:trPr>
          <w:trHeight w:val="198"/>
        </w:trPr>
        <w:tc>
          <w:tcPr>
            <w:tcW w:w="674" w:type="pct"/>
            <w:tcBorders>
              <w:bottom w:val="single" w:sz="4" w:space="0" w:color="auto"/>
              <w:right w:val="nil"/>
            </w:tcBorders>
            <w:noWrap/>
            <w:hideMark/>
          </w:tcPr>
          <w:p w14:paraId="20698C48" w14:textId="77777777" w:rsidR="008069C3" w:rsidRPr="00AF7525" w:rsidRDefault="008069C3" w:rsidP="00F74BC5">
            <w:pPr>
              <w:rPr>
                <w:rFonts w:ascii="Arial" w:hAnsi="Arial" w:cs="Arial"/>
                <w:b/>
                <w:sz w:val="20"/>
                <w:szCs w:val="20"/>
              </w:rPr>
            </w:pPr>
            <w:r w:rsidRPr="00AF7525">
              <w:rPr>
                <w:rFonts w:ascii="Arial" w:hAnsi="Arial" w:cs="Arial"/>
                <w:b/>
                <w:sz w:val="20"/>
                <w:szCs w:val="20"/>
              </w:rPr>
              <w:t>Utah</w:t>
            </w:r>
          </w:p>
        </w:tc>
        <w:tc>
          <w:tcPr>
            <w:tcW w:w="1235" w:type="pct"/>
            <w:tcBorders>
              <w:left w:val="nil"/>
              <w:bottom w:val="single" w:sz="4" w:space="0" w:color="auto"/>
              <w:right w:val="nil"/>
            </w:tcBorders>
            <w:noWrap/>
            <w:hideMark/>
          </w:tcPr>
          <w:p w14:paraId="0C3763D3" w14:textId="77777777" w:rsidR="008069C3" w:rsidRPr="00AF7525" w:rsidRDefault="008069C3" w:rsidP="00F74BC5">
            <w:pPr>
              <w:rPr>
                <w:rFonts w:ascii="Arial" w:hAnsi="Arial" w:cs="Arial"/>
                <w:sz w:val="20"/>
                <w:szCs w:val="20"/>
              </w:rPr>
            </w:pPr>
            <w:r w:rsidRPr="00AF7525">
              <w:rPr>
                <w:rFonts w:ascii="Arial" w:hAnsi="Arial" w:cs="Arial"/>
                <w:sz w:val="20"/>
                <w:szCs w:val="20"/>
              </w:rPr>
              <w:t>Yes,  05/14/2013</w:t>
            </w:r>
          </w:p>
        </w:tc>
        <w:tc>
          <w:tcPr>
            <w:tcW w:w="1440" w:type="pct"/>
            <w:tcBorders>
              <w:left w:val="nil"/>
              <w:bottom w:val="single" w:sz="4" w:space="0" w:color="auto"/>
              <w:right w:val="nil"/>
            </w:tcBorders>
            <w:noWrap/>
            <w:hideMark/>
          </w:tcPr>
          <w:p w14:paraId="43FD5BEF" w14:textId="77777777" w:rsidR="008069C3" w:rsidRPr="00AF7525" w:rsidRDefault="008069C3" w:rsidP="00F74BC5">
            <w:pPr>
              <w:rPr>
                <w:rFonts w:ascii="Arial" w:hAnsi="Arial" w:cs="Arial"/>
                <w:sz w:val="20"/>
                <w:szCs w:val="20"/>
              </w:rPr>
            </w:pPr>
            <w:r w:rsidRPr="00AF7525">
              <w:rPr>
                <w:rFonts w:ascii="Arial" w:hAnsi="Arial" w:cs="Arial"/>
                <w:sz w:val="20"/>
                <w:szCs w:val="20"/>
              </w:rPr>
              <w:t>No ban</w:t>
            </w:r>
          </w:p>
        </w:tc>
        <w:tc>
          <w:tcPr>
            <w:tcW w:w="954" w:type="pct"/>
            <w:tcBorders>
              <w:left w:val="nil"/>
              <w:bottom w:val="single" w:sz="4" w:space="0" w:color="auto"/>
              <w:right w:val="nil"/>
            </w:tcBorders>
          </w:tcPr>
          <w:p w14:paraId="69BCC832"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34.2</w:t>
            </w:r>
          </w:p>
        </w:tc>
        <w:tc>
          <w:tcPr>
            <w:tcW w:w="697" w:type="pct"/>
            <w:tcBorders>
              <w:left w:val="nil"/>
              <w:bottom w:val="single" w:sz="4" w:space="0" w:color="auto"/>
              <w:right w:val="nil"/>
            </w:tcBorders>
          </w:tcPr>
          <w:p w14:paraId="0A592758" w14:textId="77777777" w:rsidR="008069C3" w:rsidRPr="00AF7525" w:rsidRDefault="008069C3" w:rsidP="00F74BC5">
            <w:pPr>
              <w:rPr>
                <w:rFonts w:ascii="Arial" w:hAnsi="Arial" w:cs="Arial"/>
                <w:sz w:val="20"/>
                <w:szCs w:val="20"/>
              </w:rPr>
            </w:pPr>
            <w:r w:rsidRPr="00AF7525">
              <w:rPr>
                <w:rFonts w:ascii="Arial" w:hAnsi="Arial" w:cs="Arial"/>
                <w:color w:val="000000"/>
                <w:sz w:val="20"/>
                <w:szCs w:val="20"/>
              </w:rPr>
              <w:t>8 (Good)</w:t>
            </w:r>
          </w:p>
        </w:tc>
      </w:tr>
    </w:tbl>
    <w:p w14:paraId="56DC7342"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 xml:space="preserve">Note: </w:t>
      </w:r>
    </w:p>
    <w:p w14:paraId="623E7E12"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a. Percentage of public school district in rural: calculated by dividing the number of public school districts in rural areas by the total number of public school districts;</w:t>
      </w:r>
    </w:p>
    <w:p w14:paraId="1277633D"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b. GDL: graduated driver license law. The GDL law score was calculated based on Steadman et al., 2014. Eight GDL components were including in the scoring system: minimum permit age, permit holding period, required practice hours, minimum intermediate license age, restriction on night driving, restriction on underage passengers, duration of night driving restrictions, and duration of passenger restrictions. Each component was scored on a “0-1-2” scale or “0-1” scale and a larger score represented a stronger restriction. The score from the eight components was then summed to obtain an overall GDL score with a possible range of 0 to 14.  Using a cutoff score of 8, the state GDL was categorized as fair to moderate, good, and excellent (&lt;8 points, =8 points, and &gt;8 points, respectively);</w:t>
      </w:r>
    </w:p>
    <w:p w14:paraId="0926E7D1"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c. Missouri enacted a ban in 2009 to ban texting while driving for drivers under 21 years. It did not meet the definition of young driver ban in this study (ban any type of cellphone use among young drivers);</w:t>
      </w:r>
    </w:p>
    <w:p w14:paraId="3497E96F" w14:textId="77777777" w:rsidR="008069C3" w:rsidRPr="00AF7525" w:rsidRDefault="008069C3" w:rsidP="008069C3">
      <w:pPr>
        <w:spacing w:after="0" w:line="240" w:lineRule="auto"/>
        <w:rPr>
          <w:rFonts w:ascii="Arial" w:hAnsi="Arial" w:cs="Arial"/>
          <w:b/>
        </w:rPr>
      </w:pPr>
      <w:r w:rsidRPr="00AF7525">
        <w:rPr>
          <w:rFonts w:ascii="Arial" w:hAnsi="Arial" w:cs="Arial"/>
          <w:sz w:val="16"/>
          <w:szCs w:val="16"/>
        </w:rPr>
        <w:t>d. Source: Insurance Institute for Highway Safety and National Center for Education Statistics.</w:t>
      </w:r>
    </w:p>
    <w:p w14:paraId="42E31D1E" w14:textId="77777777" w:rsidR="008069C3" w:rsidRPr="00AF7525" w:rsidRDefault="008069C3" w:rsidP="008069C3">
      <w:pPr>
        <w:jc w:val="center"/>
        <w:rPr>
          <w:rFonts w:ascii="Arial" w:hAnsi="Arial" w:cs="Arial"/>
          <w:b/>
        </w:rPr>
        <w:sectPr w:rsidR="008069C3" w:rsidRPr="00AF7525" w:rsidSect="0047748C">
          <w:pgSz w:w="15840" w:h="12240" w:orient="landscape"/>
          <w:pgMar w:top="1440" w:right="1440" w:bottom="1440" w:left="1440" w:header="720" w:footer="720" w:gutter="0"/>
          <w:cols w:space="720"/>
          <w:docGrid w:linePitch="360"/>
        </w:sectPr>
      </w:pPr>
    </w:p>
    <w:p w14:paraId="1DE0E0EA" w14:textId="77777777" w:rsidR="008069C3" w:rsidRPr="00AF7525" w:rsidRDefault="008069C3" w:rsidP="008069C3">
      <w:pPr>
        <w:jc w:val="center"/>
        <w:rPr>
          <w:rFonts w:ascii="Arial" w:hAnsi="Arial" w:cs="Arial"/>
          <w:sz w:val="24"/>
          <w:szCs w:val="24"/>
        </w:rPr>
      </w:pPr>
      <w:r w:rsidRPr="000730DF">
        <w:rPr>
          <w:rFonts w:ascii="Arial" w:hAnsi="Arial" w:cs="Arial"/>
          <w:b/>
          <w:sz w:val="24"/>
          <w:szCs w:val="24"/>
        </w:rPr>
        <w:lastRenderedPageBreak/>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3: Sensitivity analysis with subset states: prevalence ratios </w:t>
      </w:r>
      <w:r w:rsidRPr="00AF7525">
        <w:rPr>
          <w:rFonts w:ascii="Arial" w:hAnsi="Arial" w:cs="Arial"/>
          <w:sz w:val="24"/>
          <w:szCs w:val="24"/>
          <w:vertAlign w:val="superscript"/>
        </w:rPr>
        <w:t>a</w:t>
      </w:r>
      <w:r w:rsidRPr="00AF7525">
        <w:rPr>
          <w:rFonts w:ascii="Arial" w:hAnsi="Arial" w:cs="Arial"/>
          <w:b/>
          <w:sz w:val="24"/>
          <w:szCs w:val="24"/>
        </w:rPr>
        <w:t xml:space="preserve"> </w:t>
      </w:r>
    </w:p>
    <w:tbl>
      <w:tblPr>
        <w:tblW w:w="4948" w:type="pct"/>
        <w:tblLayout w:type="fixed"/>
        <w:tblLook w:val="04A0" w:firstRow="1" w:lastRow="0" w:firstColumn="1" w:lastColumn="0" w:noHBand="0" w:noVBand="1"/>
      </w:tblPr>
      <w:tblGrid>
        <w:gridCol w:w="4106"/>
        <w:gridCol w:w="1883"/>
        <w:gridCol w:w="1701"/>
        <w:gridCol w:w="1701"/>
        <w:gridCol w:w="1695"/>
        <w:gridCol w:w="1739"/>
      </w:tblGrid>
      <w:tr w:rsidR="008069C3" w:rsidRPr="00AF7525" w14:paraId="1CDF96E8" w14:textId="77777777" w:rsidTr="00F74BC5">
        <w:trPr>
          <w:trHeight w:val="169"/>
        </w:trPr>
        <w:tc>
          <w:tcPr>
            <w:tcW w:w="1601" w:type="pct"/>
            <w:tcBorders>
              <w:top w:val="single" w:sz="8" w:space="0" w:color="auto"/>
              <w:left w:val="nil"/>
              <w:bottom w:val="nil"/>
              <w:right w:val="nil"/>
            </w:tcBorders>
            <w:shd w:val="clear" w:color="auto" w:fill="auto"/>
            <w:noWrap/>
            <w:vAlign w:val="center"/>
            <w:hideMark/>
          </w:tcPr>
          <w:p w14:paraId="572142C1"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Cellphone laws</w:t>
            </w:r>
          </w:p>
        </w:tc>
        <w:tc>
          <w:tcPr>
            <w:tcW w:w="734" w:type="pct"/>
            <w:tcBorders>
              <w:top w:val="single" w:sz="8" w:space="0" w:color="auto"/>
              <w:left w:val="nil"/>
              <w:bottom w:val="nil"/>
              <w:right w:val="nil"/>
            </w:tcBorders>
            <w:shd w:val="clear" w:color="auto" w:fill="auto"/>
            <w:noWrap/>
            <w:vAlign w:val="center"/>
            <w:hideMark/>
          </w:tcPr>
          <w:p w14:paraId="320AC679"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Five states </w:t>
            </w:r>
            <w:r w:rsidRPr="00AF7525">
              <w:rPr>
                <w:rFonts w:ascii="Arial" w:eastAsia="Times New Roman" w:hAnsi="Arial" w:cs="Arial"/>
                <w:bCs/>
                <w:color w:val="000000"/>
                <w:sz w:val="20"/>
                <w:szCs w:val="20"/>
                <w:vertAlign w:val="superscript"/>
              </w:rPr>
              <w:t>b</w:t>
            </w:r>
          </w:p>
        </w:tc>
        <w:tc>
          <w:tcPr>
            <w:tcW w:w="663" w:type="pct"/>
            <w:tcBorders>
              <w:top w:val="single" w:sz="8" w:space="0" w:color="auto"/>
              <w:left w:val="nil"/>
              <w:bottom w:val="nil"/>
              <w:right w:val="nil"/>
            </w:tcBorders>
            <w:shd w:val="clear" w:color="auto" w:fill="auto"/>
            <w:noWrap/>
            <w:vAlign w:val="center"/>
            <w:hideMark/>
          </w:tcPr>
          <w:p w14:paraId="626CDA0F"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UT excluded </w:t>
            </w:r>
            <w:r w:rsidRPr="00AF7525">
              <w:rPr>
                <w:rFonts w:ascii="Arial" w:eastAsia="Times New Roman" w:hAnsi="Arial" w:cs="Arial"/>
                <w:bCs/>
                <w:color w:val="000000"/>
                <w:sz w:val="20"/>
                <w:szCs w:val="20"/>
                <w:vertAlign w:val="superscript"/>
              </w:rPr>
              <w:t>c</w:t>
            </w:r>
            <w:r w:rsidRPr="00AF7525">
              <w:rPr>
                <w:rFonts w:ascii="Arial" w:eastAsia="Times New Roman" w:hAnsi="Arial" w:cs="Arial"/>
                <w:b/>
                <w:bCs/>
                <w:color w:val="000000"/>
                <w:sz w:val="20"/>
                <w:szCs w:val="20"/>
              </w:rPr>
              <w:t xml:space="preserve"> </w:t>
            </w:r>
          </w:p>
        </w:tc>
        <w:tc>
          <w:tcPr>
            <w:tcW w:w="663" w:type="pct"/>
            <w:tcBorders>
              <w:top w:val="single" w:sz="8" w:space="0" w:color="auto"/>
              <w:left w:val="nil"/>
              <w:bottom w:val="nil"/>
              <w:right w:val="nil"/>
            </w:tcBorders>
            <w:shd w:val="clear" w:color="auto" w:fill="auto"/>
            <w:noWrap/>
            <w:vAlign w:val="center"/>
            <w:hideMark/>
          </w:tcPr>
          <w:p w14:paraId="04F663F2"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TX excluded </w:t>
            </w:r>
            <w:r w:rsidRPr="00AF7525">
              <w:rPr>
                <w:rFonts w:ascii="Arial" w:eastAsia="Times New Roman" w:hAnsi="Arial" w:cs="Arial"/>
                <w:bCs/>
                <w:color w:val="000000"/>
                <w:sz w:val="20"/>
                <w:szCs w:val="20"/>
                <w:vertAlign w:val="superscript"/>
              </w:rPr>
              <w:t>d</w:t>
            </w:r>
            <w:r w:rsidRPr="00AF7525">
              <w:rPr>
                <w:rFonts w:ascii="Arial" w:eastAsia="Times New Roman" w:hAnsi="Arial" w:cs="Arial"/>
                <w:b/>
                <w:bCs/>
                <w:color w:val="000000"/>
                <w:sz w:val="20"/>
                <w:szCs w:val="20"/>
              </w:rPr>
              <w:t xml:space="preserve"> </w:t>
            </w:r>
          </w:p>
        </w:tc>
        <w:tc>
          <w:tcPr>
            <w:tcW w:w="661" w:type="pct"/>
            <w:tcBorders>
              <w:top w:val="single" w:sz="8" w:space="0" w:color="auto"/>
              <w:left w:val="nil"/>
              <w:bottom w:val="nil"/>
              <w:right w:val="nil"/>
            </w:tcBorders>
            <w:shd w:val="clear" w:color="auto" w:fill="auto"/>
            <w:noWrap/>
            <w:vAlign w:val="center"/>
            <w:hideMark/>
          </w:tcPr>
          <w:p w14:paraId="7B64DD01"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MD excluded </w:t>
            </w:r>
            <w:r w:rsidRPr="00AF7525">
              <w:rPr>
                <w:rFonts w:ascii="Arial" w:eastAsia="Times New Roman" w:hAnsi="Arial" w:cs="Arial"/>
                <w:bCs/>
                <w:color w:val="000000"/>
                <w:sz w:val="20"/>
                <w:szCs w:val="20"/>
                <w:vertAlign w:val="superscript"/>
              </w:rPr>
              <w:t>e</w:t>
            </w:r>
            <w:r w:rsidRPr="00AF7525">
              <w:rPr>
                <w:rFonts w:ascii="Arial" w:eastAsia="Times New Roman" w:hAnsi="Arial" w:cs="Arial"/>
                <w:b/>
                <w:bCs/>
                <w:color w:val="000000"/>
                <w:sz w:val="20"/>
                <w:szCs w:val="20"/>
              </w:rPr>
              <w:t xml:space="preserve">  </w:t>
            </w:r>
          </w:p>
        </w:tc>
        <w:tc>
          <w:tcPr>
            <w:tcW w:w="678" w:type="pct"/>
            <w:tcBorders>
              <w:top w:val="single" w:sz="8" w:space="0" w:color="auto"/>
              <w:left w:val="nil"/>
              <w:bottom w:val="nil"/>
              <w:right w:val="nil"/>
            </w:tcBorders>
          </w:tcPr>
          <w:p w14:paraId="677F6200"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Unsupervised driver </w:t>
            </w:r>
            <w:r w:rsidRPr="00AF7525">
              <w:rPr>
                <w:rFonts w:ascii="Arial" w:eastAsia="Times New Roman" w:hAnsi="Arial" w:cs="Arial"/>
                <w:bCs/>
                <w:color w:val="000000"/>
                <w:sz w:val="20"/>
                <w:szCs w:val="20"/>
                <w:vertAlign w:val="superscript"/>
              </w:rPr>
              <w:t>f</w:t>
            </w:r>
          </w:p>
        </w:tc>
      </w:tr>
      <w:tr w:rsidR="008069C3" w:rsidRPr="00AF7525" w14:paraId="402C270E" w14:textId="77777777" w:rsidTr="00F74BC5">
        <w:trPr>
          <w:trHeight w:val="169"/>
        </w:trPr>
        <w:tc>
          <w:tcPr>
            <w:tcW w:w="1601" w:type="pct"/>
            <w:tcBorders>
              <w:top w:val="single" w:sz="8" w:space="0" w:color="auto"/>
              <w:left w:val="nil"/>
              <w:bottom w:val="nil"/>
              <w:right w:val="nil"/>
            </w:tcBorders>
            <w:shd w:val="clear" w:color="auto" w:fill="auto"/>
            <w:noWrap/>
            <w:vAlign w:val="center"/>
          </w:tcPr>
          <w:p w14:paraId="48AD1441"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of participants</w:t>
            </w:r>
          </w:p>
        </w:tc>
        <w:tc>
          <w:tcPr>
            <w:tcW w:w="734" w:type="pct"/>
            <w:tcBorders>
              <w:top w:val="single" w:sz="8" w:space="0" w:color="auto"/>
              <w:left w:val="nil"/>
              <w:bottom w:val="nil"/>
              <w:right w:val="nil"/>
            </w:tcBorders>
            <w:shd w:val="clear" w:color="auto" w:fill="auto"/>
            <w:noWrap/>
            <w:vAlign w:val="center"/>
          </w:tcPr>
          <w:p w14:paraId="32EED084"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26,565</w:t>
            </w:r>
          </w:p>
        </w:tc>
        <w:tc>
          <w:tcPr>
            <w:tcW w:w="663" w:type="pct"/>
            <w:tcBorders>
              <w:top w:val="single" w:sz="8" w:space="0" w:color="auto"/>
              <w:left w:val="nil"/>
              <w:bottom w:val="nil"/>
              <w:right w:val="nil"/>
            </w:tcBorders>
            <w:shd w:val="clear" w:color="auto" w:fill="auto"/>
            <w:noWrap/>
            <w:vAlign w:val="center"/>
          </w:tcPr>
          <w:p w14:paraId="0EC215B3"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54,996</w:t>
            </w:r>
          </w:p>
        </w:tc>
        <w:tc>
          <w:tcPr>
            <w:tcW w:w="663" w:type="pct"/>
            <w:tcBorders>
              <w:top w:val="single" w:sz="8" w:space="0" w:color="auto"/>
              <w:left w:val="nil"/>
              <w:bottom w:val="nil"/>
              <w:right w:val="nil"/>
            </w:tcBorders>
            <w:shd w:val="clear" w:color="auto" w:fill="auto"/>
            <w:noWrap/>
            <w:vAlign w:val="center"/>
          </w:tcPr>
          <w:p w14:paraId="46C71AEA"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55,342</w:t>
            </w:r>
          </w:p>
        </w:tc>
        <w:tc>
          <w:tcPr>
            <w:tcW w:w="661" w:type="pct"/>
            <w:tcBorders>
              <w:top w:val="single" w:sz="8" w:space="0" w:color="auto"/>
              <w:left w:val="nil"/>
              <w:bottom w:val="nil"/>
              <w:right w:val="nil"/>
            </w:tcBorders>
            <w:shd w:val="clear" w:color="auto" w:fill="auto"/>
            <w:noWrap/>
            <w:vAlign w:val="center"/>
          </w:tcPr>
          <w:p w14:paraId="5F606743"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36,157</w:t>
            </w:r>
          </w:p>
        </w:tc>
        <w:tc>
          <w:tcPr>
            <w:tcW w:w="678" w:type="pct"/>
            <w:tcBorders>
              <w:top w:val="single" w:sz="8" w:space="0" w:color="auto"/>
              <w:left w:val="nil"/>
              <w:bottom w:val="nil"/>
              <w:right w:val="nil"/>
            </w:tcBorders>
          </w:tcPr>
          <w:p w14:paraId="10665088"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48,160</w:t>
            </w:r>
          </w:p>
        </w:tc>
      </w:tr>
      <w:tr w:rsidR="008069C3" w:rsidRPr="00AF7525" w14:paraId="4A860B3C" w14:textId="77777777" w:rsidTr="00F74BC5">
        <w:trPr>
          <w:trHeight w:val="162"/>
        </w:trPr>
        <w:tc>
          <w:tcPr>
            <w:tcW w:w="1601" w:type="pct"/>
            <w:tcBorders>
              <w:top w:val="single" w:sz="8" w:space="0" w:color="auto"/>
              <w:left w:val="nil"/>
              <w:bottom w:val="nil"/>
              <w:right w:val="nil"/>
            </w:tcBorders>
            <w:shd w:val="clear" w:color="auto" w:fill="auto"/>
            <w:noWrap/>
            <w:vAlign w:val="bottom"/>
            <w:hideMark/>
          </w:tcPr>
          <w:p w14:paraId="78E32005"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Young driver ban vs. no ban</w:t>
            </w:r>
          </w:p>
        </w:tc>
        <w:tc>
          <w:tcPr>
            <w:tcW w:w="734" w:type="pct"/>
            <w:tcBorders>
              <w:top w:val="single" w:sz="8" w:space="0" w:color="auto"/>
              <w:left w:val="nil"/>
              <w:bottom w:val="nil"/>
              <w:right w:val="nil"/>
            </w:tcBorders>
            <w:shd w:val="clear" w:color="auto" w:fill="auto"/>
            <w:noWrap/>
            <w:vAlign w:val="bottom"/>
            <w:hideMark/>
          </w:tcPr>
          <w:p w14:paraId="3C505B26"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1.06 (1.02, 1.09)</w:t>
            </w:r>
          </w:p>
        </w:tc>
        <w:tc>
          <w:tcPr>
            <w:tcW w:w="663" w:type="pct"/>
            <w:tcBorders>
              <w:top w:val="single" w:sz="8" w:space="0" w:color="auto"/>
              <w:left w:val="nil"/>
              <w:bottom w:val="nil"/>
              <w:right w:val="nil"/>
            </w:tcBorders>
            <w:shd w:val="clear" w:color="auto" w:fill="auto"/>
            <w:noWrap/>
            <w:vAlign w:val="bottom"/>
            <w:hideMark/>
          </w:tcPr>
          <w:p w14:paraId="71C59A0B"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1.02 (0.94, 1.11)</w:t>
            </w:r>
          </w:p>
        </w:tc>
        <w:tc>
          <w:tcPr>
            <w:tcW w:w="663" w:type="pct"/>
            <w:tcBorders>
              <w:top w:val="single" w:sz="8" w:space="0" w:color="auto"/>
              <w:left w:val="nil"/>
              <w:bottom w:val="nil"/>
              <w:right w:val="nil"/>
            </w:tcBorders>
            <w:shd w:val="clear" w:color="auto" w:fill="auto"/>
            <w:noWrap/>
            <w:vAlign w:val="bottom"/>
            <w:hideMark/>
          </w:tcPr>
          <w:p w14:paraId="44B37EA6"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1.07 (1.01, 1.12)</w:t>
            </w:r>
          </w:p>
        </w:tc>
        <w:tc>
          <w:tcPr>
            <w:tcW w:w="661" w:type="pct"/>
            <w:tcBorders>
              <w:top w:val="single" w:sz="8" w:space="0" w:color="auto"/>
              <w:left w:val="nil"/>
              <w:bottom w:val="nil"/>
              <w:right w:val="nil"/>
            </w:tcBorders>
            <w:shd w:val="clear" w:color="auto" w:fill="auto"/>
            <w:noWrap/>
            <w:vAlign w:val="bottom"/>
            <w:hideMark/>
          </w:tcPr>
          <w:p w14:paraId="350E7A73"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1.01 (0.94, 1.09)</w:t>
            </w:r>
          </w:p>
        </w:tc>
        <w:tc>
          <w:tcPr>
            <w:tcW w:w="678" w:type="pct"/>
            <w:tcBorders>
              <w:top w:val="single" w:sz="8" w:space="0" w:color="auto"/>
              <w:left w:val="nil"/>
              <w:bottom w:val="nil"/>
              <w:right w:val="nil"/>
            </w:tcBorders>
          </w:tcPr>
          <w:p w14:paraId="077C66F2"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1.00 (0.93, 1.07)</w:t>
            </w:r>
          </w:p>
        </w:tc>
      </w:tr>
      <w:tr w:rsidR="008069C3" w:rsidRPr="00AF7525" w14:paraId="675F2A9C" w14:textId="77777777" w:rsidTr="00F74BC5">
        <w:trPr>
          <w:trHeight w:val="162"/>
        </w:trPr>
        <w:tc>
          <w:tcPr>
            <w:tcW w:w="1601" w:type="pct"/>
            <w:tcBorders>
              <w:top w:val="nil"/>
              <w:left w:val="nil"/>
              <w:bottom w:val="nil"/>
              <w:right w:val="nil"/>
            </w:tcBorders>
            <w:shd w:val="clear" w:color="auto" w:fill="auto"/>
            <w:noWrap/>
            <w:vAlign w:val="bottom"/>
            <w:hideMark/>
          </w:tcPr>
          <w:p w14:paraId="1369D4EA"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Concurrent bans </w:t>
            </w:r>
            <w:r w:rsidRPr="00AF7525">
              <w:rPr>
                <w:rFonts w:ascii="Arial" w:eastAsia="Times New Roman" w:hAnsi="Arial" w:cs="Arial"/>
                <w:bCs/>
                <w:color w:val="000000"/>
                <w:sz w:val="20"/>
                <w:szCs w:val="20"/>
                <w:vertAlign w:val="superscript"/>
              </w:rPr>
              <w:t>g</w:t>
            </w:r>
            <w:r w:rsidRPr="00AF7525">
              <w:rPr>
                <w:rFonts w:ascii="Arial" w:eastAsia="Times New Roman" w:hAnsi="Arial" w:cs="Arial"/>
                <w:b/>
                <w:bCs/>
                <w:color w:val="000000"/>
                <w:sz w:val="20"/>
                <w:szCs w:val="20"/>
              </w:rPr>
              <w:t xml:space="preserve"> vs. no ban</w:t>
            </w:r>
          </w:p>
        </w:tc>
        <w:tc>
          <w:tcPr>
            <w:tcW w:w="734" w:type="pct"/>
            <w:tcBorders>
              <w:top w:val="nil"/>
              <w:left w:val="nil"/>
              <w:bottom w:val="nil"/>
              <w:right w:val="nil"/>
            </w:tcBorders>
            <w:shd w:val="clear" w:color="auto" w:fill="auto"/>
            <w:noWrap/>
            <w:vAlign w:val="bottom"/>
            <w:hideMark/>
          </w:tcPr>
          <w:p w14:paraId="5E19DFDC"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0.89 (0.81, 0.98)</w:t>
            </w:r>
          </w:p>
        </w:tc>
        <w:tc>
          <w:tcPr>
            <w:tcW w:w="663" w:type="pct"/>
            <w:tcBorders>
              <w:top w:val="nil"/>
              <w:left w:val="nil"/>
              <w:bottom w:val="nil"/>
              <w:right w:val="nil"/>
            </w:tcBorders>
            <w:shd w:val="clear" w:color="auto" w:fill="auto"/>
            <w:noWrap/>
            <w:vAlign w:val="bottom"/>
            <w:hideMark/>
          </w:tcPr>
          <w:p w14:paraId="21ADE65F"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0.87 (0.79, 0.98)</w:t>
            </w:r>
          </w:p>
        </w:tc>
        <w:tc>
          <w:tcPr>
            <w:tcW w:w="663" w:type="pct"/>
            <w:tcBorders>
              <w:top w:val="nil"/>
              <w:left w:val="nil"/>
              <w:bottom w:val="nil"/>
              <w:right w:val="nil"/>
            </w:tcBorders>
            <w:shd w:val="clear" w:color="auto" w:fill="auto"/>
            <w:noWrap/>
            <w:vAlign w:val="bottom"/>
            <w:hideMark/>
          </w:tcPr>
          <w:p w14:paraId="276B901F"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0.91 (0.82, 1.00)</w:t>
            </w:r>
          </w:p>
        </w:tc>
        <w:tc>
          <w:tcPr>
            <w:tcW w:w="661" w:type="pct"/>
            <w:tcBorders>
              <w:top w:val="nil"/>
              <w:left w:val="nil"/>
              <w:bottom w:val="nil"/>
              <w:right w:val="nil"/>
            </w:tcBorders>
            <w:shd w:val="clear" w:color="auto" w:fill="auto"/>
            <w:noWrap/>
            <w:vAlign w:val="bottom"/>
            <w:hideMark/>
          </w:tcPr>
          <w:p w14:paraId="6484C549"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0.87 (0.77, 0.98)</w:t>
            </w:r>
          </w:p>
        </w:tc>
        <w:tc>
          <w:tcPr>
            <w:tcW w:w="678" w:type="pct"/>
            <w:tcBorders>
              <w:top w:val="nil"/>
              <w:left w:val="nil"/>
              <w:bottom w:val="nil"/>
              <w:right w:val="nil"/>
            </w:tcBorders>
          </w:tcPr>
          <w:p w14:paraId="54915B0F"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0.90 (0.81, 1.00)</w:t>
            </w:r>
          </w:p>
        </w:tc>
      </w:tr>
      <w:tr w:rsidR="008069C3" w:rsidRPr="00AF7525" w14:paraId="48134218" w14:textId="77777777" w:rsidTr="00F74BC5">
        <w:trPr>
          <w:trHeight w:val="169"/>
        </w:trPr>
        <w:tc>
          <w:tcPr>
            <w:tcW w:w="1601" w:type="pct"/>
            <w:tcBorders>
              <w:top w:val="nil"/>
              <w:left w:val="nil"/>
              <w:bottom w:val="single" w:sz="8" w:space="0" w:color="auto"/>
              <w:right w:val="nil"/>
            </w:tcBorders>
            <w:shd w:val="clear" w:color="auto" w:fill="auto"/>
            <w:noWrap/>
            <w:vAlign w:val="bottom"/>
            <w:hideMark/>
          </w:tcPr>
          <w:p w14:paraId="48F28C8C"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Concurrent bans vs. Young driver ban </w:t>
            </w:r>
          </w:p>
        </w:tc>
        <w:tc>
          <w:tcPr>
            <w:tcW w:w="734" w:type="pct"/>
            <w:tcBorders>
              <w:top w:val="nil"/>
              <w:left w:val="nil"/>
              <w:bottom w:val="single" w:sz="8" w:space="0" w:color="auto"/>
              <w:right w:val="nil"/>
            </w:tcBorders>
            <w:shd w:val="clear" w:color="auto" w:fill="auto"/>
            <w:noWrap/>
            <w:vAlign w:val="bottom"/>
            <w:hideMark/>
          </w:tcPr>
          <w:p w14:paraId="1C06A397"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0.84 (0.77, 0.92)</w:t>
            </w:r>
          </w:p>
        </w:tc>
        <w:tc>
          <w:tcPr>
            <w:tcW w:w="663" w:type="pct"/>
            <w:tcBorders>
              <w:top w:val="nil"/>
              <w:left w:val="nil"/>
              <w:bottom w:val="single" w:sz="8" w:space="0" w:color="auto"/>
              <w:right w:val="nil"/>
            </w:tcBorders>
            <w:shd w:val="clear" w:color="auto" w:fill="auto"/>
            <w:noWrap/>
            <w:vAlign w:val="bottom"/>
            <w:hideMark/>
          </w:tcPr>
          <w:p w14:paraId="45BE8B55"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0.85 (0.79, 0.93)</w:t>
            </w:r>
          </w:p>
        </w:tc>
        <w:tc>
          <w:tcPr>
            <w:tcW w:w="663" w:type="pct"/>
            <w:tcBorders>
              <w:top w:val="nil"/>
              <w:left w:val="nil"/>
              <w:bottom w:val="single" w:sz="8" w:space="0" w:color="auto"/>
              <w:right w:val="nil"/>
            </w:tcBorders>
            <w:shd w:val="clear" w:color="auto" w:fill="auto"/>
            <w:noWrap/>
            <w:vAlign w:val="bottom"/>
            <w:hideMark/>
          </w:tcPr>
          <w:p w14:paraId="39F40D8D"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0.85 (0.78, 0.93)</w:t>
            </w:r>
          </w:p>
        </w:tc>
        <w:tc>
          <w:tcPr>
            <w:tcW w:w="661" w:type="pct"/>
            <w:tcBorders>
              <w:top w:val="nil"/>
              <w:left w:val="nil"/>
              <w:bottom w:val="single" w:sz="8" w:space="0" w:color="auto"/>
              <w:right w:val="nil"/>
            </w:tcBorders>
            <w:shd w:val="clear" w:color="auto" w:fill="auto"/>
            <w:noWrap/>
            <w:vAlign w:val="bottom"/>
            <w:hideMark/>
          </w:tcPr>
          <w:p w14:paraId="62B8B39C" w14:textId="77777777" w:rsidR="008069C3" w:rsidRPr="00AF7525" w:rsidRDefault="008069C3" w:rsidP="00F74BC5">
            <w:pPr>
              <w:spacing w:after="0" w:line="240" w:lineRule="auto"/>
              <w:rPr>
                <w:rFonts w:ascii="Arial" w:eastAsia="Times New Roman" w:hAnsi="Arial" w:cs="Arial"/>
                <w:color w:val="000000"/>
                <w:sz w:val="20"/>
                <w:szCs w:val="20"/>
              </w:rPr>
            </w:pPr>
            <w:r w:rsidRPr="00AF7525">
              <w:rPr>
                <w:rFonts w:ascii="Arial" w:eastAsia="Times New Roman" w:hAnsi="Arial" w:cs="Arial"/>
                <w:color w:val="000000"/>
                <w:sz w:val="20"/>
                <w:szCs w:val="20"/>
              </w:rPr>
              <w:t>0.86 (0.78, 0.94)</w:t>
            </w:r>
          </w:p>
        </w:tc>
        <w:tc>
          <w:tcPr>
            <w:tcW w:w="678" w:type="pct"/>
            <w:tcBorders>
              <w:top w:val="nil"/>
              <w:left w:val="nil"/>
              <w:bottom w:val="single" w:sz="8" w:space="0" w:color="auto"/>
              <w:right w:val="nil"/>
            </w:tcBorders>
          </w:tcPr>
          <w:p w14:paraId="62CF5C42"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0.91 (0.84, 0.98)</w:t>
            </w:r>
          </w:p>
        </w:tc>
      </w:tr>
    </w:tbl>
    <w:p w14:paraId="25DB5EB3"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Notes:</w:t>
      </w:r>
    </w:p>
    <w:p w14:paraId="6BCCB38B" w14:textId="77777777" w:rsidR="008069C3" w:rsidRPr="00AF7525" w:rsidRDefault="008069C3" w:rsidP="008069C3">
      <w:pPr>
        <w:spacing w:after="0" w:line="240" w:lineRule="auto"/>
        <w:ind w:left="630" w:hanging="630"/>
        <w:contextualSpacing/>
        <w:rPr>
          <w:rFonts w:ascii="Arial" w:hAnsi="Arial" w:cs="Arial"/>
          <w:sz w:val="16"/>
          <w:szCs w:val="16"/>
        </w:rPr>
      </w:pPr>
      <w:r w:rsidRPr="00AF7525">
        <w:rPr>
          <w:rFonts w:ascii="Arial" w:hAnsi="Arial" w:cs="Arial"/>
          <w:sz w:val="16"/>
          <w:szCs w:val="16"/>
        </w:rPr>
        <w:t xml:space="preserve">        a. Data were from state Youth Risk Behavior Surveys in 14 states (2013, 2015 and 2017), the United States;</w:t>
      </w:r>
    </w:p>
    <w:p w14:paraId="2710D661"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b. Five states: restricted analysis in the five states that participated in all three-survey years (CT, MA, MO, MT, ND); </w:t>
      </w:r>
    </w:p>
    <w:p w14:paraId="4BFD1CE2" w14:textId="77777777" w:rsidR="008069C3" w:rsidRPr="00AF7525" w:rsidRDefault="008069C3" w:rsidP="008069C3">
      <w:pPr>
        <w:spacing w:after="0" w:line="240" w:lineRule="auto"/>
        <w:ind w:left="630" w:hanging="630"/>
        <w:contextualSpacing/>
        <w:rPr>
          <w:rFonts w:ascii="Arial" w:hAnsi="Arial" w:cs="Arial"/>
          <w:sz w:val="16"/>
          <w:szCs w:val="16"/>
        </w:rPr>
      </w:pPr>
      <w:r w:rsidRPr="00AF7525">
        <w:rPr>
          <w:rFonts w:ascii="Arial" w:hAnsi="Arial" w:cs="Arial"/>
          <w:sz w:val="16"/>
          <w:szCs w:val="16"/>
        </w:rPr>
        <w:t xml:space="preserve">        c. Utah excluded: since the state enacted young driver ban in 2013, the same year </w:t>
      </w:r>
      <w:r>
        <w:rPr>
          <w:rFonts w:ascii="Arial" w:hAnsi="Arial" w:cs="Arial"/>
          <w:sz w:val="16"/>
          <w:szCs w:val="16"/>
        </w:rPr>
        <w:t>as</w:t>
      </w:r>
      <w:r w:rsidRPr="00AF7525">
        <w:rPr>
          <w:rFonts w:ascii="Arial" w:hAnsi="Arial" w:cs="Arial"/>
          <w:sz w:val="16"/>
          <w:szCs w:val="16"/>
        </w:rPr>
        <w:t xml:space="preserve"> the survey</w:t>
      </w:r>
      <w:r>
        <w:rPr>
          <w:rFonts w:ascii="Arial" w:hAnsi="Arial" w:cs="Arial"/>
          <w:sz w:val="16"/>
          <w:szCs w:val="16"/>
        </w:rPr>
        <w:t xml:space="preserve"> was conducted</w:t>
      </w:r>
      <w:r w:rsidRPr="00AF7525">
        <w:rPr>
          <w:rFonts w:ascii="Arial" w:hAnsi="Arial" w:cs="Arial"/>
          <w:sz w:val="16"/>
          <w:szCs w:val="16"/>
        </w:rPr>
        <w:t xml:space="preserve">; All other states enacted young driver bans before 2013; </w:t>
      </w:r>
    </w:p>
    <w:p w14:paraId="4849D52E"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d. Texas excluded: it weighted as 41% of the total study population; </w:t>
      </w:r>
    </w:p>
    <w:p w14:paraId="53841FB3"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e. Maryland excluded: data was from a census instead of a two-stage sampling survey in 2017;</w:t>
      </w:r>
    </w:p>
    <w:p w14:paraId="0EC0F5A4"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f.  Unsupervised driver: restricted to students who reach the age of intermediate license (from state’s GDL);</w:t>
      </w:r>
    </w:p>
    <w:p w14:paraId="1B9C3F5D"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g. Concurrent bans: handheld calling ban along with young driver ban;</w:t>
      </w:r>
    </w:p>
    <w:p w14:paraId="5437A1C2"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h. The outcome was </w:t>
      </w:r>
      <w:r>
        <w:rPr>
          <w:rFonts w:ascii="Arial" w:hAnsi="Arial" w:cs="Arial"/>
          <w:sz w:val="16"/>
          <w:szCs w:val="16"/>
        </w:rPr>
        <w:t xml:space="preserve">the prevalence of </w:t>
      </w:r>
      <w:r w:rsidRPr="00AF7525">
        <w:rPr>
          <w:rFonts w:ascii="Arial" w:hAnsi="Arial" w:cs="Arial"/>
          <w:sz w:val="16"/>
          <w:szCs w:val="16"/>
        </w:rPr>
        <w:t>t</w:t>
      </w:r>
      <w:r>
        <w:rPr>
          <w:rFonts w:ascii="Arial" w:hAnsi="Arial" w:cs="Arial"/>
          <w:sz w:val="16"/>
          <w:szCs w:val="16"/>
        </w:rPr>
        <w:t xml:space="preserve">alking on a phone while driving </w:t>
      </w:r>
      <w:r w:rsidRPr="00AF7525">
        <w:rPr>
          <w:rFonts w:ascii="Arial" w:hAnsi="Arial" w:cs="Arial"/>
          <w:sz w:val="16"/>
          <w:szCs w:val="16"/>
        </w:rPr>
        <w:t>at least once in the 30 days before the survey. Models adjusted for age, sex, race, the proportion of state’s public school district in rural areas, strength of state’s graduated driver license system, and survey year.</w:t>
      </w:r>
    </w:p>
    <w:p w14:paraId="75457A8C" w14:textId="77777777" w:rsidR="008069C3" w:rsidRPr="00AF7525" w:rsidRDefault="008069C3" w:rsidP="008069C3">
      <w:pPr>
        <w:spacing w:after="0" w:line="240" w:lineRule="auto"/>
        <w:contextualSpacing/>
        <w:rPr>
          <w:rFonts w:ascii="Arial" w:hAnsi="Arial" w:cs="Arial"/>
          <w:sz w:val="16"/>
          <w:szCs w:val="16"/>
        </w:rPr>
      </w:pPr>
    </w:p>
    <w:p w14:paraId="057B3C5B" w14:textId="77777777" w:rsidR="008069C3" w:rsidRPr="00AF7525" w:rsidRDefault="008069C3" w:rsidP="008069C3">
      <w:pPr>
        <w:spacing w:after="0" w:line="240" w:lineRule="auto"/>
        <w:contextualSpacing/>
        <w:rPr>
          <w:rFonts w:ascii="Arial" w:hAnsi="Arial" w:cs="Arial"/>
        </w:rPr>
      </w:pPr>
    </w:p>
    <w:p w14:paraId="63C72D52" w14:textId="77777777" w:rsidR="008069C3" w:rsidRPr="00AF7525" w:rsidRDefault="008069C3" w:rsidP="008069C3">
      <w:pPr>
        <w:jc w:val="center"/>
        <w:rPr>
          <w:rFonts w:ascii="Arial" w:hAnsi="Arial" w:cs="Arial"/>
          <w:b/>
          <w:sz w:val="24"/>
          <w:szCs w:val="24"/>
        </w:rPr>
        <w:sectPr w:rsidR="008069C3" w:rsidRPr="00AF7525" w:rsidSect="0047748C">
          <w:pgSz w:w="15840" w:h="12240" w:orient="landscape"/>
          <w:pgMar w:top="1440" w:right="1440" w:bottom="1440" w:left="1440" w:header="720" w:footer="720" w:gutter="0"/>
          <w:cols w:space="720"/>
          <w:docGrid w:linePitch="360"/>
        </w:sectPr>
      </w:pPr>
    </w:p>
    <w:p w14:paraId="6B22A0D1"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lastRenderedPageBreak/>
        <w:t xml:space="preserve">           </w:t>
      </w:r>
    </w:p>
    <w:p w14:paraId="2A805FB3" w14:textId="77777777" w:rsidR="008069C3" w:rsidRPr="00AF7525" w:rsidRDefault="008069C3" w:rsidP="008069C3">
      <w:pPr>
        <w:spacing w:after="0" w:line="240" w:lineRule="auto"/>
        <w:contextualSpacing/>
        <w:rPr>
          <w:rFonts w:ascii="Arial" w:hAnsi="Arial" w:cs="Arial"/>
        </w:rPr>
      </w:pPr>
    </w:p>
    <w:p w14:paraId="19E40D8D" w14:textId="77777777" w:rsidR="008069C3" w:rsidRPr="00AF7525" w:rsidRDefault="008069C3" w:rsidP="008069C3">
      <w:pPr>
        <w:jc w:val="center"/>
        <w:rPr>
          <w:rFonts w:ascii="Arial" w:hAnsi="Arial" w:cs="Arial"/>
          <w:sz w:val="24"/>
          <w:szCs w:val="24"/>
        </w:rPr>
      </w:pPr>
      <w:r w:rsidRPr="000730DF">
        <w:rPr>
          <w:rFonts w:ascii="Arial" w:hAnsi="Arial" w:cs="Arial"/>
          <w:b/>
          <w:sz w:val="24"/>
          <w:szCs w:val="24"/>
        </w:rPr>
        <w:t xml:space="preserve">Additional </w:t>
      </w:r>
      <w:r>
        <w:rPr>
          <w:rFonts w:ascii="Arial" w:hAnsi="Arial" w:cs="Arial"/>
          <w:b/>
          <w:sz w:val="24"/>
          <w:szCs w:val="24"/>
        </w:rPr>
        <w:t>F</w:t>
      </w:r>
      <w:r w:rsidRPr="000730DF">
        <w:rPr>
          <w:rFonts w:ascii="Arial" w:hAnsi="Arial" w:cs="Arial"/>
          <w:b/>
          <w:sz w:val="24"/>
          <w:szCs w:val="24"/>
        </w:rPr>
        <w:t>ile</w:t>
      </w:r>
      <w:r w:rsidRPr="00AF7525">
        <w:rPr>
          <w:rFonts w:ascii="Arial" w:hAnsi="Arial" w:cs="Arial"/>
          <w:b/>
          <w:sz w:val="24"/>
          <w:szCs w:val="24"/>
        </w:rPr>
        <w:t xml:space="preserve"> Table 4: Sensitivity analysis with multinomial outcome: prevalence ratios </w:t>
      </w:r>
    </w:p>
    <w:tbl>
      <w:tblPr>
        <w:tblW w:w="4546" w:type="pct"/>
        <w:tblInd w:w="585" w:type="dxa"/>
        <w:tblLook w:val="04A0" w:firstRow="1" w:lastRow="0" w:firstColumn="1" w:lastColumn="0" w:noHBand="0" w:noVBand="1"/>
      </w:tblPr>
      <w:tblGrid>
        <w:gridCol w:w="4375"/>
        <w:gridCol w:w="2173"/>
        <w:gridCol w:w="1962"/>
      </w:tblGrid>
      <w:tr w:rsidR="008069C3" w:rsidRPr="00AF7525" w14:paraId="71E065F0" w14:textId="77777777" w:rsidTr="00F74BC5">
        <w:trPr>
          <w:trHeight w:val="183"/>
        </w:trPr>
        <w:tc>
          <w:tcPr>
            <w:tcW w:w="2950" w:type="pct"/>
            <w:tcBorders>
              <w:top w:val="single" w:sz="8" w:space="0" w:color="auto"/>
              <w:left w:val="nil"/>
              <w:bottom w:val="nil"/>
              <w:right w:val="nil"/>
            </w:tcBorders>
            <w:shd w:val="clear" w:color="auto" w:fill="auto"/>
            <w:noWrap/>
            <w:vAlign w:val="bottom"/>
            <w:hideMark/>
          </w:tcPr>
          <w:p w14:paraId="5CE8A48D"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Cellphone laws</w:t>
            </w:r>
          </w:p>
        </w:tc>
        <w:tc>
          <w:tcPr>
            <w:tcW w:w="1026" w:type="pct"/>
            <w:tcBorders>
              <w:top w:val="single" w:sz="8" w:space="0" w:color="auto"/>
              <w:left w:val="nil"/>
              <w:bottom w:val="nil"/>
              <w:right w:val="nil"/>
            </w:tcBorders>
            <w:shd w:val="clear" w:color="auto" w:fill="auto"/>
            <w:noWrap/>
            <w:vAlign w:val="bottom"/>
          </w:tcPr>
          <w:p w14:paraId="63FD9641" w14:textId="77777777" w:rsidR="008069C3" w:rsidRPr="00AF7525" w:rsidRDefault="008069C3" w:rsidP="00F74BC5">
            <w:pPr>
              <w:spacing w:after="0" w:line="240" w:lineRule="auto"/>
              <w:jc w:val="right"/>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Sometimes vs Never</w:t>
            </w:r>
          </w:p>
        </w:tc>
        <w:tc>
          <w:tcPr>
            <w:tcW w:w="1024" w:type="pct"/>
            <w:tcBorders>
              <w:top w:val="single" w:sz="8" w:space="0" w:color="auto"/>
              <w:left w:val="nil"/>
              <w:bottom w:val="nil"/>
              <w:right w:val="nil"/>
            </w:tcBorders>
            <w:shd w:val="clear" w:color="auto" w:fill="auto"/>
            <w:noWrap/>
            <w:vAlign w:val="bottom"/>
          </w:tcPr>
          <w:p w14:paraId="127A1E12" w14:textId="77777777" w:rsidR="008069C3" w:rsidRPr="00AF7525" w:rsidRDefault="008069C3" w:rsidP="00F74BC5">
            <w:pPr>
              <w:spacing w:after="0" w:line="240" w:lineRule="auto"/>
              <w:jc w:val="right"/>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Frequent vs Never</w:t>
            </w:r>
          </w:p>
        </w:tc>
      </w:tr>
      <w:tr w:rsidR="008069C3" w:rsidRPr="00AF7525" w14:paraId="2EEB0FA3" w14:textId="77777777" w:rsidTr="00F74BC5">
        <w:trPr>
          <w:trHeight w:val="183"/>
        </w:trPr>
        <w:tc>
          <w:tcPr>
            <w:tcW w:w="2950" w:type="pct"/>
            <w:tcBorders>
              <w:top w:val="single" w:sz="8" w:space="0" w:color="auto"/>
              <w:left w:val="nil"/>
              <w:bottom w:val="nil"/>
              <w:right w:val="nil"/>
            </w:tcBorders>
            <w:shd w:val="clear" w:color="auto" w:fill="auto"/>
            <w:noWrap/>
            <w:vAlign w:val="bottom"/>
          </w:tcPr>
          <w:p w14:paraId="48B39A61"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of participants</w:t>
            </w:r>
          </w:p>
        </w:tc>
        <w:tc>
          <w:tcPr>
            <w:tcW w:w="1026" w:type="pct"/>
            <w:tcBorders>
              <w:top w:val="single" w:sz="8" w:space="0" w:color="auto"/>
              <w:left w:val="nil"/>
              <w:bottom w:val="nil"/>
              <w:right w:val="nil"/>
            </w:tcBorders>
            <w:shd w:val="clear" w:color="auto" w:fill="auto"/>
            <w:noWrap/>
            <w:vAlign w:val="bottom"/>
          </w:tcPr>
          <w:p w14:paraId="2D364E2F" w14:textId="77777777" w:rsidR="008069C3" w:rsidRPr="00AF7525" w:rsidRDefault="008069C3" w:rsidP="00F74BC5">
            <w:pPr>
              <w:spacing w:after="0" w:line="240" w:lineRule="auto"/>
              <w:jc w:val="right"/>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47,903</w:t>
            </w:r>
          </w:p>
        </w:tc>
        <w:tc>
          <w:tcPr>
            <w:tcW w:w="1024" w:type="pct"/>
            <w:tcBorders>
              <w:top w:val="single" w:sz="8" w:space="0" w:color="auto"/>
              <w:left w:val="nil"/>
              <w:bottom w:val="nil"/>
              <w:right w:val="nil"/>
            </w:tcBorders>
            <w:shd w:val="clear" w:color="auto" w:fill="auto"/>
            <w:noWrap/>
            <w:vAlign w:val="bottom"/>
          </w:tcPr>
          <w:p w14:paraId="17623DD7" w14:textId="77777777" w:rsidR="008069C3" w:rsidRPr="00AF7525" w:rsidRDefault="008069C3" w:rsidP="00F74BC5">
            <w:pPr>
              <w:spacing w:after="0" w:line="240" w:lineRule="auto"/>
              <w:jc w:val="right"/>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38,944</w:t>
            </w:r>
          </w:p>
        </w:tc>
      </w:tr>
      <w:tr w:rsidR="008069C3" w:rsidRPr="00AF7525" w14:paraId="233088FE" w14:textId="77777777" w:rsidTr="00F74BC5">
        <w:trPr>
          <w:trHeight w:val="175"/>
        </w:trPr>
        <w:tc>
          <w:tcPr>
            <w:tcW w:w="2950" w:type="pct"/>
            <w:tcBorders>
              <w:top w:val="single" w:sz="8" w:space="0" w:color="auto"/>
              <w:left w:val="nil"/>
              <w:bottom w:val="nil"/>
              <w:right w:val="nil"/>
            </w:tcBorders>
            <w:shd w:val="clear" w:color="auto" w:fill="auto"/>
            <w:noWrap/>
            <w:vAlign w:val="bottom"/>
            <w:hideMark/>
          </w:tcPr>
          <w:p w14:paraId="0AC3B257"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Young driver ban  vs. no ban</w:t>
            </w:r>
          </w:p>
        </w:tc>
        <w:tc>
          <w:tcPr>
            <w:tcW w:w="1026" w:type="pct"/>
            <w:tcBorders>
              <w:top w:val="single" w:sz="8" w:space="0" w:color="auto"/>
              <w:left w:val="nil"/>
              <w:bottom w:val="nil"/>
              <w:right w:val="nil"/>
            </w:tcBorders>
            <w:shd w:val="clear" w:color="auto" w:fill="auto"/>
            <w:noWrap/>
            <w:vAlign w:val="bottom"/>
          </w:tcPr>
          <w:p w14:paraId="109D6A15"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0.99 (0.90, 1.10)</w:t>
            </w:r>
          </w:p>
        </w:tc>
        <w:tc>
          <w:tcPr>
            <w:tcW w:w="1024" w:type="pct"/>
            <w:tcBorders>
              <w:top w:val="single" w:sz="8" w:space="0" w:color="auto"/>
              <w:left w:val="nil"/>
              <w:bottom w:val="nil"/>
              <w:right w:val="nil"/>
            </w:tcBorders>
            <w:shd w:val="clear" w:color="auto" w:fill="auto"/>
            <w:noWrap/>
            <w:vAlign w:val="bottom"/>
          </w:tcPr>
          <w:p w14:paraId="01FB5D22"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1.07 (0.94, 1.21)</w:t>
            </w:r>
          </w:p>
        </w:tc>
      </w:tr>
      <w:tr w:rsidR="008069C3" w:rsidRPr="00AF7525" w14:paraId="728B2BFB" w14:textId="77777777" w:rsidTr="00F74BC5">
        <w:trPr>
          <w:trHeight w:val="175"/>
        </w:trPr>
        <w:tc>
          <w:tcPr>
            <w:tcW w:w="2950" w:type="pct"/>
            <w:tcBorders>
              <w:top w:val="nil"/>
              <w:left w:val="nil"/>
              <w:bottom w:val="nil"/>
              <w:right w:val="nil"/>
            </w:tcBorders>
            <w:shd w:val="clear" w:color="auto" w:fill="auto"/>
            <w:noWrap/>
            <w:vAlign w:val="bottom"/>
            <w:hideMark/>
          </w:tcPr>
          <w:p w14:paraId="18042F20"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Concurrent bans vs. no ban</w:t>
            </w:r>
          </w:p>
        </w:tc>
        <w:tc>
          <w:tcPr>
            <w:tcW w:w="1026" w:type="pct"/>
            <w:tcBorders>
              <w:top w:val="nil"/>
              <w:left w:val="nil"/>
              <w:bottom w:val="nil"/>
              <w:right w:val="nil"/>
            </w:tcBorders>
            <w:shd w:val="clear" w:color="auto" w:fill="auto"/>
            <w:noWrap/>
            <w:vAlign w:val="bottom"/>
          </w:tcPr>
          <w:p w14:paraId="7390A79A"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0.83 (0.72, 0.95)</w:t>
            </w:r>
          </w:p>
        </w:tc>
        <w:tc>
          <w:tcPr>
            <w:tcW w:w="1024" w:type="pct"/>
            <w:tcBorders>
              <w:top w:val="nil"/>
              <w:left w:val="nil"/>
              <w:bottom w:val="nil"/>
              <w:right w:val="nil"/>
            </w:tcBorders>
            <w:shd w:val="clear" w:color="auto" w:fill="auto"/>
            <w:noWrap/>
            <w:vAlign w:val="bottom"/>
          </w:tcPr>
          <w:p w14:paraId="0F7ABC01"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0.87 (0.69, 1.09)</w:t>
            </w:r>
          </w:p>
        </w:tc>
      </w:tr>
      <w:tr w:rsidR="008069C3" w:rsidRPr="00AF7525" w14:paraId="0E0CB07C" w14:textId="77777777" w:rsidTr="00F74BC5">
        <w:trPr>
          <w:trHeight w:val="183"/>
        </w:trPr>
        <w:tc>
          <w:tcPr>
            <w:tcW w:w="2950" w:type="pct"/>
            <w:tcBorders>
              <w:top w:val="nil"/>
              <w:left w:val="nil"/>
              <w:bottom w:val="single" w:sz="8" w:space="0" w:color="auto"/>
              <w:right w:val="nil"/>
            </w:tcBorders>
            <w:shd w:val="clear" w:color="auto" w:fill="auto"/>
            <w:noWrap/>
            <w:vAlign w:val="bottom"/>
            <w:hideMark/>
          </w:tcPr>
          <w:p w14:paraId="6023302C" w14:textId="77777777" w:rsidR="008069C3" w:rsidRPr="00AF7525" w:rsidRDefault="008069C3" w:rsidP="00F74BC5">
            <w:pPr>
              <w:spacing w:after="0" w:line="240" w:lineRule="auto"/>
              <w:rPr>
                <w:rFonts w:ascii="Arial" w:eastAsia="Times New Roman" w:hAnsi="Arial" w:cs="Arial"/>
                <w:b/>
                <w:bCs/>
                <w:color w:val="000000"/>
                <w:sz w:val="20"/>
                <w:szCs w:val="20"/>
              </w:rPr>
            </w:pPr>
            <w:r w:rsidRPr="00AF7525">
              <w:rPr>
                <w:rFonts w:ascii="Arial" w:eastAsia="Times New Roman" w:hAnsi="Arial" w:cs="Arial"/>
                <w:b/>
                <w:bCs/>
                <w:color w:val="000000"/>
                <w:sz w:val="20"/>
                <w:szCs w:val="20"/>
              </w:rPr>
              <w:t xml:space="preserve">Concurrent bans vs. Young driver ban </w:t>
            </w:r>
          </w:p>
        </w:tc>
        <w:tc>
          <w:tcPr>
            <w:tcW w:w="1026" w:type="pct"/>
            <w:tcBorders>
              <w:top w:val="nil"/>
              <w:left w:val="nil"/>
              <w:bottom w:val="single" w:sz="8" w:space="0" w:color="auto"/>
              <w:right w:val="nil"/>
            </w:tcBorders>
            <w:shd w:val="clear" w:color="auto" w:fill="auto"/>
            <w:noWrap/>
            <w:vAlign w:val="bottom"/>
          </w:tcPr>
          <w:p w14:paraId="40FBE8B8"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0.84 (0.76, 0.92)</w:t>
            </w:r>
          </w:p>
        </w:tc>
        <w:tc>
          <w:tcPr>
            <w:tcW w:w="1024" w:type="pct"/>
            <w:tcBorders>
              <w:top w:val="nil"/>
              <w:left w:val="nil"/>
              <w:bottom w:val="single" w:sz="8" w:space="0" w:color="auto"/>
              <w:right w:val="nil"/>
            </w:tcBorders>
            <w:shd w:val="clear" w:color="auto" w:fill="auto"/>
            <w:noWrap/>
            <w:vAlign w:val="bottom"/>
          </w:tcPr>
          <w:p w14:paraId="1B1BA16E" w14:textId="77777777" w:rsidR="008069C3" w:rsidRPr="00AF7525" w:rsidRDefault="008069C3" w:rsidP="00F74BC5">
            <w:pPr>
              <w:spacing w:after="0" w:line="240" w:lineRule="auto"/>
              <w:jc w:val="right"/>
              <w:rPr>
                <w:rFonts w:ascii="Arial" w:eastAsia="Times New Roman" w:hAnsi="Arial" w:cs="Arial"/>
                <w:color w:val="000000"/>
                <w:sz w:val="20"/>
                <w:szCs w:val="20"/>
              </w:rPr>
            </w:pPr>
            <w:r w:rsidRPr="00AF7525">
              <w:rPr>
                <w:rFonts w:ascii="Arial" w:eastAsia="Times New Roman" w:hAnsi="Arial" w:cs="Arial"/>
                <w:color w:val="000000"/>
                <w:sz w:val="20"/>
                <w:szCs w:val="20"/>
              </w:rPr>
              <w:t>0.81 (0.67, 0.98)</w:t>
            </w:r>
          </w:p>
        </w:tc>
      </w:tr>
    </w:tbl>
    <w:p w14:paraId="17DB4F61"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Notes: </w:t>
      </w:r>
    </w:p>
    <w:p w14:paraId="5380F6E8"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a. Data were from state Youth Risk Behavior Surveys in 14 states (2013, 2015 and 2017), the United States;</w:t>
      </w:r>
    </w:p>
    <w:p w14:paraId="158D04BD" w14:textId="77777777" w:rsidR="008069C3" w:rsidRPr="00AF7525" w:rsidRDefault="008069C3" w:rsidP="008069C3">
      <w:pPr>
        <w:spacing w:after="0" w:line="240" w:lineRule="auto"/>
        <w:rPr>
          <w:rFonts w:ascii="Arial" w:hAnsi="Arial" w:cs="Arial"/>
          <w:sz w:val="16"/>
          <w:szCs w:val="16"/>
        </w:rPr>
      </w:pPr>
      <w:r w:rsidRPr="00AF7525">
        <w:rPr>
          <w:rFonts w:ascii="Arial" w:hAnsi="Arial" w:cs="Arial"/>
          <w:sz w:val="16"/>
          <w:szCs w:val="16"/>
        </w:rPr>
        <w:t xml:space="preserve">            b. Sometimes: engaged in </w:t>
      </w:r>
      <w:r>
        <w:rPr>
          <w:rFonts w:ascii="Arial" w:hAnsi="Arial" w:cs="Arial"/>
          <w:sz w:val="16"/>
          <w:szCs w:val="16"/>
        </w:rPr>
        <w:t>talking on a phone while driving (CWD)</w:t>
      </w:r>
      <w:r w:rsidRPr="00AF7525">
        <w:rPr>
          <w:rFonts w:ascii="Arial" w:hAnsi="Arial" w:cs="Arial"/>
          <w:sz w:val="16"/>
          <w:szCs w:val="16"/>
        </w:rPr>
        <w:t xml:space="preserve"> “1-9 days” during the past 30 days;</w:t>
      </w:r>
    </w:p>
    <w:p w14:paraId="5DFB940F"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c. Frequent: engaged in </w:t>
      </w:r>
      <w:r>
        <w:rPr>
          <w:rFonts w:ascii="Arial" w:hAnsi="Arial" w:cs="Arial"/>
          <w:sz w:val="16"/>
          <w:szCs w:val="16"/>
        </w:rPr>
        <w:t>talking on a phone while driving (CWD)</w:t>
      </w:r>
      <w:r w:rsidRPr="00AF7525">
        <w:rPr>
          <w:rFonts w:ascii="Arial" w:hAnsi="Arial" w:cs="Arial"/>
          <w:sz w:val="16"/>
          <w:szCs w:val="16"/>
        </w:rPr>
        <w:t xml:space="preserve">  “10-30 days” during the past 30 days;</w:t>
      </w:r>
    </w:p>
    <w:p w14:paraId="176BF5A5"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d. Concurrent bans: handheld calling ban along with young driver ban;</w:t>
      </w:r>
    </w:p>
    <w:p w14:paraId="23BB6787" w14:textId="77777777" w:rsidR="008069C3" w:rsidRPr="00AF7525" w:rsidRDefault="008069C3" w:rsidP="008069C3">
      <w:pPr>
        <w:spacing w:after="0" w:line="240" w:lineRule="auto"/>
        <w:contextualSpacing/>
        <w:rPr>
          <w:rFonts w:ascii="Arial" w:hAnsi="Arial" w:cs="Arial"/>
          <w:sz w:val="16"/>
          <w:szCs w:val="16"/>
        </w:rPr>
      </w:pPr>
      <w:r w:rsidRPr="00AF7525">
        <w:rPr>
          <w:rFonts w:ascii="Arial" w:hAnsi="Arial" w:cs="Arial"/>
          <w:sz w:val="16"/>
          <w:szCs w:val="16"/>
        </w:rPr>
        <w:t xml:space="preserve">            e. Models adjusted for age, sex, race, the proportion of state’s public school district in rural areas, strength of state’s graduated driver license system, and survey year</w:t>
      </w:r>
    </w:p>
    <w:p w14:paraId="2F970301"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0182527"/>
      <w:docPartObj>
        <w:docPartGallery w:val="Page Numbers (Bottom of Page)"/>
        <w:docPartUnique/>
      </w:docPartObj>
    </w:sdtPr>
    <w:sdtEndPr>
      <w:rPr>
        <w:noProof/>
      </w:rPr>
    </w:sdtEndPr>
    <w:sdtContent>
      <w:p w14:paraId="677F5C70" w14:textId="77777777" w:rsidR="00D307E7" w:rsidRDefault="008069C3">
        <w:pPr>
          <w:pStyle w:val="Footer"/>
          <w:jc w:val="center"/>
        </w:pPr>
        <w:r>
          <w:fldChar w:fldCharType="begin"/>
        </w:r>
        <w:r>
          <w:instrText xml:space="preserve"> PAGE   \* MERGEFORMAT </w:instrText>
        </w:r>
        <w:r>
          <w:fldChar w:fldCharType="separate"/>
        </w:r>
        <w:r>
          <w:rPr>
            <w:noProof/>
          </w:rPr>
          <w:t>24</w:t>
        </w:r>
        <w:r>
          <w:rPr>
            <w:noProof/>
          </w:rPr>
          <w:fldChar w:fldCharType="end"/>
        </w:r>
      </w:p>
    </w:sdtContent>
  </w:sdt>
  <w:p w14:paraId="1C0A2FF2" w14:textId="77777777" w:rsidR="00D307E7" w:rsidRDefault="008069C3">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9C3"/>
    <w:rsid w:val="00114675"/>
    <w:rsid w:val="002B53FA"/>
    <w:rsid w:val="008069C3"/>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5A4851"/>
  <w15:chartTrackingRefBased/>
  <w15:docId w15:val="{38845234-6AC3-8E4A-BEDD-D4A84506A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9C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69C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069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9C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885</Words>
  <Characters>5045</Characters>
  <Application>Microsoft Office Word</Application>
  <DocSecurity>0</DocSecurity>
  <Lines>42</Lines>
  <Paragraphs>11</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2020-04-17T20:25:00Z</dcterms:created>
  <dcterms:modified xsi:type="dcterms:W3CDTF">2020-04-17T20:25:00Z</dcterms:modified>
</cp:coreProperties>
</file>