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07" w:rsidRPr="00C33E07" w:rsidRDefault="00C33E07" w:rsidP="00C33E07">
      <w:pPr>
        <w:spacing w:line="480" w:lineRule="auto"/>
        <w:jc w:val="center"/>
        <w:rPr>
          <w:b/>
          <w:sz w:val="36"/>
        </w:rPr>
      </w:pPr>
      <w:r w:rsidRPr="00C33E07">
        <w:rPr>
          <w:b/>
          <w:sz w:val="36"/>
        </w:rPr>
        <w:t xml:space="preserve">RAPACASPASE-9-BASED SUICIDE GENE APPLIED TO THE SAFETY OF IL-1RAP CAR-T CELLS </w:t>
      </w:r>
    </w:p>
    <w:p w:rsidR="00C33E07" w:rsidRPr="00C33E07" w:rsidRDefault="00C33E07" w:rsidP="00C33E07">
      <w:pPr>
        <w:spacing w:line="480" w:lineRule="auto"/>
        <w:jc w:val="center"/>
        <w:rPr>
          <w:i/>
          <w:sz w:val="24"/>
          <w:vertAlign w:val="superscript"/>
        </w:rPr>
      </w:pPr>
      <w:r w:rsidRPr="00C33E07">
        <w:rPr>
          <w:i/>
          <w:sz w:val="24"/>
        </w:rPr>
        <w:t xml:space="preserve">Lucie Bouquet, Walid Warda, Mathieu Neto Da Rocha, Rim Trad, Clémentine Nicod, Rafik Haderbache, Delphine </w:t>
      </w:r>
      <w:proofErr w:type="spellStart"/>
      <w:r w:rsidRPr="00C33E07">
        <w:rPr>
          <w:i/>
          <w:sz w:val="24"/>
        </w:rPr>
        <w:t>Genin</w:t>
      </w:r>
      <w:proofErr w:type="spellEnd"/>
      <w:r w:rsidRPr="00C33E07">
        <w:rPr>
          <w:i/>
          <w:sz w:val="24"/>
        </w:rPr>
        <w:t>, Christophe Ferrand, Marina Deschamps</w:t>
      </w:r>
    </w:p>
    <w:p w:rsidR="00C33E07" w:rsidRDefault="00C33E07" w:rsidP="00C33E07">
      <w:pPr>
        <w:spacing w:line="480" w:lineRule="auto"/>
        <w:jc w:val="center"/>
        <w:rPr>
          <w:i/>
          <w:vertAlign w:val="superscript"/>
        </w:rPr>
      </w:pPr>
    </w:p>
    <w:p w:rsidR="00C33E07" w:rsidRPr="0020771D" w:rsidRDefault="00C33E07" w:rsidP="00C33E07">
      <w:pPr>
        <w:spacing w:line="480" w:lineRule="auto"/>
        <w:jc w:val="center"/>
        <w:rPr>
          <w:b/>
          <w:sz w:val="24"/>
        </w:rPr>
      </w:pPr>
    </w:p>
    <w:p w:rsidR="00C33E07" w:rsidRPr="00C33E07" w:rsidRDefault="00C33E07" w:rsidP="00C33E07">
      <w:pPr>
        <w:autoSpaceDE w:val="0"/>
        <w:autoSpaceDN w:val="0"/>
        <w:adjustRightInd w:val="0"/>
        <w:spacing w:after="0" w:line="480" w:lineRule="auto"/>
        <w:jc w:val="center"/>
        <w:rPr>
          <w:b/>
          <w:bCs/>
          <w:sz w:val="40"/>
        </w:rPr>
      </w:pPr>
      <w:r w:rsidRPr="00C33E07">
        <w:rPr>
          <w:b/>
          <w:bCs/>
          <w:sz w:val="40"/>
        </w:rPr>
        <w:t>Supplemental Figure</w:t>
      </w:r>
      <w:r>
        <w:rPr>
          <w:b/>
          <w:bCs/>
          <w:sz w:val="40"/>
        </w:rPr>
        <w:t>s</w:t>
      </w:r>
      <w:r w:rsidRPr="00C33E07">
        <w:rPr>
          <w:b/>
          <w:bCs/>
          <w:sz w:val="40"/>
        </w:rPr>
        <w:t xml:space="preserve"> and Legends</w:t>
      </w:r>
    </w:p>
    <w:p w:rsidR="00C33E07" w:rsidRDefault="00C33E07" w:rsidP="00C33E07">
      <w:pPr>
        <w:autoSpaceDE w:val="0"/>
        <w:autoSpaceDN w:val="0"/>
        <w:adjustRightInd w:val="0"/>
        <w:spacing w:after="0" w:line="480" w:lineRule="auto"/>
        <w:jc w:val="both"/>
        <w:rPr>
          <w:b/>
          <w:bCs/>
          <w:sz w:val="24"/>
        </w:rPr>
      </w:pPr>
    </w:p>
    <w:p w:rsidR="00C33E07" w:rsidRPr="00C33E07" w:rsidRDefault="00C33E07" w:rsidP="00C33E0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b/>
          <w:sz w:val="24"/>
        </w:rPr>
      </w:pPr>
      <w:r w:rsidRPr="00C33E07">
        <w:rPr>
          <w:b/>
          <w:bCs/>
          <w:sz w:val="24"/>
        </w:rPr>
        <w:t xml:space="preserve">Figure S1. Schematic representation of viral constructs. </w:t>
      </w:r>
    </w:p>
    <w:p w:rsidR="00C33E07" w:rsidRPr="00C33E07" w:rsidRDefault="00C33E07" w:rsidP="00C33E0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b/>
          <w:sz w:val="24"/>
        </w:rPr>
      </w:pPr>
      <w:r w:rsidRPr="00C33E07">
        <w:rPr>
          <w:b/>
          <w:sz w:val="24"/>
        </w:rPr>
        <w:t xml:space="preserve">Figure S2. Generation of iCasp9-G and </w:t>
      </w:r>
      <w:r w:rsidRPr="00C33E07">
        <w:rPr>
          <w:rFonts w:ascii="Calibri" w:eastAsia="Calibri" w:hAnsi="Calibri" w:cs="Times New Roman"/>
          <w:b/>
          <w:sz w:val="24"/>
        </w:rPr>
        <w:t>iCasp9-A</w:t>
      </w:r>
      <w:r w:rsidRPr="00C33E07">
        <w:rPr>
          <w:b/>
          <w:sz w:val="24"/>
        </w:rPr>
        <w:t xml:space="preserve"> retroviral plasmids. </w:t>
      </w:r>
    </w:p>
    <w:p w:rsidR="00C33E07" w:rsidRPr="00C33E07" w:rsidRDefault="00C33E07" w:rsidP="00C33E0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bCs/>
          <w:sz w:val="24"/>
        </w:rPr>
      </w:pPr>
      <w:r w:rsidRPr="00C33E07">
        <w:rPr>
          <w:b/>
          <w:bCs/>
          <w:sz w:val="24"/>
        </w:rPr>
        <w:t xml:space="preserve">Figure S3. Generation of RapaCaspase9 suicide </w:t>
      </w:r>
      <w:r w:rsidRPr="00C33E07">
        <w:rPr>
          <w:rFonts w:ascii="Calibri" w:eastAsia="Calibri" w:hAnsi="Calibri" w:cs="Times New Roman"/>
          <w:b/>
          <w:bCs/>
          <w:sz w:val="24"/>
        </w:rPr>
        <w:t>gene</w:t>
      </w:r>
      <w:r w:rsidRPr="00C33E07">
        <w:rPr>
          <w:b/>
          <w:bCs/>
          <w:sz w:val="24"/>
        </w:rPr>
        <w:t xml:space="preserve"> plasmids. </w:t>
      </w:r>
    </w:p>
    <w:p w:rsidR="00C33E07" w:rsidRPr="00C33E07" w:rsidRDefault="00C33E07" w:rsidP="00C33E0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sz w:val="24"/>
        </w:rPr>
      </w:pPr>
      <w:r w:rsidRPr="00C33E07">
        <w:rPr>
          <w:b/>
          <w:bCs/>
          <w:sz w:val="24"/>
        </w:rPr>
        <w:t xml:space="preserve">Figure S4. Functional validation of RapaCasp9-G suicide gene, induced by rapamycin </w:t>
      </w:r>
      <w:proofErr w:type="gramStart"/>
      <w:r w:rsidRPr="00C33E07">
        <w:rPr>
          <w:b/>
          <w:bCs/>
          <w:sz w:val="24"/>
        </w:rPr>
        <w:t>produced</w:t>
      </w:r>
      <w:proofErr w:type="gramEnd"/>
      <w:r w:rsidRPr="00C33E07">
        <w:rPr>
          <w:b/>
          <w:bCs/>
          <w:sz w:val="24"/>
        </w:rPr>
        <w:t xml:space="preserve"> for research and </w:t>
      </w:r>
      <w:proofErr w:type="spellStart"/>
      <w:r w:rsidRPr="00C33E07">
        <w:rPr>
          <w:b/>
          <w:bCs/>
          <w:sz w:val="24"/>
        </w:rPr>
        <w:t>Rapamune</w:t>
      </w:r>
      <w:proofErr w:type="spellEnd"/>
      <w:r w:rsidRPr="00C33E07">
        <w:rPr>
          <w:rFonts w:cstheme="minorHAnsi"/>
          <w:sz w:val="24"/>
        </w:rPr>
        <w:t>®</w:t>
      </w:r>
      <w:r w:rsidRPr="00C33E07">
        <w:rPr>
          <w:b/>
          <w:bCs/>
          <w:sz w:val="24"/>
        </w:rPr>
        <w:t xml:space="preserve"> pill. </w:t>
      </w:r>
    </w:p>
    <w:p w:rsidR="00C33E07" w:rsidRPr="00C33E07" w:rsidRDefault="00C33E07" w:rsidP="00C33E0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bCs/>
          <w:sz w:val="24"/>
        </w:rPr>
      </w:pPr>
      <w:r w:rsidRPr="00C33E07">
        <w:rPr>
          <w:b/>
          <w:sz w:val="24"/>
        </w:rPr>
        <w:t>Figure S5. Timing improvement for suicide gene induction in RapaCasp9-expressing GMTCs</w:t>
      </w:r>
      <w:r w:rsidRPr="00C33E07">
        <w:rPr>
          <w:sz w:val="24"/>
        </w:rPr>
        <w:t xml:space="preserve">. </w:t>
      </w:r>
    </w:p>
    <w:p w:rsidR="00C33E07" w:rsidRDefault="00C33E07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:rsidR="002C0BDB" w:rsidRPr="002C0BDB" w:rsidRDefault="002C0BDB">
      <w:pPr>
        <w:rPr>
          <w:b/>
          <w:bCs/>
          <w:sz w:val="28"/>
        </w:rPr>
      </w:pPr>
      <w:r w:rsidRPr="002C0BDB">
        <w:rPr>
          <w:b/>
          <w:bCs/>
          <w:sz w:val="28"/>
        </w:rPr>
        <w:lastRenderedPageBreak/>
        <w:t>Figure S1</w:t>
      </w:r>
    </w:p>
    <w:p w:rsidR="002C0BDB" w:rsidRDefault="002C0BDB">
      <w:pPr>
        <w:rPr>
          <w:b/>
          <w:bCs/>
          <w:sz w:val="24"/>
        </w:rPr>
      </w:pP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ind w:left="-993" w:right="-993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fr-FR" w:eastAsia="fr-FR"/>
        </w:rPr>
        <w:drawing>
          <wp:inline distT="0" distB="0" distL="0" distR="0" wp14:anchorId="28303D66">
            <wp:extent cx="6955187" cy="2810852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85" cy="2823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ind w:left="-993" w:right="-993"/>
        <w:jc w:val="both"/>
        <w:rPr>
          <w:b/>
          <w:bCs/>
          <w:sz w:val="24"/>
        </w:rPr>
      </w:pPr>
    </w:p>
    <w:p w:rsidR="00C33E07" w:rsidRDefault="00C33E07" w:rsidP="00C33E07">
      <w:pPr>
        <w:autoSpaceDE w:val="0"/>
        <w:autoSpaceDN w:val="0"/>
        <w:adjustRightInd w:val="0"/>
        <w:spacing w:after="0" w:line="480" w:lineRule="auto"/>
        <w:jc w:val="both"/>
        <w:rPr>
          <w:sz w:val="24"/>
        </w:rPr>
      </w:pPr>
      <w:r w:rsidRPr="0020771D">
        <w:rPr>
          <w:b/>
          <w:bCs/>
          <w:sz w:val="24"/>
        </w:rPr>
        <w:t xml:space="preserve">Figure S1. Schematic representation of viral constructs. </w:t>
      </w:r>
      <w:r w:rsidRPr="0020771D">
        <w:rPr>
          <w:sz w:val="24"/>
        </w:rPr>
        <w:t xml:space="preserve">A. Schematic representation of the retroviral </w:t>
      </w:r>
      <w:r>
        <w:rPr>
          <w:sz w:val="24"/>
        </w:rPr>
        <w:t xml:space="preserve">iCaspase9 </w:t>
      </w:r>
      <w:r w:rsidRPr="0020771D">
        <w:rPr>
          <w:sz w:val="24"/>
        </w:rPr>
        <w:t xml:space="preserve">constructs, including the suicide </w:t>
      </w:r>
      <w:r>
        <w:rPr>
          <w:sz w:val="24"/>
        </w:rPr>
        <w:t xml:space="preserve">gene and a </w:t>
      </w:r>
      <w:r w:rsidRPr="0020771D">
        <w:rPr>
          <w:sz w:val="24"/>
        </w:rPr>
        <w:t>∆</w:t>
      </w:r>
      <w:r>
        <w:rPr>
          <w:sz w:val="24"/>
        </w:rPr>
        <w:t>CD19</w:t>
      </w:r>
      <w:r w:rsidRPr="0020771D">
        <w:rPr>
          <w:sz w:val="24"/>
        </w:rPr>
        <w:t xml:space="preserve">. The different sequences </w:t>
      </w:r>
      <w:proofErr w:type="gramStart"/>
      <w:r w:rsidRPr="0020771D">
        <w:rPr>
          <w:sz w:val="24"/>
        </w:rPr>
        <w:t>are separated</w:t>
      </w:r>
      <w:proofErr w:type="gramEnd"/>
      <w:r w:rsidRPr="0020771D">
        <w:rPr>
          <w:sz w:val="24"/>
        </w:rPr>
        <w:t xml:space="preserve"> with 2a self-cleaving peptides. B. Schematic representation of the lentiviral </w:t>
      </w:r>
      <w:r>
        <w:rPr>
          <w:sz w:val="24"/>
        </w:rPr>
        <w:t>Rapa</w:t>
      </w:r>
      <w:r w:rsidRPr="0020771D">
        <w:rPr>
          <w:sz w:val="24"/>
        </w:rPr>
        <w:t xml:space="preserve">Caspase9 </w:t>
      </w:r>
      <w:r>
        <w:rPr>
          <w:sz w:val="24"/>
        </w:rPr>
        <w:t xml:space="preserve">and iCaspase9 </w:t>
      </w:r>
      <w:r w:rsidRPr="0020771D">
        <w:rPr>
          <w:sz w:val="24"/>
        </w:rPr>
        <w:t xml:space="preserve">constructs, including </w:t>
      </w:r>
      <w:r w:rsidRPr="0020771D">
        <w:rPr>
          <w:rFonts w:ascii="Calibri" w:eastAsia="Calibri" w:hAnsi="Calibri" w:cs="Times New Roman"/>
          <w:sz w:val="24"/>
        </w:rPr>
        <w:t>an</w:t>
      </w:r>
      <w:r w:rsidRPr="0020771D">
        <w:rPr>
          <w:sz w:val="24"/>
        </w:rPr>
        <w:t xml:space="preserve"> EF1α promoter, the suicide gene, </w:t>
      </w:r>
      <w:r>
        <w:rPr>
          <w:sz w:val="24"/>
        </w:rPr>
        <w:t xml:space="preserve">an </w:t>
      </w:r>
      <w:r w:rsidRPr="0020771D">
        <w:rPr>
          <w:sz w:val="24"/>
        </w:rPr>
        <w:t>IL-1RAP chimeric antigen rece</w:t>
      </w:r>
      <w:r>
        <w:rPr>
          <w:sz w:val="24"/>
        </w:rPr>
        <w:t xml:space="preserve">ptor and a </w:t>
      </w:r>
      <w:r w:rsidRPr="0020771D">
        <w:rPr>
          <w:sz w:val="24"/>
        </w:rPr>
        <w:t>∆</w:t>
      </w:r>
      <w:r>
        <w:rPr>
          <w:sz w:val="24"/>
        </w:rPr>
        <w:t>CD19</w:t>
      </w:r>
      <w:r w:rsidRPr="0020771D">
        <w:rPr>
          <w:sz w:val="24"/>
        </w:rPr>
        <w:t xml:space="preserve">. The different sequences </w:t>
      </w:r>
      <w:proofErr w:type="gramStart"/>
      <w:r w:rsidRPr="0020771D">
        <w:rPr>
          <w:sz w:val="24"/>
        </w:rPr>
        <w:t>are separated</w:t>
      </w:r>
      <w:proofErr w:type="gramEnd"/>
      <w:r w:rsidRPr="0020771D">
        <w:rPr>
          <w:sz w:val="24"/>
        </w:rPr>
        <w:t xml:space="preserve"> with 2a self-cleaving peptides</w:t>
      </w:r>
    </w:p>
    <w:p w:rsidR="002C0BDB" w:rsidRDefault="002C0BDB" w:rsidP="002C0BDB">
      <w:pPr>
        <w:ind w:left="-993"/>
        <w:rPr>
          <w:sz w:val="24"/>
        </w:rPr>
      </w:pPr>
      <w:r>
        <w:rPr>
          <w:sz w:val="24"/>
        </w:rPr>
        <w:br w:type="page"/>
      </w:r>
    </w:p>
    <w:p w:rsidR="002C0BDB" w:rsidRPr="002C0BDB" w:rsidRDefault="002C0BDB" w:rsidP="002C0BDB">
      <w:pPr>
        <w:rPr>
          <w:b/>
          <w:bCs/>
          <w:sz w:val="28"/>
        </w:rPr>
      </w:pPr>
      <w:r w:rsidRPr="002C0BDB">
        <w:rPr>
          <w:b/>
          <w:bCs/>
          <w:sz w:val="28"/>
        </w:rPr>
        <w:lastRenderedPageBreak/>
        <w:t>Figure S2</w:t>
      </w:r>
    </w:p>
    <w:p w:rsidR="002C0BDB" w:rsidRDefault="002C0BDB" w:rsidP="002C0BDB">
      <w:pPr>
        <w:rPr>
          <w:b/>
          <w:bCs/>
          <w:sz w:val="24"/>
        </w:rPr>
      </w:pPr>
    </w:p>
    <w:p w:rsidR="00C33E07" w:rsidRDefault="002C0BDB" w:rsidP="002C0BDB">
      <w:pPr>
        <w:autoSpaceDE w:val="0"/>
        <w:autoSpaceDN w:val="0"/>
        <w:adjustRightInd w:val="0"/>
        <w:spacing w:after="0" w:line="480" w:lineRule="auto"/>
        <w:ind w:right="-567"/>
        <w:jc w:val="center"/>
        <w:rPr>
          <w:b/>
          <w:sz w:val="24"/>
        </w:rPr>
      </w:pPr>
      <w:r>
        <w:rPr>
          <w:b/>
          <w:noProof/>
          <w:sz w:val="24"/>
          <w:lang w:val="fr-FR" w:eastAsia="fr-FR"/>
        </w:rPr>
        <w:drawing>
          <wp:inline distT="0" distB="0" distL="0" distR="0" wp14:anchorId="54CBDE7C">
            <wp:extent cx="5892165" cy="370139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911" cy="3703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BDB" w:rsidRPr="0020771D" w:rsidRDefault="002C0BDB" w:rsidP="002C0BDB">
      <w:pPr>
        <w:autoSpaceDE w:val="0"/>
        <w:autoSpaceDN w:val="0"/>
        <w:adjustRightInd w:val="0"/>
        <w:spacing w:after="0" w:line="480" w:lineRule="auto"/>
        <w:ind w:right="-567"/>
        <w:jc w:val="both"/>
        <w:rPr>
          <w:b/>
          <w:sz w:val="24"/>
        </w:rPr>
      </w:pPr>
    </w:p>
    <w:p w:rsidR="00C33E07" w:rsidRPr="0020771D" w:rsidRDefault="00C33E07" w:rsidP="00C33E07">
      <w:pPr>
        <w:autoSpaceDE w:val="0"/>
        <w:autoSpaceDN w:val="0"/>
        <w:adjustRightInd w:val="0"/>
        <w:spacing w:after="0" w:line="480" w:lineRule="auto"/>
        <w:jc w:val="both"/>
        <w:rPr>
          <w:b/>
          <w:sz w:val="24"/>
        </w:rPr>
      </w:pPr>
      <w:r w:rsidRPr="0020771D">
        <w:rPr>
          <w:b/>
          <w:sz w:val="24"/>
        </w:rPr>
        <w:t xml:space="preserve">Figure S2. Generation of </w:t>
      </w:r>
      <w:r>
        <w:rPr>
          <w:b/>
          <w:sz w:val="24"/>
        </w:rPr>
        <w:t>iCasp9</w:t>
      </w:r>
      <w:r w:rsidRPr="0020771D">
        <w:rPr>
          <w:b/>
          <w:sz w:val="24"/>
        </w:rPr>
        <w:t xml:space="preserve">-G and </w:t>
      </w:r>
      <w:r>
        <w:rPr>
          <w:rFonts w:ascii="Calibri" w:eastAsia="Calibri" w:hAnsi="Calibri" w:cs="Times New Roman"/>
          <w:b/>
          <w:sz w:val="24"/>
        </w:rPr>
        <w:t>iCasp9</w:t>
      </w:r>
      <w:r w:rsidRPr="0020771D">
        <w:rPr>
          <w:rFonts w:ascii="Calibri" w:eastAsia="Calibri" w:hAnsi="Calibri" w:cs="Times New Roman"/>
          <w:b/>
          <w:sz w:val="24"/>
        </w:rPr>
        <w:t>-A</w:t>
      </w:r>
      <w:r w:rsidRPr="0020771D">
        <w:rPr>
          <w:b/>
          <w:sz w:val="24"/>
        </w:rPr>
        <w:t xml:space="preserve"> retroviral plasmids. </w:t>
      </w:r>
      <w:r w:rsidRPr="0020771D">
        <w:rPr>
          <w:sz w:val="24"/>
        </w:rPr>
        <w:t xml:space="preserve">A. Restriction </w:t>
      </w:r>
      <w:r w:rsidRPr="0020771D">
        <w:rPr>
          <w:rFonts w:ascii="Calibri" w:eastAsia="Calibri" w:hAnsi="Calibri" w:cs="Times New Roman"/>
          <w:sz w:val="24"/>
        </w:rPr>
        <w:t>fragment length polymorphism</w:t>
      </w:r>
      <w:r w:rsidRPr="0020771D">
        <w:rPr>
          <w:sz w:val="24"/>
        </w:rPr>
        <w:t xml:space="preserve"> </w:t>
      </w:r>
      <w:r>
        <w:rPr>
          <w:sz w:val="24"/>
        </w:rPr>
        <w:t>of</w:t>
      </w:r>
      <w:r w:rsidRPr="0020771D">
        <w:rPr>
          <w:sz w:val="24"/>
        </w:rPr>
        <w:t xml:space="preserve"> retroviral </w:t>
      </w:r>
      <w:r>
        <w:rPr>
          <w:sz w:val="24"/>
        </w:rPr>
        <w:t xml:space="preserve">iCaspase9 </w:t>
      </w:r>
      <w:r w:rsidRPr="0020771D">
        <w:rPr>
          <w:sz w:val="24"/>
        </w:rPr>
        <w:t>plasmids targeting the site-directed mutagenesis</w:t>
      </w:r>
      <w:r>
        <w:rPr>
          <w:sz w:val="24"/>
        </w:rPr>
        <w:t xml:space="preserve"> site</w:t>
      </w:r>
      <w:r w:rsidRPr="0020771D">
        <w:rPr>
          <w:sz w:val="24"/>
        </w:rPr>
        <w:t xml:space="preserve">. PCR targeting the Casp9 suicide genes </w:t>
      </w:r>
      <w:proofErr w:type="gramStart"/>
      <w:r w:rsidRPr="0020771D">
        <w:rPr>
          <w:sz w:val="24"/>
        </w:rPr>
        <w:t>was performed</w:t>
      </w:r>
      <w:proofErr w:type="gramEnd"/>
      <w:r w:rsidRPr="0020771D">
        <w:rPr>
          <w:rFonts w:ascii="Calibri" w:eastAsia="Calibri" w:hAnsi="Calibri" w:cs="Times New Roman"/>
          <w:sz w:val="24"/>
        </w:rPr>
        <w:t>,</w:t>
      </w:r>
      <w:r w:rsidRPr="0020771D">
        <w:rPr>
          <w:sz w:val="24"/>
        </w:rPr>
        <w:t xml:space="preserve"> and </w:t>
      </w:r>
      <w:r>
        <w:rPr>
          <w:sz w:val="24"/>
        </w:rPr>
        <w:t xml:space="preserve">the </w:t>
      </w:r>
      <w:r w:rsidRPr="0020771D">
        <w:rPr>
          <w:sz w:val="24"/>
        </w:rPr>
        <w:t xml:space="preserve">PCR products underwent enzymatic restriction with </w:t>
      </w:r>
      <w:r w:rsidRPr="0020771D">
        <w:rPr>
          <w:rFonts w:ascii="Calibri" w:eastAsia="Calibri" w:hAnsi="Calibri" w:cs="Times New Roman"/>
          <w:sz w:val="24"/>
        </w:rPr>
        <w:t xml:space="preserve">the </w:t>
      </w:r>
      <w:proofErr w:type="spellStart"/>
      <w:r w:rsidRPr="0020771D">
        <w:rPr>
          <w:i/>
          <w:iCs/>
          <w:sz w:val="24"/>
        </w:rPr>
        <w:t>BstUI</w:t>
      </w:r>
      <w:proofErr w:type="spellEnd"/>
      <w:r w:rsidRPr="0020771D">
        <w:rPr>
          <w:sz w:val="24"/>
        </w:rPr>
        <w:t xml:space="preserve"> enzyme and migration </w:t>
      </w:r>
      <w:r>
        <w:rPr>
          <w:sz w:val="24"/>
        </w:rPr>
        <w:t>in</w:t>
      </w:r>
      <w:r w:rsidRPr="0020771D">
        <w:rPr>
          <w:sz w:val="24"/>
        </w:rPr>
        <w:t xml:space="preserve"> </w:t>
      </w:r>
      <w:r w:rsidRPr="0020771D">
        <w:rPr>
          <w:rFonts w:ascii="Calibri" w:eastAsia="Calibri" w:hAnsi="Calibri" w:cs="Times New Roman"/>
          <w:sz w:val="24"/>
        </w:rPr>
        <w:t xml:space="preserve">an </w:t>
      </w:r>
      <w:r w:rsidRPr="0020771D">
        <w:rPr>
          <w:sz w:val="24"/>
        </w:rPr>
        <w:t>agarose gel.</w:t>
      </w:r>
      <w:r w:rsidRPr="0020771D">
        <w:rPr>
          <w:rFonts w:ascii="Calibri" w:eastAsia="Calibri" w:hAnsi="Calibri" w:cs="Times New Roman"/>
          <w:sz w:val="24"/>
        </w:rPr>
        <w:t xml:space="preserve"> The negative</w:t>
      </w:r>
      <w:r w:rsidRPr="0020771D">
        <w:rPr>
          <w:sz w:val="24"/>
        </w:rPr>
        <w:t xml:space="preserve"> control (T-) contained water instead of DNA. B. Validation of the site-directed mutagenesis by Sanger sequencing of the </w:t>
      </w:r>
      <w:r>
        <w:rPr>
          <w:sz w:val="24"/>
        </w:rPr>
        <w:t xml:space="preserve">iCaspase9 </w:t>
      </w:r>
      <w:r w:rsidRPr="0020771D">
        <w:rPr>
          <w:sz w:val="24"/>
        </w:rPr>
        <w:t>suicide genes. C. Transfection efficiency of PG13-</w:t>
      </w:r>
      <w:r>
        <w:rPr>
          <w:sz w:val="24"/>
        </w:rPr>
        <w:t>iCasp9</w:t>
      </w:r>
      <w:r w:rsidRPr="0020771D">
        <w:rPr>
          <w:sz w:val="24"/>
        </w:rPr>
        <w:t>-G and PG13-</w:t>
      </w:r>
      <w:r>
        <w:rPr>
          <w:sz w:val="24"/>
        </w:rPr>
        <w:t>iCasp9</w:t>
      </w:r>
      <w:r w:rsidRPr="0020771D">
        <w:rPr>
          <w:sz w:val="24"/>
        </w:rPr>
        <w:t>-A after sorting with CD19 or CD34 labeling.</w:t>
      </w:r>
    </w:p>
    <w:p w:rsidR="002C0BDB" w:rsidRDefault="002C0BDB">
      <w:pPr>
        <w:rPr>
          <w:b/>
          <w:sz w:val="24"/>
        </w:rPr>
      </w:pPr>
      <w:r>
        <w:rPr>
          <w:b/>
          <w:sz w:val="24"/>
        </w:rPr>
        <w:br w:type="page"/>
      </w:r>
    </w:p>
    <w:p w:rsidR="002C0BDB" w:rsidRDefault="002C0BDB" w:rsidP="00C33E07">
      <w:pPr>
        <w:autoSpaceDE w:val="0"/>
        <w:autoSpaceDN w:val="0"/>
        <w:adjustRightInd w:val="0"/>
        <w:spacing w:after="0" w:line="480" w:lineRule="auto"/>
        <w:jc w:val="both"/>
        <w:rPr>
          <w:b/>
          <w:bCs/>
          <w:sz w:val="28"/>
        </w:rPr>
      </w:pPr>
      <w:r w:rsidRPr="002C0BDB">
        <w:rPr>
          <w:b/>
          <w:bCs/>
          <w:sz w:val="28"/>
        </w:rPr>
        <w:lastRenderedPageBreak/>
        <w:t>Figure S3</w:t>
      </w:r>
    </w:p>
    <w:p w:rsidR="002C0BDB" w:rsidRPr="002C0BDB" w:rsidRDefault="002C0BDB" w:rsidP="00C33E07">
      <w:pPr>
        <w:autoSpaceDE w:val="0"/>
        <w:autoSpaceDN w:val="0"/>
        <w:adjustRightInd w:val="0"/>
        <w:spacing w:after="0" w:line="480" w:lineRule="auto"/>
        <w:jc w:val="both"/>
        <w:rPr>
          <w:b/>
          <w:bCs/>
          <w:sz w:val="28"/>
        </w:rPr>
      </w:pP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ind w:left="-993" w:right="-709"/>
        <w:jc w:val="center"/>
        <w:rPr>
          <w:b/>
          <w:sz w:val="24"/>
        </w:rPr>
      </w:pPr>
      <w:r>
        <w:rPr>
          <w:b/>
          <w:noProof/>
          <w:sz w:val="24"/>
          <w:lang w:val="fr-FR" w:eastAsia="fr-FR"/>
        </w:rPr>
        <w:drawing>
          <wp:inline distT="0" distB="0" distL="0" distR="0" wp14:anchorId="2D05593C">
            <wp:extent cx="5916348" cy="402967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11" cy="4035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ind w:left="-993"/>
        <w:jc w:val="both"/>
        <w:rPr>
          <w:b/>
          <w:sz w:val="24"/>
        </w:rPr>
      </w:pPr>
    </w:p>
    <w:p w:rsidR="00C33E07" w:rsidRDefault="00C33E07" w:rsidP="00C33E07">
      <w:pPr>
        <w:autoSpaceDE w:val="0"/>
        <w:autoSpaceDN w:val="0"/>
        <w:adjustRightInd w:val="0"/>
        <w:spacing w:after="0" w:line="480" w:lineRule="auto"/>
        <w:jc w:val="both"/>
        <w:rPr>
          <w:bCs/>
          <w:sz w:val="24"/>
        </w:rPr>
      </w:pPr>
      <w:r w:rsidRPr="0020771D">
        <w:rPr>
          <w:b/>
          <w:bCs/>
          <w:sz w:val="24"/>
        </w:rPr>
        <w:t xml:space="preserve">Figure S3. Generation of </w:t>
      </w:r>
      <w:r>
        <w:rPr>
          <w:b/>
          <w:bCs/>
          <w:sz w:val="24"/>
        </w:rPr>
        <w:t xml:space="preserve">RapaCaspase9 </w:t>
      </w:r>
      <w:r w:rsidRPr="0020771D">
        <w:rPr>
          <w:b/>
          <w:bCs/>
          <w:sz w:val="24"/>
        </w:rPr>
        <w:t xml:space="preserve">suicide </w:t>
      </w:r>
      <w:r w:rsidRPr="0020771D">
        <w:rPr>
          <w:rFonts w:ascii="Calibri" w:eastAsia="Calibri" w:hAnsi="Calibri" w:cs="Times New Roman"/>
          <w:b/>
          <w:bCs/>
          <w:sz w:val="24"/>
        </w:rPr>
        <w:t>gene</w:t>
      </w:r>
      <w:r w:rsidRPr="0020771D">
        <w:rPr>
          <w:b/>
          <w:bCs/>
          <w:sz w:val="24"/>
        </w:rPr>
        <w:t xml:space="preserve"> plasmids. </w:t>
      </w:r>
      <w:r w:rsidRPr="0020771D">
        <w:rPr>
          <w:sz w:val="24"/>
        </w:rPr>
        <w:t xml:space="preserve">A. Restriction </w:t>
      </w:r>
      <w:r w:rsidRPr="0020771D">
        <w:rPr>
          <w:rFonts w:ascii="Calibri" w:eastAsia="Calibri" w:hAnsi="Calibri" w:cs="Times New Roman"/>
          <w:sz w:val="24"/>
        </w:rPr>
        <w:t>fragment length polymorphism</w:t>
      </w:r>
      <w:r w:rsidRPr="0020771D">
        <w:rPr>
          <w:sz w:val="24"/>
        </w:rPr>
        <w:t xml:space="preserve"> </w:t>
      </w:r>
      <w:r>
        <w:rPr>
          <w:sz w:val="24"/>
        </w:rPr>
        <w:t>of</w:t>
      </w:r>
      <w:r w:rsidRPr="0020771D">
        <w:rPr>
          <w:sz w:val="24"/>
        </w:rPr>
        <w:t xml:space="preserve"> lentiviral RapaCaspase9 plasmids targeting the site-directed mutagenesis</w:t>
      </w:r>
      <w:r>
        <w:rPr>
          <w:sz w:val="24"/>
        </w:rPr>
        <w:t xml:space="preserve"> site</w:t>
      </w:r>
      <w:r w:rsidRPr="0020771D">
        <w:rPr>
          <w:sz w:val="24"/>
        </w:rPr>
        <w:t xml:space="preserve">. PCR targeting the Casp9 suicide genes </w:t>
      </w:r>
      <w:proofErr w:type="gramStart"/>
      <w:r w:rsidRPr="0020771D">
        <w:rPr>
          <w:sz w:val="24"/>
        </w:rPr>
        <w:t>was performed</w:t>
      </w:r>
      <w:proofErr w:type="gramEnd"/>
      <w:r w:rsidRPr="0020771D">
        <w:rPr>
          <w:rFonts w:ascii="Calibri" w:eastAsia="Calibri" w:hAnsi="Calibri" w:cs="Times New Roman"/>
          <w:sz w:val="24"/>
        </w:rPr>
        <w:t>,</w:t>
      </w:r>
      <w:r w:rsidRPr="0020771D">
        <w:rPr>
          <w:sz w:val="24"/>
        </w:rPr>
        <w:t xml:space="preserve"> and </w:t>
      </w:r>
      <w:r>
        <w:rPr>
          <w:sz w:val="24"/>
        </w:rPr>
        <w:t xml:space="preserve">the </w:t>
      </w:r>
      <w:r w:rsidRPr="0020771D">
        <w:rPr>
          <w:sz w:val="24"/>
        </w:rPr>
        <w:t xml:space="preserve">PCR products underwent enzymatic restriction with </w:t>
      </w:r>
      <w:r w:rsidRPr="0020771D">
        <w:rPr>
          <w:rFonts w:ascii="Calibri" w:eastAsia="Calibri" w:hAnsi="Calibri" w:cs="Times New Roman"/>
          <w:sz w:val="24"/>
        </w:rPr>
        <w:t xml:space="preserve">the </w:t>
      </w:r>
      <w:proofErr w:type="spellStart"/>
      <w:r w:rsidRPr="0020771D">
        <w:rPr>
          <w:i/>
          <w:iCs/>
          <w:sz w:val="24"/>
        </w:rPr>
        <w:t>BstUI</w:t>
      </w:r>
      <w:proofErr w:type="spellEnd"/>
      <w:r w:rsidRPr="0020771D">
        <w:rPr>
          <w:bCs/>
          <w:sz w:val="24"/>
        </w:rPr>
        <w:t xml:space="preserve"> enzyme and migration </w:t>
      </w:r>
      <w:r>
        <w:rPr>
          <w:bCs/>
          <w:sz w:val="24"/>
        </w:rPr>
        <w:t>in</w:t>
      </w:r>
      <w:r w:rsidRPr="0020771D">
        <w:rPr>
          <w:bCs/>
          <w:sz w:val="24"/>
        </w:rPr>
        <w:t xml:space="preserve"> </w:t>
      </w:r>
      <w:r w:rsidRPr="0020771D">
        <w:rPr>
          <w:rFonts w:ascii="Calibri" w:eastAsia="Calibri" w:hAnsi="Calibri" w:cs="Times New Roman"/>
          <w:bCs/>
          <w:sz w:val="24"/>
        </w:rPr>
        <w:t xml:space="preserve">an </w:t>
      </w:r>
      <w:r w:rsidRPr="0020771D">
        <w:rPr>
          <w:bCs/>
          <w:sz w:val="24"/>
        </w:rPr>
        <w:t>agarose gel.</w:t>
      </w:r>
      <w:r w:rsidRPr="0020771D">
        <w:rPr>
          <w:rFonts w:ascii="Calibri" w:eastAsia="Calibri" w:hAnsi="Calibri" w:cs="Times New Roman"/>
          <w:bCs/>
          <w:sz w:val="24"/>
        </w:rPr>
        <w:t xml:space="preserve"> The negative</w:t>
      </w:r>
      <w:r w:rsidRPr="0020771D">
        <w:rPr>
          <w:bCs/>
          <w:sz w:val="24"/>
        </w:rPr>
        <w:t xml:space="preserve"> control (T-) contained water instead of DNA</w:t>
      </w:r>
      <w:r w:rsidRPr="0020771D">
        <w:rPr>
          <w:rFonts w:ascii="Calibri" w:eastAsia="Calibri" w:hAnsi="Calibri" w:cs="Times New Roman"/>
          <w:bCs/>
          <w:sz w:val="24"/>
        </w:rPr>
        <w:t>,</w:t>
      </w:r>
      <w:r w:rsidRPr="0020771D">
        <w:rPr>
          <w:bCs/>
          <w:sz w:val="24"/>
        </w:rPr>
        <w:t xml:space="preserve"> and</w:t>
      </w:r>
      <w:r w:rsidRPr="0020771D">
        <w:rPr>
          <w:rFonts w:ascii="Calibri" w:eastAsia="Calibri" w:hAnsi="Calibri" w:cs="Times New Roman"/>
          <w:bCs/>
          <w:sz w:val="24"/>
        </w:rPr>
        <w:t xml:space="preserve"> the</w:t>
      </w:r>
      <w:r w:rsidRPr="0020771D">
        <w:rPr>
          <w:bCs/>
          <w:sz w:val="24"/>
        </w:rPr>
        <w:t xml:space="preserve"> positive control (T+) contained a validated plasmid with </w:t>
      </w:r>
      <w:r>
        <w:rPr>
          <w:bCs/>
          <w:sz w:val="24"/>
        </w:rPr>
        <w:t xml:space="preserve">a </w:t>
      </w:r>
      <w:r w:rsidRPr="0020771D">
        <w:rPr>
          <w:bCs/>
          <w:sz w:val="24"/>
        </w:rPr>
        <w:t>G nucleotide</w:t>
      </w:r>
      <w:r>
        <w:rPr>
          <w:bCs/>
          <w:sz w:val="24"/>
        </w:rPr>
        <w:t>.</w:t>
      </w:r>
      <w:r w:rsidRPr="0020771D">
        <w:rPr>
          <w:bCs/>
          <w:sz w:val="24"/>
        </w:rPr>
        <w:t xml:space="preserve"> B. Validation of the site-directed mutagenesis by Sanger sequencing of the Casp9 suicide genes. C. Representative </w:t>
      </w:r>
      <w:proofErr w:type="gramStart"/>
      <w:r w:rsidRPr="0020771D">
        <w:rPr>
          <w:bCs/>
          <w:sz w:val="24"/>
        </w:rPr>
        <w:t>dot</w:t>
      </w:r>
      <w:proofErr w:type="gramEnd"/>
      <w:r w:rsidRPr="0020771D">
        <w:rPr>
          <w:bCs/>
          <w:sz w:val="24"/>
        </w:rPr>
        <w:t xml:space="preserve"> plots of</w:t>
      </w:r>
      <w:r>
        <w:rPr>
          <w:bCs/>
          <w:sz w:val="24"/>
        </w:rPr>
        <w:t xml:space="preserve"> the</w:t>
      </w:r>
      <w:r w:rsidRPr="0020771D">
        <w:rPr>
          <w:bCs/>
          <w:sz w:val="24"/>
        </w:rPr>
        <w:t xml:space="preserve"> transfection efficiency </w:t>
      </w:r>
      <w:r>
        <w:rPr>
          <w:bCs/>
          <w:sz w:val="24"/>
        </w:rPr>
        <w:t>for</w:t>
      </w:r>
      <w:r w:rsidRPr="0020771D">
        <w:rPr>
          <w:bCs/>
          <w:sz w:val="24"/>
        </w:rPr>
        <w:t xml:space="preserve"> HEK-293T</w:t>
      </w:r>
      <w:r w:rsidRPr="0020771D">
        <w:rPr>
          <w:rFonts w:ascii="Calibri" w:eastAsia="Calibri" w:hAnsi="Calibri" w:cs="Times New Roman"/>
          <w:bCs/>
          <w:sz w:val="24"/>
        </w:rPr>
        <w:t xml:space="preserve"> cells</w:t>
      </w:r>
      <w:r w:rsidRPr="0020771D">
        <w:rPr>
          <w:bCs/>
          <w:sz w:val="24"/>
        </w:rPr>
        <w:t xml:space="preserve"> </w:t>
      </w:r>
      <w:r>
        <w:rPr>
          <w:bCs/>
          <w:sz w:val="24"/>
        </w:rPr>
        <w:t xml:space="preserve">transfected </w:t>
      </w:r>
      <w:r w:rsidRPr="0020771D">
        <w:rPr>
          <w:bCs/>
          <w:sz w:val="24"/>
        </w:rPr>
        <w:t xml:space="preserve">with </w:t>
      </w:r>
      <w:r>
        <w:rPr>
          <w:bCs/>
          <w:sz w:val="24"/>
        </w:rPr>
        <w:t>RapaCasp9-</w:t>
      </w:r>
      <w:r w:rsidRPr="0020771D">
        <w:rPr>
          <w:bCs/>
          <w:sz w:val="24"/>
        </w:rPr>
        <w:t xml:space="preserve">G and </w:t>
      </w:r>
      <w:r>
        <w:rPr>
          <w:bCs/>
          <w:sz w:val="24"/>
        </w:rPr>
        <w:t>RapaCasp9-</w:t>
      </w:r>
      <w:r w:rsidRPr="0020771D">
        <w:rPr>
          <w:bCs/>
          <w:sz w:val="24"/>
        </w:rPr>
        <w:t>A lentiviral plasmids.</w:t>
      </w: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jc w:val="both"/>
        <w:rPr>
          <w:b/>
          <w:bCs/>
          <w:sz w:val="28"/>
        </w:rPr>
      </w:pPr>
      <w:r w:rsidRPr="002C0BDB">
        <w:rPr>
          <w:b/>
          <w:bCs/>
          <w:sz w:val="28"/>
        </w:rPr>
        <w:lastRenderedPageBreak/>
        <w:t>Figure S</w:t>
      </w:r>
      <w:r>
        <w:rPr>
          <w:b/>
          <w:bCs/>
          <w:sz w:val="28"/>
        </w:rPr>
        <w:t>4</w:t>
      </w:r>
    </w:p>
    <w:p w:rsidR="00C33E07" w:rsidRDefault="00C33E07" w:rsidP="00C33E07">
      <w:pPr>
        <w:autoSpaceDE w:val="0"/>
        <w:autoSpaceDN w:val="0"/>
        <w:adjustRightInd w:val="0"/>
        <w:spacing w:after="0" w:line="480" w:lineRule="auto"/>
        <w:jc w:val="both"/>
        <w:rPr>
          <w:bCs/>
          <w:sz w:val="24"/>
        </w:rPr>
      </w:pP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jc w:val="center"/>
        <w:rPr>
          <w:bCs/>
          <w:sz w:val="24"/>
        </w:rPr>
      </w:pPr>
      <w:r w:rsidRPr="002C0BDB">
        <w:rPr>
          <w:noProof/>
          <w:lang w:val="fr-FR" w:eastAsia="fr-FR"/>
        </w:rPr>
        <w:drawing>
          <wp:inline distT="0" distB="0" distL="0" distR="0">
            <wp:extent cx="4016829" cy="408901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21" cy="409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jc w:val="center"/>
        <w:rPr>
          <w:bCs/>
          <w:sz w:val="24"/>
        </w:rPr>
      </w:pPr>
    </w:p>
    <w:p w:rsidR="00C33E07" w:rsidRDefault="00C33E07" w:rsidP="00C33E07">
      <w:pPr>
        <w:autoSpaceDE w:val="0"/>
        <w:autoSpaceDN w:val="0"/>
        <w:adjustRightInd w:val="0"/>
        <w:spacing w:after="0" w:line="480" w:lineRule="auto"/>
        <w:jc w:val="both"/>
        <w:rPr>
          <w:sz w:val="24"/>
        </w:rPr>
      </w:pPr>
      <w:r w:rsidRPr="00551036">
        <w:rPr>
          <w:b/>
          <w:bCs/>
          <w:sz w:val="24"/>
        </w:rPr>
        <w:t xml:space="preserve">Figure S4. Functional validation of RapaCasp9-G suicide gene, induced by </w:t>
      </w:r>
      <w:r>
        <w:rPr>
          <w:b/>
          <w:bCs/>
          <w:sz w:val="24"/>
        </w:rPr>
        <w:t>r</w:t>
      </w:r>
      <w:r w:rsidRPr="00551036">
        <w:rPr>
          <w:b/>
          <w:bCs/>
          <w:sz w:val="24"/>
        </w:rPr>
        <w:t xml:space="preserve">apamycin produced for research and </w:t>
      </w:r>
      <w:proofErr w:type="spellStart"/>
      <w:r w:rsidRPr="00551036">
        <w:rPr>
          <w:b/>
          <w:bCs/>
          <w:sz w:val="24"/>
        </w:rPr>
        <w:t>Rapamune</w:t>
      </w:r>
      <w:proofErr w:type="spellEnd"/>
      <w:r>
        <w:rPr>
          <w:rFonts w:cstheme="minorHAnsi"/>
          <w:sz w:val="24"/>
        </w:rPr>
        <w:t>®</w:t>
      </w:r>
      <w:r w:rsidRPr="00551036">
        <w:rPr>
          <w:b/>
          <w:bCs/>
          <w:sz w:val="24"/>
        </w:rPr>
        <w:t xml:space="preserve"> pill.</w:t>
      </w:r>
      <w:r>
        <w:rPr>
          <w:b/>
          <w:bCs/>
          <w:sz w:val="24"/>
        </w:rPr>
        <w:t xml:space="preserve"> </w:t>
      </w:r>
      <w:r>
        <w:rPr>
          <w:sz w:val="24"/>
        </w:rPr>
        <w:t>Cell death</w:t>
      </w:r>
      <w:r w:rsidRPr="0020771D">
        <w:rPr>
          <w:sz w:val="24"/>
        </w:rPr>
        <w:t xml:space="preserve"> percentages of RapaCasp9</w:t>
      </w:r>
      <w:r>
        <w:rPr>
          <w:sz w:val="24"/>
        </w:rPr>
        <w:t>-</w:t>
      </w:r>
      <w:r w:rsidRPr="0020771D">
        <w:rPr>
          <w:sz w:val="24"/>
        </w:rPr>
        <w:t>G-expressing GMTC</w:t>
      </w:r>
      <w:r>
        <w:rPr>
          <w:sz w:val="24"/>
        </w:rPr>
        <w:t>s</w:t>
      </w:r>
      <w:r w:rsidRPr="0020771D">
        <w:rPr>
          <w:sz w:val="24"/>
        </w:rPr>
        <w:t xml:space="preserve"> </w:t>
      </w:r>
      <w:r>
        <w:rPr>
          <w:sz w:val="24"/>
        </w:rPr>
        <w:t>during 24</w:t>
      </w:r>
      <w:r w:rsidRPr="0020771D">
        <w:rPr>
          <w:sz w:val="24"/>
        </w:rPr>
        <w:t xml:space="preserve"> </w:t>
      </w:r>
      <w:r>
        <w:rPr>
          <w:sz w:val="24"/>
        </w:rPr>
        <w:t xml:space="preserve">and 48 </w:t>
      </w:r>
      <w:r w:rsidRPr="0020771D">
        <w:rPr>
          <w:sz w:val="24"/>
        </w:rPr>
        <w:t xml:space="preserve">hours after </w:t>
      </w:r>
      <w:r w:rsidRPr="0020771D">
        <w:rPr>
          <w:rFonts w:ascii="Calibri" w:eastAsia="Calibri" w:hAnsi="Calibri" w:cs="Times New Roman"/>
          <w:sz w:val="24"/>
        </w:rPr>
        <w:t>rapamycin</w:t>
      </w:r>
      <w:r w:rsidRPr="0020771D">
        <w:rPr>
          <w:sz w:val="24"/>
        </w:rPr>
        <w:t xml:space="preserve"> exposure. Cells were exposed to 109 </w:t>
      </w:r>
      <w:proofErr w:type="spellStart"/>
      <w:r w:rsidRPr="0020771D">
        <w:rPr>
          <w:sz w:val="24"/>
        </w:rPr>
        <w:t>nM</w:t>
      </w:r>
      <w:proofErr w:type="spellEnd"/>
      <w:r w:rsidRPr="0020771D">
        <w:rPr>
          <w:sz w:val="24"/>
        </w:rPr>
        <w:t xml:space="preserve"> </w:t>
      </w:r>
      <w:r w:rsidRPr="0020771D">
        <w:rPr>
          <w:rFonts w:ascii="Calibri" w:eastAsia="Calibri" w:hAnsi="Calibri" w:cs="Times New Roman"/>
          <w:sz w:val="24"/>
        </w:rPr>
        <w:t>rapamycin</w:t>
      </w:r>
      <w:r>
        <w:rPr>
          <w:rFonts w:ascii="Calibri" w:eastAsia="Calibri" w:hAnsi="Calibri" w:cs="Times New Roman"/>
          <w:sz w:val="24"/>
        </w:rPr>
        <w:t xml:space="preserve"> from Sigma-Aldrich (produced for research) or from </w:t>
      </w:r>
      <w:proofErr w:type="spellStart"/>
      <w:r>
        <w:rPr>
          <w:rFonts w:ascii="Calibri" w:eastAsia="Calibri" w:hAnsi="Calibri" w:cs="Times New Roman"/>
          <w:sz w:val="24"/>
        </w:rPr>
        <w:t>Rapamune</w:t>
      </w:r>
      <w:proofErr w:type="spellEnd"/>
      <w:r>
        <w:rPr>
          <w:rFonts w:cstheme="minorHAnsi"/>
          <w:sz w:val="24"/>
        </w:rPr>
        <w:t xml:space="preserve">® </w:t>
      </w:r>
      <w:r>
        <w:rPr>
          <w:rFonts w:ascii="Calibri" w:eastAsia="Calibri" w:hAnsi="Calibri" w:cs="Times New Roman"/>
          <w:sz w:val="24"/>
        </w:rPr>
        <w:t>pill (commercialized rapamycin), and</w:t>
      </w:r>
      <w:r w:rsidRPr="0020771D">
        <w:rPr>
          <w:sz w:val="24"/>
        </w:rPr>
        <w:t xml:space="preserve"> normalized </w:t>
      </w:r>
      <w:r w:rsidRPr="0020771D">
        <w:rPr>
          <w:rFonts w:ascii="Calibri" w:eastAsia="Calibri" w:hAnsi="Calibri" w:cs="Times New Roman"/>
          <w:sz w:val="24"/>
        </w:rPr>
        <w:t>to</w:t>
      </w:r>
      <w:r w:rsidRPr="0020771D">
        <w:rPr>
          <w:sz w:val="24"/>
        </w:rPr>
        <w:t xml:space="preserve"> control cells (DMSO treated)</w:t>
      </w:r>
      <w:r>
        <w:rPr>
          <w:sz w:val="24"/>
        </w:rPr>
        <w:t>.</w:t>
      </w:r>
      <w:r w:rsidRPr="0020771D">
        <w:rPr>
          <w:sz w:val="24"/>
        </w:rPr>
        <w:t xml:space="preserve"> </w:t>
      </w:r>
      <w:r>
        <w:rPr>
          <w:sz w:val="24"/>
        </w:rPr>
        <w:t>C</w:t>
      </w:r>
      <w:r w:rsidRPr="0020771D">
        <w:rPr>
          <w:sz w:val="24"/>
        </w:rPr>
        <w:t xml:space="preserve">ell death </w:t>
      </w:r>
      <w:proofErr w:type="gramStart"/>
      <w:r w:rsidRPr="0020771D">
        <w:rPr>
          <w:sz w:val="24"/>
        </w:rPr>
        <w:t>was evaluated</w:t>
      </w:r>
      <w:proofErr w:type="gramEnd"/>
      <w:r w:rsidRPr="0020771D">
        <w:rPr>
          <w:sz w:val="24"/>
        </w:rPr>
        <w:t xml:space="preserve"> by </w:t>
      </w:r>
      <w:proofErr w:type="spellStart"/>
      <w:r w:rsidRPr="0020771D">
        <w:rPr>
          <w:sz w:val="24"/>
        </w:rPr>
        <w:t>Annexin</w:t>
      </w:r>
      <w:proofErr w:type="spellEnd"/>
      <w:r w:rsidRPr="0020771D">
        <w:rPr>
          <w:sz w:val="24"/>
        </w:rPr>
        <w:t xml:space="preserve">-V/7-AAD </w:t>
      </w:r>
      <w:r w:rsidRPr="0020771D">
        <w:rPr>
          <w:rFonts w:ascii="Calibri" w:eastAsia="Calibri" w:hAnsi="Calibri" w:cs="Times New Roman"/>
          <w:sz w:val="24"/>
        </w:rPr>
        <w:t>labeling</w:t>
      </w:r>
      <w:r w:rsidRPr="0020771D">
        <w:rPr>
          <w:sz w:val="24"/>
        </w:rPr>
        <w:t xml:space="preserve"> and g</w:t>
      </w:r>
      <w:r>
        <w:rPr>
          <w:sz w:val="24"/>
        </w:rPr>
        <w:t>ating on CD3</w:t>
      </w:r>
      <w:r w:rsidRPr="00621E85">
        <w:rPr>
          <w:sz w:val="24"/>
          <w:vertAlign w:val="superscript"/>
        </w:rPr>
        <w:t>+</w:t>
      </w:r>
      <w:r>
        <w:rPr>
          <w:sz w:val="24"/>
        </w:rPr>
        <w:t>/CD19</w:t>
      </w:r>
      <w:r w:rsidRPr="00621E85">
        <w:rPr>
          <w:sz w:val="24"/>
          <w:vertAlign w:val="superscript"/>
        </w:rPr>
        <w:t>+</w:t>
      </w:r>
      <w:r>
        <w:rPr>
          <w:sz w:val="24"/>
        </w:rPr>
        <w:t xml:space="preserve"> cells by flow cytometry</w:t>
      </w:r>
      <w:r w:rsidRPr="0020771D">
        <w:rPr>
          <w:sz w:val="24"/>
        </w:rPr>
        <w:t>. Mean ± SD of three independent experiments.</w:t>
      </w:r>
    </w:p>
    <w:p w:rsidR="002C0BDB" w:rsidRDefault="002C0BDB">
      <w:pPr>
        <w:rPr>
          <w:sz w:val="24"/>
        </w:rPr>
      </w:pPr>
      <w:r>
        <w:rPr>
          <w:sz w:val="24"/>
        </w:rPr>
        <w:br w:type="page"/>
      </w: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jc w:val="both"/>
        <w:rPr>
          <w:b/>
          <w:bCs/>
          <w:sz w:val="28"/>
        </w:rPr>
      </w:pPr>
      <w:r w:rsidRPr="002C0BDB">
        <w:rPr>
          <w:b/>
          <w:bCs/>
          <w:sz w:val="28"/>
        </w:rPr>
        <w:lastRenderedPageBreak/>
        <w:t>Figure S</w:t>
      </w:r>
      <w:r>
        <w:rPr>
          <w:b/>
          <w:bCs/>
          <w:sz w:val="28"/>
        </w:rPr>
        <w:t>5</w:t>
      </w:r>
    </w:p>
    <w:p w:rsidR="002C0BDB" w:rsidRDefault="002C0BDB" w:rsidP="002C0BDB">
      <w:pPr>
        <w:autoSpaceDE w:val="0"/>
        <w:autoSpaceDN w:val="0"/>
        <w:adjustRightInd w:val="0"/>
        <w:spacing w:after="0" w:line="480" w:lineRule="auto"/>
        <w:jc w:val="both"/>
        <w:rPr>
          <w:b/>
          <w:bCs/>
          <w:sz w:val="28"/>
        </w:rPr>
      </w:pPr>
    </w:p>
    <w:p w:rsidR="00C33E07" w:rsidRDefault="002C0BDB" w:rsidP="002C0BDB">
      <w:pPr>
        <w:autoSpaceDE w:val="0"/>
        <w:autoSpaceDN w:val="0"/>
        <w:adjustRightInd w:val="0"/>
        <w:spacing w:after="0" w:line="480" w:lineRule="auto"/>
        <w:ind w:left="-567" w:right="-567"/>
        <w:jc w:val="center"/>
        <w:rPr>
          <w:sz w:val="24"/>
        </w:rPr>
      </w:pPr>
      <w:r>
        <w:rPr>
          <w:noProof/>
          <w:sz w:val="24"/>
          <w:lang w:val="fr-FR" w:eastAsia="fr-FR"/>
        </w:rPr>
        <w:drawing>
          <wp:inline distT="0" distB="0" distL="0" distR="0" wp14:anchorId="0F8BD86C">
            <wp:extent cx="5024679" cy="364635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14" cy="3650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BDB" w:rsidRDefault="002C0BDB" w:rsidP="00C33E07">
      <w:pPr>
        <w:autoSpaceDE w:val="0"/>
        <w:autoSpaceDN w:val="0"/>
        <w:adjustRightInd w:val="0"/>
        <w:spacing w:after="0" w:line="480" w:lineRule="auto"/>
        <w:jc w:val="both"/>
        <w:rPr>
          <w:sz w:val="24"/>
        </w:rPr>
      </w:pPr>
    </w:p>
    <w:p w:rsidR="00464760" w:rsidRPr="002C0BDB" w:rsidRDefault="00C33E07" w:rsidP="002C0BDB">
      <w:pPr>
        <w:autoSpaceDE w:val="0"/>
        <w:autoSpaceDN w:val="0"/>
        <w:adjustRightInd w:val="0"/>
        <w:spacing w:after="0" w:line="480" w:lineRule="auto"/>
        <w:jc w:val="both"/>
        <w:rPr>
          <w:bCs/>
          <w:sz w:val="24"/>
        </w:rPr>
      </w:pPr>
      <w:r w:rsidRPr="00C33E07">
        <w:rPr>
          <w:b/>
          <w:sz w:val="24"/>
        </w:rPr>
        <w:t xml:space="preserve">Figure S5. Timing improvement </w:t>
      </w:r>
      <w:proofErr w:type="gramStart"/>
      <w:r w:rsidRPr="00C33E07">
        <w:rPr>
          <w:b/>
          <w:sz w:val="24"/>
        </w:rPr>
        <w:t>for suicide gene induction in RapaCasp9-expressing GMTCs</w:t>
      </w:r>
      <w:r w:rsidRPr="00C33E07">
        <w:rPr>
          <w:sz w:val="24"/>
        </w:rPr>
        <w:t xml:space="preserve">. Killing curve after exposure </w:t>
      </w:r>
      <w:r w:rsidRPr="00C33E07">
        <w:rPr>
          <w:rFonts w:ascii="Calibri" w:eastAsia="Calibri" w:hAnsi="Calibri" w:cs="Times New Roman"/>
          <w:sz w:val="24"/>
        </w:rPr>
        <w:t>to rapamycin at doses</w:t>
      </w:r>
      <w:r w:rsidRPr="00C33E07">
        <w:rPr>
          <w:sz w:val="24"/>
        </w:rPr>
        <w:t xml:space="preserve"> ranging from 0.5 </w:t>
      </w:r>
      <w:proofErr w:type="spellStart"/>
      <w:r w:rsidRPr="00C33E07">
        <w:rPr>
          <w:sz w:val="24"/>
        </w:rPr>
        <w:t>nM</w:t>
      </w:r>
      <w:proofErr w:type="spellEnd"/>
      <w:r w:rsidRPr="00C33E07">
        <w:rPr>
          <w:sz w:val="24"/>
        </w:rPr>
        <w:t xml:space="preserve"> to 10 </w:t>
      </w:r>
      <w:proofErr w:type="spellStart"/>
      <w:r w:rsidRPr="00C33E07">
        <w:rPr>
          <w:sz w:val="24"/>
        </w:rPr>
        <w:t>nM</w:t>
      </w:r>
      <w:proofErr w:type="spellEnd"/>
      <w:proofErr w:type="gramEnd"/>
      <w:r w:rsidRPr="00C33E07">
        <w:rPr>
          <w:sz w:val="24"/>
        </w:rPr>
        <w:t>. RapaCasp9-G-expressing GMTCs were exposed to rapamycin during 24 hours (24h), to two successive doses of rapamycin during 24 hours with cells washing between each dose (2x24h), and two successive half-doses of rapamycin added 24 hours apart (2/24h). Mean ± SD of three independent experiments.</w:t>
      </w:r>
      <w:r w:rsidRPr="0020771D">
        <w:rPr>
          <w:sz w:val="24"/>
        </w:rPr>
        <w:t xml:space="preserve"> </w:t>
      </w:r>
    </w:p>
    <w:sectPr w:rsidR="00464760" w:rsidRPr="002C0BDB" w:rsidSect="00EC51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C39" w:rsidRDefault="00582C39">
      <w:pPr>
        <w:spacing w:after="0" w:line="240" w:lineRule="auto"/>
      </w:pPr>
      <w:r>
        <w:separator/>
      </w:r>
    </w:p>
  </w:endnote>
  <w:endnote w:type="continuationSeparator" w:id="0">
    <w:p w:rsidR="00582C39" w:rsidRDefault="00582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F2B" w:rsidRDefault="00C50F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0586488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:rsidR="008B0CD5" w:rsidRPr="0020771D" w:rsidRDefault="00C50F2B" w:rsidP="00C50F2B">
        <w:pPr>
          <w:pStyle w:val="Pieddepage"/>
          <w:jc w:val="right"/>
        </w:pPr>
        <w:proofErr w:type="spellStart"/>
        <w:r>
          <w:t>Supp</w:t>
        </w:r>
        <w:proofErr w:type="spellEnd"/>
        <w:r>
          <w:t xml:space="preserve"> </w:t>
        </w:r>
        <w:r w:rsidR="00C33E07" w:rsidRPr="0020771D">
          <w:fldChar w:fldCharType="begin"/>
        </w:r>
        <w:r w:rsidR="00C33E07" w:rsidRPr="0020771D">
          <w:instrText>PAGE   \* MERGEFORMAT</w:instrText>
        </w:r>
        <w:r w:rsidR="00C33E07" w:rsidRPr="0020771D">
          <w:fldChar w:fldCharType="separate"/>
        </w:r>
        <w:r>
          <w:rPr>
            <w:noProof/>
          </w:rPr>
          <w:t>4</w:t>
        </w:r>
        <w:r w:rsidR="00C33E07" w:rsidRPr="0020771D">
          <w:fldChar w:fldCharType="end"/>
        </w:r>
      </w:p>
    </w:sdtContent>
  </w:sdt>
  <w:p w:rsidR="008B0CD5" w:rsidRPr="0020771D" w:rsidRDefault="00582C39">
    <w:pPr>
      <w:pStyle w:val="Pieddepage"/>
    </w:pPr>
  </w:p>
  <w:p w:rsidR="008B0CD5" w:rsidRDefault="00582C3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F2B" w:rsidRDefault="00C50F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C39" w:rsidRDefault="00582C39">
      <w:pPr>
        <w:spacing w:after="0" w:line="240" w:lineRule="auto"/>
      </w:pPr>
      <w:r>
        <w:separator/>
      </w:r>
    </w:p>
  </w:footnote>
  <w:footnote w:type="continuationSeparator" w:id="0">
    <w:p w:rsidR="00582C39" w:rsidRDefault="00582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F2B" w:rsidRDefault="00C50F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F2B" w:rsidRDefault="00C50F2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F2B" w:rsidRDefault="00C50F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707CF"/>
    <w:multiLevelType w:val="hybridMultilevel"/>
    <w:tmpl w:val="A24E1AB2"/>
    <w:lvl w:ilvl="0" w:tplc="92BCC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07"/>
    <w:rsid w:val="002C0BDB"/>
    <w:rsid w:val="00464760"/>
    <w:rsid w:val="00582C39"/>
    <w:rsid w:val="00C33E07"/>
    <w:rsid w:val="00C50F2B"/>
    <w:rsid w:val="00FF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D88F"/>
  <w15:chartTrackingRefBased/>
  <w15:docId w15:val="{A50EE5FF-A707-4921-B0B3-EEEA18F4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E07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33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3E07"/>
    <w:rPr>
      <w:lang w:val="en-US"/>
    </w:rPr>
  </w:style>
  <w:style w:type="character" w:styleId="Numrodeligne">
    <w:name w:val="line number"/>
    <w:basedOn w:val="Policepardfaut"/>
    <w:uiPriority w:val="99"/>
    <w:semiHidden/>
    <w:unhideWhenUsed/>
    <w:rsid w:val="00C33E07"/>
  </w:style>
  <w:style w:type="paragraph" w:styleId="Paragraphedeliste">
    <w:name w:val="List Paragraph"/>
    <w:basedOn w:val="Normal"/>
    <w:uiPriority w:val="34"/>
    <w:qFormat/>
    <w:rsid w:val="00C33E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50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0F2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552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Christophe.Ferrand</dc:creator>
  <cp:keywords/>
  <dc:description/>
  <cp:lastModifiedBy>Christophe.Ferrand</cp:lastModifiedBy>
  <cp:revision>3</cp:revision>
  <dcterms:created xsi:type="dcterms:W3CDTF">2022-11-04T09:29:00Z</dcterms:created>
  <dcterms:modified xsi:type="dcterms:W3CDTF">2022-11-04T11:04:00Z</dcterms:modified>
</cp:coreProperties>
</file>