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F0877" w14:textId="77777777" w:rsidR="007F1403" w:rsidRPr="00E14FC2" w:rsidRDefault="007F1403" w:rsidP="007F1403">
      <w:pPr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E14FC2">
        <w:rPr>
          <w:rFonts w:asciiTheme="majorHAnsi" w:hAnsiTheme="majorHAnsi" w:cstheme="majorHAnsi"/>
          <w:b/>
          <w:bCs/>
        </w:rPr>
        <w:t>Supplementary material</w:t>
      </w:r>
    </w:p>
    <w:p w14:paraId="1A247162" w14:textId="77777777" w:rsidR="007F1403" w:rsidRPr="00E14FC2" w:rsidRDefault="007F1403" w:rsidP="007F1403">
      <w:pPr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E14FC2">
        <w:rPr>
          <w:rFonts w:asciiTheme="majorHAnsi" w:hAnsiTheme="majorHAnsi" w:cstheme="majorHAnsi"/>
          <w:b/>
          <w:bCs/>
        </w:rPr>
        <w:t>Supplementary Figures</w:t>
      </w:r>
    </w:p>
    <w:p w14:paraId="031E8044" w14:textId="77777777" w:rsidR="007F1403" w:rsidRPr="00E14FC2" w:rsidRDefault="007F1403" w:rsidP="007F1403">
      <w:pPr>
        <w:spacing w:line="360" w:lineRule="auto"/>
        <w:jc w:val="both"/>
        <w:rPr>
          <w:rFonts w:asciiTheme="majorHAnsi" w:hAnsiTheme="majorHAnsi" w:cstheme="majorHAnsi"/>
        </w:rPr>
      </w:pPr>
      <w:r w:rsidRPr="00E14FC2">
        <w:rPr>
          <w:rFonts w:asciiTheme="majorHAnsi" w:hAnsiTheme="majorHAnsi" w:cstheme="majorHAnsi"/>
          <w:b/>
          <w:bCs/>
        </w:rPr>
        <w:t xml:space="preserve">Supplementary Figure 1: CD4+ T cells stimulations for VP6 responders. </w:t>
      </w:r>
      <w:r w:rsidRPr="00E14FC2">
        <w:rPr>
          <w:rFonts w:asciiTheme="majorHAnsi" w:hAnsiTheme="majorHAnsi" w:cstheme="majorHAnsi"/>
        </w:rPr>
        <w:t xml:space="preserve"> Peripheral whole blood samples from children with rotavirus-positive and rotavirus-negative diarrhoea for the VP6 responders following ex vivo stimulations. The cells were stimulated with PMA+ION and VP6 protein for 18 hours, with the unstimulated control in all experiments. The cells were stained with the following fluorochrome-conjugated antibodies CD3 PerCP-CY5.5, CD4 BV421, CD8 APC-CY7, TNF-α FITC, IFN-γ PE-CF594 and CD69 AF700. Single producers were either CD4</w:t>
      </w:r>
      <w:r w:rsidRPr="00E14FC2">
        <w:rPr>
          <w:rFonts w:asciiTheme="majorHAnsi" w:hAnsiTheme="majorHAnsi" w:cstheme="majorHAnsi"/>
          <w:vertAlign w:val="superscript"/>
        </w:rPr>
        <w:t>+</w:t>
      </w:r>
      <w:r w:rsidRPr="00E14FC2">
        <w:rPr>
          <w:rFonts w:asciiTheme="majorHAnsi" w:hAnsiTheme="majorHAnsi" w:cstheme="majorHAnsi"/>
        </w:rPr>
        <w:t xml:space="preserve"> T cells producing  TNF-α or CD4</w:t>
      </w:r>
      <w:r w:rsidRPr="00E14FC2">
        <w:rPr>
          <w:rFonts w:asciiTheme="majorHAnsi" w:hAnsiTheme="majorHAnsi" w:cstheme="majorHAnsi"/>
          <w:vertAlign w:val="superscript"/>
        </w:rPr>
        <w:t xml:space="preserve">+ </w:t>
      </w:r>
      <w:r w:rsidRPr="00E14FC2">
        <w:rPr>
          <w:rFonts w:asciiTheme="majorHAnsi" w:hAnsiTheme="majorHAnsi" w:cstheme="majorHAnsi"/>
        </w:rPr>
        <w:t>T cells producing IFN-γ and double producers were CD4</w:t>
      </w:r>
      <w:r w:rsidRPr="00E14FC2">
        <w:rPr>
          <w:rFonts w:asciiTheme="majorHAnsi" w:hAnsiTheme="majorHAnsi" w:cstheme="majorHAnsi"/>
          <w:vertAlign w:val="superscript"/>
        </w:rPr>
        <w:t>+</w:t>
      </w:r>
      <w:r w:rsidRPr="00E14FC2">
        <w:rPr>
          <w:rFonts w:asciiTheme="majorHAnsi" w:hAnsiTheme="majorHAnsi" w:cstheme="majorHAnsi"/>
        </w:rPr>
        <w:t xml:space="preserve"> T cells producing TNF-α and IFN-γ.</w:t>
      </w:r>
    </w:p>
    <w:p w14:paraId="442B6501" w14:textId="77777777" w:rsidR="007F1403" w:rsidRPr="00E14FC2" w:rsidRDefault="007F1403" w:rsidP="007F1403">
      <w:pPr>
        <w:spacing w:line="360" w:lineRule="auto"/>
        <w:jc w:val="both"/>
        <w:rPr>
          <w:rFonts w:asciiTheme="majorHAnsi" w:hAnsiTheme="majorHAnsi" w:cstheme="majorHAnsi"/>
        </w:rPr>
      </w:pPr>
    </w:p>
    <w:p w14:paraId="6AF1A131" w14:textId="77777777" w:rsidR="007F1403" w:rsidRDefault="007F1403">
      <w:pPr>
        <w:sectPr w:rsidR="007F1403" w:rsidSect="00E5611C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FE37AD0" w14:textId="58B2EBF8" w:rsidR="00D461AE" w:rsidRDefault="007F1403">
      <w:r w:rsidRPr="00E14FC2"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631373B7" wp14:editId="0B3B5DCE">
            <wp:extent cx="8863330" cy="4159548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5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1AE" w:rsidSect="00E5611C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653E"/>
    <w:multiLevelType w:val="multilevel"/>
    <w:tmpl w:val="8324875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C644E84"/>
    <w:multiLevelType w:val="multilevel"/>
    <w:tmpl w:val="186AFF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12522563">
    <w:abstractNumId w:val="1"/>
  </w:num>
  <w:num w:numId="2" w16cid:durableId="189353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03"/>
    <w:rsid w:val="00014370"/>
    <w:rsid w:val="00015503"/>
    <w:rsid w:val="0005568F"/>
    <w:rsid w:val="00072081"/>
    <w:rsid w:val="0007459C"/>
    <w:rsid w:val="00092D9D"/>
    <w:rsid w:val="000B373B"/>
    <w:rsid w:val="000B5CD5"/>
    <w:rsid w:val="000B73D7"/>
    <w:rsid w:val="000F09F5"/>
    <w:rsid w:val="001312ED"/>
    <w:rsid w:val="001360C9"/>
    <w:rsid w:val="00150F5E"/>
    <w:rsid w:val="00165A02"/>
    <w:rsid w:val="00175AD1"/>
    <w:rsid w:val="001A11A7"/>
    <w:rsid w:val="001F0908"/>
    <w:rsid w:val="00235DA4"/>
    <w:rsid w:val="00254B9E"/>
    <w:rsid w:val="00282093"/>
    <w:rsid w:val="00285931"/>
    <w:rsid w:val="002C792B"/>
    <w:rsid w:val="002D002A"/>
    <w:rsid w:val="00306B63"/>
    <w:rsid w:val="0032559A"/>
    <w:rsid w:val="00343DE9"/>
    <w:rsid w:val="00347893"/>
    <w:rsid w:val="004027BA"/>
    <w:rsid w:val="00407557"/>
    <w:rsid w:val="00456E52"/>
    <w:rsid w:val="004856BB"/>
    <w:rsid w:val="004A06C1"/>
    <w:rsid w:val="004C53A7"/>
    <w:rsid w:val="004E5652"/>
    <w:rsid w:val="005005BF"/>
    <w:rsid w:val="00515D3D"/>
    <w:rsid w:val="00546593"/>
    <w:rsid w:val="00565B10"/>
    <w:rsid w:val="0059178D"/>
    <w:rsid w:val="005C12C3"/>
    <w:rsid w:val="00612554"/>
    <w:rsid w:val="00617928"/>
    <w:rsid w:val="00645C46"/>
    <w:rsid w:val="006A7FA4"/>
    <w:rsid w:val="00704011"/>
    <w:rsid w:val="007244C5"/>
    <w:rsid w:val="00726E64"/>
    <w:rsid w:val="00733F0A"/>
    <w:rsid w:val="0077048A"/>
    <w:rsid w:val="00776804"/>
    <w:rsid w:val="00777BD4"/>
    <w:rsid w:val="0079381F"/>
    <w:rsid w:val="007E3766"/>
    <w:rsid w:val="007F1403"/>
    <w:rsid w:val="00841892"/>
    <w:rsid w:val="00867E93"/>
    <w:rsid w:val="008B6574"/>
    <w:rsid w:val="00945299"/>
    <w:rsid w:val="00974C99"/>
    <w:rsid w:val="009E20C8"/>
    <w:rsid w:val="00A230E6"/>
    <w:rsid w:val="00A644BD"/>
    <w:rsid w:val="00A95CD3"/>
    <w:rsid w:val="00A96D8A"/>
    <w:rsid w:val="00AC185B"/>
    <w:rsid w:val="00AD3C57"/>
    <w:rsid w:val="00AF31F1"/>
    <w:rsid w:val="00B46107"/>
    <w:rsid w:val="00B47C5E"/>
    <w:rsid w:val="00B7658C"/>
    <w:rsid w:val="00BC3E18"/>
    <w:rsid w:val="00C42E76"/>
    <w:rsid w:val="00C434FB"/>
    <w:rsid w:val="00C503F0"/>
    <w:rsid w:val="00C55E25"/>
    <w:rsid w:val="00C6667E"/>
    <w:rsid w:val="00CB2E64"/>
    <w:rsid w:val="00CB2EA7"/>
    <w:rsid w:val="00CB4374"/>
    <w:rsid w:val="00CC2A97"/>
    <w:rsid w:val="00CF2DF1"/>
    <w:rsid w:val="00D010A4"/>
    <w:rsid w:val="00D43674"/>
    <w:rsid w:val="00D461AE"/>
    <w:rsid w:val="00D62C12"/>
    <w:rsid w:val="00D62FB4"/>
    <w:rsid w:val="00D76776"/>
    <w:rsid w:val="00DE63FF"/>
    <w:rsid w:val="00DF1D1D"/>
    <w:rsid w:val="00DF4837"/>
    <w:rsid w:val="00DF6101"/>
    <w:rsid w:val="00E445A0"/>
    <w:rsid w:val="00E46533"/>
    <w:rsid w:val="00E5611C"/>
    <w:rsid w:val="00E7222C"/>
    <w:rsid w:val="00EC0DBF"/>
    <w:rsid w:val="00EC10D6"/>
    <w:rsid w:val="00F251CF"/>
    <w:rsid w:val="00F517A2"/>
    <w:rsid w:val="00F811B4"/>
    <w:rsid w:val="00FB1888"/>
    <w:rsid w:val="00FB58F4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749FC"/>
  <w15:chartTrackingRefBased/>
  <w15:docId w15:val="{938251A7-F7AB-494B-84D8-B3493A64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403"/>
    <w:rPr>
      <w:rFonts w:ascii="Times New Roman" w:eastAsia="Times New Roman" w:hAnsi="Times New Roman" w:cs="Times New Roman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E93"/>
    <w:pPr>
      <w:keepNext/>
      <w:keepLines/>
      <w:numPr>
        <w:numId w:val="2"/>
      </w:numPr>
      <w:spacing w:before="240"/>
      <w:ind w:left="432" w:hanging="432"/>
      <w:jc w:val="center"/>
      <w:outlineLvl w:val="0"/>
    </w:pPr>
    <w:rPr>
      <w:rFonts w:ascii="Maiandra GD" w:eastAsiaTheme="majorEastAsia" w:hAnsi="Maiandra GD" w:cstheme="majorBidi"/>
      <w:b/>
      <w:color w:val="000000" w:themeColor="text1"/>
      <w:sz w:val="32"/>
      <w:szCs w:val="32"/>
      <w:lang w:val="en-M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E93"/>
    <w:rPr>
      <w:rFonts w:ascii="Maiandra GD" w:eastAsiaTheme="majorEastAsia" w:hAnsi="Maiandra GD" w:cstheme="majorBidi"/>
      <w:b/>
      <w:color w:val="000000" w:themeColor="text1"/>
      <w:sz w:val="32"/>
      <w:szCs w:val="32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E5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2A8211-72E6-8D43-83A4-C11F7634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Malamba, Chikondi</dc:creator>
  <cp:keywords/>
  <dc:description/>
  <cp:lastModifiedBy>Malamba, Chikondi</cp:lastModifiedBy>
  <cp:revision>3</cp:revision>
  <cp:lastPrinted>2022-11-07T06:25:00Z</cp:lastPrinted>
  <dcterms:created xsi:type="dcterms:W3CDTF">2022-11-07T06:25:00Z</dcterms:created>
  <dcterms:modified xsi:type="dcterms:W3CDTF">2022-11-07T06:33:00Z</dcterms:modified>
</cp:coreProperties>
</file>