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052824" w14:textId="77777777" w:rsidR="00317D88" w:rsidRDefault="00317D88" w:rsidP="00317D88">
      <w:pPr>
        <w:rPr>
          <w:rFonts w:ascii="Times New Roman" w:eastAsia="SimSun" w:hAnsi="Times New Roman" w:cs="Times New Roman"/>
          <w:b/>
          <w:bCs/>
          <w:sz w:val="24"/>
          <w:szCs w:val="24"/>
        </w:rPr>
      </w:pPr>
      <w:r w:rsidRPr="00C43999">
        <w:rPr>
          <w:rFonts w:ascii="Times New Roman" w:eastAsia="SimSun" w:hAnsi="Times New Roman" w:cs="Times New Roman"/>
          <w:b/>
          <w:bCs/>
          <w:sz w:val="24"/>
          <w:szCs w:val="24"/>
        </w:rPr>
        <w:t>Supplementary information</w:t>
      </w:r>
    </w:p>
    <w:p w14:paraId="2FE1AAF8" w14:textId="77777777" w:rsidR="00317D88" w:rsidRPr="00B437DB" w:rsidRDefault="00317D88" w:rsidP="00317D88">
      <w:pPr>
        <w:rPr>
          <w:rFonts w:ascii="Times New Roman" w:eastAsia="SimSun" w:hAnsi="Times New Roman" w:cs="Times New Roman"/>
          <w:sz w:val="24"/>
          <w:szCs w:val="24"/>
        </w:rPr>
      </w:pPr>
      <w:r w:rsidRPr="00B437DB">
        <w:rPr>
          <w:rFonts w:ascii="Times New Roman" w:eastAsia="SimSun" w:hAnsi="Times New Roman" w:cs="Times New Roman"/>
          <w:sz w:val="24"/>
          <w:szCs w:val="24"/>
        </w:rPr>
        <w:t>Table S1 Quality assessment for case-control studies with Newcastle - Ottawa Scale (NOS)</w:t>
      </w:r>
    </w:p>
    <w:p w14:paraId="7F68C747" w14:textId="77777777" w:rsidR="00317D88" w:rsidRPr="00B437DB" w:rsidRDefault="00317D88" w:rsidP="00317D88">
      <w:pPr>
        <w:rPr>
          <w:rFonts w:ascii="Times New Roman" w:eastAsia="SimSun" w:hAnsi="Times New Roman" w:cs="Times New Roman"/>
          <w:sz w:val="24"/>
          <w:szCs w:val="24"/>
        </w:rPr>
      </w:pPr>
      <w:r w:rsidRPr="00B437DB">
        <w:rPr>
          <w:rFonts w:ascii="Times New Roman" w:eastAsia="SimSun" w:hAnsi="Times New Roman" w:cs="Times New Roman"/>
          <w:sz w:val="24"/>
          <w:szCs w:val="24"/>
        </w:rPr>
        <w:t>Table S2 Quality assessment for cohort studies with Newcastle - Ottawa Scale (NOS)</w:t>
      </w:r>
    </w:p>
    <w:p w14:paraId="71B1F12A" w14:textId="77777777" w:rsidR="00317D88" w:rsidRPr="00B437DB" w:rsidRDefault="00317D88" w:rsidP="00317D88">
      <w:pPr>
        <w:rPr>
          <w:rFonts w:ascii="Times New Roman" w:eastAsia="SimSun" w:hAnsi="Times New Roman" w:cs="Times New Roman"/>
          <w:sz w:val="24"/>
          <w:szCs w:val="24"/>
        </w:rPr>
      </w:pPr>
      <w:r w:rsidRPr="00B437DB">
        <w:rPr>
          <w:rFonts w:ascii="Times New Roman" w:eastAsia="SimSun" w:hAnsi="Times New Roman" w:cs="Times New Roman"/>
          <w:sz w:val="24"/>
          <w:szCs w:val="24"/>
        </w:rPr>
        <w:t>Table S3 Quality assessment for cross-sectional studies with Healthcare Research and Quality (AHRQ) checklist</w:t>
      </w:r>
    </w:p>
    <w:p w14:paraId="527DDA8F" w14:textId="77777777" w:rsidR="00317D88" w:rsidRPr="00B437DB" w:rsidRDefault="00317D88" w:rsidP="00317D88">
      <w:pPr>
        <w:rPr>
          <w:rFonts w:ascii="Times New Roman" w:eastAsia="SimSun" w:hAnsi="Times New Roman" w:cs="Times New Roman"/>
          <w:sz w:val="24"/>
          <w:szCs w:val="24"/>
        </w:rPr>
      </w:pPr>
      <w:r w:rsidRPr="00B437DB">
        <w:rPr>
          <w:rFonts w:ascii="Times New Roman" w:eastAsia="SimSun" w:hAnsi="Times New Roman" w:cs="Times New Roman"/>
          <w:sz w:val="24"/>
          <w:szCs w:val="24"/>
        </w:rPr>
        <w:t>Table S4 Cochrane Collaboration’s tool for assessing risk of bias of randomised clinical trials</w:t>
      </w:r>
    </w:p>
    <w:p w14:paraId="413674FE" w14:textId="77777777" w:rsidR="00317D88" w:rsidRPr="00B437DB" w:rsidRDefault="00317D88" w:rsidP="00317D88">
      <w:pPr>
        <w:rPr>
          <w:rFonts w:ascii="Times New Roman" w:eastAsia="SimSun" w:hAnsi="Times New Roman" w:cs="Times New Roman"/>
          <w:sz w:val="24"/>
          <w:szCs w:val="24"/>
        </w:rPr>
      </w:pPr>
      <w:r w:rsidRPr="00B437DB">
        <w:rPr>
          <w:rFonts w:ascii="Times New Roman" w:eastAsia="SimSun" w:hAnsi="Times New Roman" w:cs="Times New Roman"/>
          <w:sz w:val="24"/>
          <w:szCs w:val="24"/>
        </w:rPr>
        <w:t>Table S5 Meta-regression analysis of covariates as potential sources of heterogeneity for the association between dyslipidemia and periodontitis</w:t>
      </w:r>
      <w:r w:rsidRPr="00B437DB">
        <w:rPr>
          <w:rFonts w:ascii="Times New Roman" w:eastAsia="SimSun" w:hAnsi="Times New Roman" w:cs="Times New Roman"/>
          <w:sz w:val="24"/>
          <w:szCs w:val="24"/>
        </w:rPr>
        <w:t>：</w:t>
      </w:r>
      <w:r w:rsidRPr="00B437DB">
        <w:rPr>
          <w:rFonts w:ascii="Times New Roman" w:eastAsia="SimSun" w:hAnsi="Times New Roman" w:cs="Times New Roman"/>
          <w:sz w:val="24"/>
          <w:szCs w:val="24"/>
        </w:rPr>
        <w:t>periodontitis as the outcome</w:t>
      </w:r>
    </w:p>
    <w:p w14:paraId="61331454" w14:textId="77777777" w:rsidR="00317D88" w:rsidRPr="00B437DB" w:rsidRDefault="00317D88" w:rsidP="00317D88">
      <w:pPr>
        <w:rPr>
          <w:rFonts w:ascii="Times New Roman" w:eastAsia="SimSun" w:hAnsi="Times New Roman" w:cs="Times New Roman"/>
          <w:sz w:val="24"/>
          <w:szCs w:val="24"/>
        </w:rPr>
      </w:pPr>
      <w:r w:rsidRPr="00B437DB">
        <w:rPr>
          <w:rFonts w:ascii="Times New Roman" w:eastAsia="SimSun" w:hAnsi="Times New Roman" w:cs="Times New Roman"/>
          <w:sz w:val="24"/>
          <w:szCs w:val="24"/>
        </w:rPr>
        <w:t>Table S6 Meta-regression analysis of covariates as potential sources of heterogeneity for the association between dyslipidemia and periodontitis</w:t>
      </w:r>
      <w:r w:rsidRPr="00B437DB">
        <w:rPr>
          <w:rFonts w:ascii="Times New Roman" w:eastAsia="SimSun" w:hAnsi="Times New Roman" w:cs="Times New Roman"/>
          <w:sz w:val="24"/>
          <w:szCs w:val="24"/>
        </w:rPr>
        <w:t>：</w:t>
      </w:r>
      <w:r w:rsidRPr="00B437DB">
        <w:rPr>
          <w:rFonts w:ascii="Times New Roman" w:eastAsia="SimSun" w:hAnsi="Times New Roman" w:cs="Times New Roman"/>
          <w:sz w:val="24"/>
          <w:szCs w:val="24"/>
        </w:rPr>
        <w:t>dyslipidemia as the outcome (Effect index: mean difference)</w:t>
      </w:r>
    </w:p>
    <w:p w14:paraId="7F9FD578" w14:textId="77777777" w:rsidR="00317D88" w:rsidRPr="00B437DB" w:rsidRDefault="00317D88" w:rsidP="00317D88">
      <w:pPr>
        <w:rPr>
          <w:rFonts w:ascii="Times New Roman" w:eastAsia="SimSun" w:hAnsi="Times New Roman" w:cs="Times New Roman"/>
          <w:sz w:val="24"/>
          <w:szCs w:val="24"/>
        </w:rPr>
      </w:pPr>
      <w:r w:rsidRPr="00B437DB">
        <w:rPr>
          <w:rFonts w:ascii="Times New Roman" w:eastAsia="SimSun" w:hAnsi="Times New Roman" w:cs="Times New Roman"/>
          <w:sz w:val="24"/>
          <w:szCs w:val="24"/>
        </w:rPr>
        <w:t>Table S7 Meta-regression analysis of covariates as potential sources of heterogeneity for the dyslipidemia treatment and periodontitis</w:t>
      </w:r>
    </w:p>
    <w:p w14:paraId="31CD5F92" w14:textId="77777777" w:rsidR="00317D88" w:rsidRPr="00B437DB" w:rsidRDefault="00317D88" w:rsidP="00317D88">
      <w:pPr>
        <w:rPr>
          <w:rFonts w:ascii="Times New Roman" w:eastAsia="SimSun" w:hAnsi="Times New Roman" w:cs="Times New Roman"/>
          <w:sz w:val="24"/>
          <w:szCs w:val="24"/>
        </w:rPr>
      </w:pPr>
      <w:r w:rsidRPr="00B437DB">
        <w:rPr>
          <w:rFonts w:ascii="Times New Roman" w:eastAsia="SimSun" w:hAnsi="Times New Roman" w:cs="Times New Roman"/>
          <w:sz w:val="24"/>
          <w:szCs w:val="24"/>
        </w:rPr>
        <w:t>Supplementary Figure 1. Sensitivity analysis of mean difference between dyslipidemia and periodontitis, periodontitis as outcome(a) TC; (b) TG; (c) LDL; (d) HDL; (e) VLDL</w:t>
      </w:r>
    </w:p>
    <w:p w14:paraId="2ED82AFF" w14:textId="77777777" w:rsidR="00317D88" w:rsidRPr="00B437DB" w:rsidRDefault="00317D88" w:rsidP="00317D88">
      <w:pPr>
        <w:rPr>
          <w:rFonts w:ascii="Times New Roman" w:eastAsia="SimSun" w:hAnsi="Times New Roman" w:cs="Times New Roman"/>
          <w:sz w:val="24"/>
          <w:szCs w:val="24"/>
        </w:rPr>
      </w:pPr>
      <w:r w:rsidRPr="00B437DB">
        <w:rPr>
          <w:rFonts w:ascii="Times New Roman" w:eastAsia="SimSun" w:hAnsi="Times New Roman" w:cs="Times New Roman"/>
          <w:sz w:val="24"/>
          <w:szCs w:val="24"/>
        </w:rPr>
        <w:t>Supplementary Figure 2. Sensitivity analysis of OR value between dyslipidemia and periodontitis, periodontitis as outcome (a) TC; (b) TG; (c) LDL; (d) HDL</w:t>
      </w:r>
    </w:p>
    <w:p w14:paraId="35F65300" w14:textId="77777777" w:rsidR="00317D88" w:rsidRPr="00B437DB" w:rsidRDefault="00317D88" w:rsidP="00317D88">
      <w:pPr>
        <w:rPr>
          <w:rFonts w:ascii="Times New Roman" w:eastAsia="SimSun" w:hAnsi="Times New Roman" w:cs="Times New Roman"/>
          <w:sz w:val="24"/>
          <w:szCs w:val="24"/>
        </w:rPr>
      </w:pPr>
      <w:r w:rsidRPr="00B437DB">
        <w:rPr>
          <w:rFonts w:ascii="Times New Roman" w:eastAsia="SimSun" w:hAnsi="Times New Roman" w:cs="Times New Roman"/>
          <w:sz w:val="24"/>
          <w:szCs w:val="24"/>
        </w:rPr>
        <w:t>Supplementary Figure 3. Sensitivity analysis of OR value between dyslipidemia and periodontitis, dyslipidemia as outcome (a) hyper TG; (b) low LDL</w:t>
      </w:r>
    </w:p>
    <w:p w14:paraId="45DB0316" w14:textId="77777777" w:rsidR="00317D88" w:rsidRPr="00B437DB" w:rsidRDefault="00317D88" w:rsidP="00317D88">
      <w:pPr>
        <w:rPr>
          <w:rFonts w:ascii="Times New Roman" w:eastAsia="SimSun" w:hAnsi="Times New Roman" w:cs="Times New Roman"/>
          <w:sz w:val="24"/>
          <w:szCs w:val="24"/>
        </w:rPr>
      </w:pPr>
      <w:r w:rsidRPr="00B437DB">
        <w:rPr>
          <w:rFonts w:ascii="Times New Roman" w:eastAsia="SimSun" w:hAnsi="Times New Roman" w:cs="Times New Roman"/>
          <w:sz w:val="24"/>
          <w:szCs w:val="24"/>
        </w:rPr>
        <w:t>Supplementary Figure 4. Sensitivity analysis of mean difference between dyslipidemia and periodontitis, dyslipidemia as outcome (a) PD; (b) CAL (c)BOP; (d) PI; (e)GI</w:t>
      </w:r>
    </w:p>
    <w:p w14:paraId="7E1245E5" w14:textId="77777777" w:rsidR="00317D88" w:rsidRPr="00B437DB" w:rsidRDefault="00317D88" w:rsidP="00317D88">
      <w:pPr>
        <w:rPr>
          <w:rFonts w:ascii="Times New Roman" w:eastAsia="SimSun" w:hAnsi="Times New Roman" w:cs="Times New Roman"/>
          <w:sz w:val="24"/>
          <w:szCs w:val="24"/>
        </w:rPr>
      </w:pPr>
      <w:r w:rsidRPr="00B437DB">
        <w:rPr>
          <w:rFonts w:ascii="Times New Roman" w:eastAsia="SimSun" w:hAnsi="Times New Roman" w:cs="Times New Roman"/>
          <w:sz w:val="24"/>
          <w:szCs w:val="24"/>
        </w:rPr>
        <w:t>Supplementary Figure 5. Sensitivity analysis of periodontitis treatment and lipids(a) TC; (b) TG; (c) LDL; (d) HDL</w:t>
      </w:r>
    </w:p>
    <w:p w14:paraId="1E105968" w14:textId="77777777" w:rsidR="00317D88" w:rsidRDefault="00317D88" w:rsidP="00317D88">
      <w:pPr>
        <w:rPr>
          <w:rFonts w:ascii="Times New Roman" w:eastAsia="SimSun" w:hAnsi="Times New Roman" w:cs="Times New Roman"/>
          <w:sz w:val="24"/>
          <w:szCs w:val="24"/>
        </w:rPr>
      </w:pPr>
      <w:r w:rsidRPr="00B437DB">
        <w:rPr>
          <w:rFonts w:ascii="Times New Roman" w:eastAsia="SimSun" w:hAnsi="Times New Roman" w:cs="Times New Roman"/>
          <w:sz w:val="24"/>
          <w:szCs w:val="24"/>
        </w:rPr>
        <w:t>Supplementary Figure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B437DB">
        <w:rPr>
          <w:rFonts w:ascii="Times New Roman" w:eastAsia="SimSun" w:hAnsi="Times New Roman" w:cs="Times New Roman"/>
          <w:sz w:val="24"/>
          <w:szCs w:val="24"/>
        </w:rPr>
        <w:t>6.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B437DB">
        <w:rPr>
          <w:rFonts w:ascii="Times New Roman" w:eastAsia="SimSun" w:hAnsi="Times New Roman" w:cs="Times New Roman"/>
          <w:sz w:val="24"/>
          <w:szCs w:val="24"/>
        </w:rPr>
        <w:t>Sensitivity analysis of Lipids treatment and dyslipidemia(a)PD; (b)CAL; (c)PI</w:t>
      </w:r>
    </w:p>
    <w:p w14:paraId="1AEE35FF" w14:textId="77777777" w:rsidR="00E1715D" w:rsidRDefault="00317D88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D88"/>
    <w:rsid w:val="001942F0"/>
    <w:rsid w:val="002C0857"/>
    <w:rsid w:val="00317D88"/>
    <w:rsid w:val="003F01F8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F64EE6"/>
  <w15:chartTrackingRefBased/>
  <w15:docId w15:val="{8163FDBB-11D5-422B-9160-E1E552C29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7D88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264</Words>
  <Characters>1511</Characters>
  <Application>Microsoft Office Word</Application>
  <DocSecurity>0</DocSecurity>
  <Lines>12</Lines>
  <Paragraphs>3</Paragraphs>
  <ScaleCrop>false</ScaleCrop>
  <Company>Springer Nature</Company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2023-01-05T18:55:00Z</dcterms:created>
  <dcterms:modified xsi:type="dcterms:W3CDTF">2023-01-05T18:56:00Z</dcterms:modified>
</cp:coreProperties>
</file>