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outlineLvl w:val="0"/>
        <w:rPr>
          <w:rFonts w:ascii="Times New Roman" w:hAnsi="Times New Roman" w:eastAsia="宋体"/>
          <w:b/>
          <w:sz w:val="24"/>
        </w:rPr>
      </w:pPr>
      <w:r>
        <w:rPr>
          <w:rFonts w:ascii="Times New Roman" w:hAnsi="Times New Roman" w:eastAsia="宋体"/>
          <w:b/>
          <w:sz w:val="24"/>
        </w:rPr>
        <w:t>Table S1 GPS locations of each sampling sites.</w:t>
      </w:r>
    </w:p>
    <w:tbl>
      <w:tblPr>
        <w:tblStyle w:val="7"/>
        <w:tblW w:w="0" w:type="auto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0"/>
        <w:gridCol w:w="1517"/>
        <w:gridCol w:w="1389"/>
        <w:gridCol w:w="142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0" w:type="auto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Sites</w:t>
            </w:r>
          </w:p>
        </w:tc>
        <w:tc>
          <w:tcPr>
            <w:tcW w:w="0" w:type="auto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Place name</w:t>
            </w:r>
          </w:p>
        </w:tc>
        <w:tc>
          <w:tcPr>
            <w:tcW w:w="0" w:type="auto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North latitude</w:t>
            </w:r>
          </w:p>
        </w:tc>
        <w:tc>
          <w:tcPr>
            <w:tcW w:w="0" w:type="auto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East longitude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W1</w:t>
            </w:r>
            <w:r>
              <w:rPr>
                <w:rFonts w:hint="eastAsia" w:ascii="Times New Roman" w:hAnsi="Times New Roman" w:cs="Times New Roman"/>
                <w:kern w:val="0"/>
                <w:szCs w:val="21"/>
              </w:rPr>
              <w:t>/S1</w:t>
            </w:r>
          </w:p>
        </w:tc>
        <w:tc>
          <w:tcPr>
            <w:tcW w:w="0" w:type="auto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kern w:val="0"/>
                <w:szCs w:val="21"/>
              </w:rPr>
              <w:t>Sanjiangkou</w:t>
            </w:r>
          </w:p>
        </w:tc>
        <w:tc>
          <w:tcPr>
            <w:tcW w:w="0" w:type="auto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24°44'06.3"</w:t>
            </w:r>
          </w:p>
        </w:tc>
        <w:tc>
          <w:tcPr>
            <w:tcW w:w="0" w:type="auto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104°31'35.9"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W2</w:t>
            </w:r>
            <w:r>
              <w:rPr>
                <w:rFonts w:hint="eastAsia" w:ascii="Times New Roman" w:hAnsi="Times New Roman" w:cs="Times New Roman"/>
                <w:kern w:val="0"/>
                <w:szCs w:val="21"/>
              </w:rPr>
              <w:t>/S2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kern w:val="0"/>
                <w:szCs w:val="21"/>
              </w:rPr>
              <w:t>Namiji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24°40'26.2"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104°37'10.0"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W3</w:t>
            </w:r>
            <w:r>
              <w:rPr>
                <w:rFonts w:hint="eastAsia" w:ascii="Times New Roman" w:hAnsi="Times New Roman" w:cs="Times New Roman"/>
                <w:kern w:val="0"/>
                <w:szCs w:val="21"/>
              </w:rPr>
              <w:t>/S3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kern w:val="0"/>
                <w:szCs w:val="21"/>
              </w:rPr>
              <w:t>Mauroland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 24°39'07.2"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104°41'43.5"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W4</w:t>
            </w:r>
            <w:r>
              <w:rPr>
                <w:rFonts w:hint="eastAsia" w:ascii="Times New Roman" w:hAnsi="Times New Roman" w:cs="Times New Roman"/>
                <w:kern w:val="0"/>
                <w:szCs w:val="21"/>
              </w:rPr>
              <w:t>/S4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kern w:val="0"/>
                <w:szCs w:val="21"/>
              </w:rPr>
              <w:t>Xiaomi Village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24°40'27.2"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104°48'22.8"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W5</w:t>
            </w:r>
            <w:r>
              <w:rPr>
                <w:rFonts w:hint="eastAsia" w:ascii="Times New Roman" w:hAnsi="Times New Roman" w:cs="Times New Roman"/>
                <w:kern w:val="0"/>
                <w:szCs w:val="21"/>
              </w:rPr>
              <w:t>/S5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kern w:val="0"/>
                <w:szCs w:val="21"/>
              </w:rPr>
              <w:t>Damdazhang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24°57'00.5"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105°07'21.7"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W6</w:t>
            </w:r>
            <w:r>
              <w:rPr>
                <w:rFonts w:hint="eastAsia" w:ascii="Times New Roman" w:hAnsi="Times New Roman" w:cs="Times New Roman"/>
                <w:kern w:val="0"/>
                <w:szCs w:val="21"/>
              </w:rPr>
              <w:t>/S6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kern w:val="0"/>
                <w:szCs w:val="21"/>
              </w:rPr>
              <w:t>Aiba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24°46'10.0"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104°57'16.4"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W7</w:t>
            </w:r>
            <w:r>
              <w:rPr>
                <w:rFonts w:hint="eastAsia" w:ascii="Times New Roman" w:hAnsi="Times New Roman" w:cs="Times New Roman"/>
                <w:kern w:val="0"/>
                <w:szCs w:val="21"/>
              </w:rPr>
              <w:t>/S7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kern w:val="0"/>
                <w:szCs w:val="21"/>
              </w:rPr>
              <w:t>Xinzhai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24°48'39.0"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105°01'37.2"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W8</w:t>
            </w:r>
            <w:r>
              <w:rPr>
                <w:rFonts w:hint="eastAsia" w:ascii="Times New Roman" w:hAnsi="Times New Roman" w:cs="Times New Roman"/>
                <w:kern w:val="0"/>
                <w:szCs w:val="21"/>
              </w:rPr>
              <w:t>/S8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kern w:val="0"/>
                <w:szCs w:val="21"/>
              </w:rPr>
              <w:t>Bajie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 24°53'40.9"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105°03'53.0"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W9</w:t>
            </w:r>
            <w:r>
              <w:rPr>
                <w:rFonts w:hint="eastAsia" w:ascii="Times New Roman" w:hAnsi="Times New Roman" w:cs="Times New Roman"/>
                <w:kern w:val="0"/>
                <w:szCs w:val="21"/>
              </w:rPr>
              <w:t>/S9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kern w:val="0"/>
                <w:szCs w:val="21"/>
              </w:rPr>
              <w:t>Tianshengqiao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24°55'38.6"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105°04'56.9"</w:t>
            </w:r>
          </w:p>
        </w:tc>
      </w:tr>
    </w:tbl>
    <w:p>
      <w:pPr>
        <w:rPr>
          <w:rFonts w:hint="eastAsia" w:ascii="Times New Roman" w:hAnsi="Times New Roman" w:eastAsia="宋体" w:cs="Times New Roman"/>
          <w:color w:val="000000"/>
          <w:szCs w:val="21"/>
          <w:shd w:val="clear" w:color="auto" w:fill="FFFFFF"/>
        </w:rPr>
      </w:pPr>
      <w:r>
        <w:rPr>
          <w:rFonts w:ascii="Times New Roman" w:hAnsi="Times New Roman" w:eastAsia="宋体" w:cs="Times New Roman"/>
          <w:color w:val="000000"/>
          <w:szCs w:val="21"/>
          <w:shd w:val="clear" w:color="auto" w:fill="FFFFFF"/>
        </w:rPr>
        <w:br w:type="page"/>
      </w:r>
    </w:p>
    <w:p>
      <w:pPr>
        <w:spacing w:line="360" w:lineRule="auto"/>
        <w:jc w:val="center"/>
        <w:outlineLvl w:val="0"/>
        <w:rPr>
          <w:rFonts w:ascii="Times New Roman" w:hAnsi="Times New Roman" w:eastAsia="宋体"/>
          <w:b/>
          <w:sz w:val="24"/>
        </w:rPr>
      </w:pPr>
      <w:r>
        <w:rPr>
          <w:rFonts w:ascii="Times New Roman" w:hAnsi="Times New Roman" w:eastAsia="宋体"/>
          <w:b/>
          <w:sz w:val="24"/>
        </w:rPr>
        <w:t>Table S2 Environmental factor data of Wanfeng Lake.</w:t>
      </w:r>
    </w:p>
    <w:tbl>
      <w:tblPr>
        <w:tblStyle w:val="8"/>
        <w:tblW w:w="0" w:type="auto"/>
        <w:jc w:val="center"/>
        <w:tblBorders>
          <w:top w:val="single" w:color="000000" w:themeColor="text1" w:sz="12" w:space="0"/>
          <w:left w:val="none" w:color="auto" w:sz="0" w:space="0"/>
          <w:bottom w:val="single" w:color="000000" w:themeColor="text1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3"/>
        <w:gridCol w:w="674"/>
        <w:gridCol w:w="1099"/>
        <w:gridCol w:w="1006"/>
        <w:gridCol w:w="1025"/>
        <w:gridCol w:w="1054"/>
        <w:gridCol w:w="643"/>
        <w:gridCol w:w="1179"/>
        <w:gridCol w:w="1123"/>
        <w:gridCol w:w="1102"/>
        <w:gridCol w:w="1129"/>
      </w:tblGrid>
      <w:tr>
        <w:tblPrEx>
          <w:tblBorders>
            <w:top w:val="single" w:color="000000" w:themeColor="text1" w:sz="12" w:space="0"/>
            <w:left w:val="none" w:color="auto" w:sz="0" w:space="0"/>
            <w:bottom w:val="single" w:color="000000" w:themeColor="text1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  <w:jc w:val="center"/>
        </w:trPr>
        <w:tc>
          <w:tcPr>
            <w:tcW w:w="723" w:type="dxa"/>
            <w:vMerge w:val="restart"/>
            <w:tcBorders>
              <w:top w:val="single" w:color="000000" w:themeColor="text1" w:sz="12" w:space="0"/>
              <w:bottom w:val="nil"/>
            </w:tcBorders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Sites</w:t>
            </w:r>
          </w:p>
        </w:tc>
        <w:tc>
          <w:tcPr>
            <w:tcW w:w="4858" w:type="dxa"/>
            <w:gridSpan w:val="5"/>
            <w:tcBorders>
              <w:top w:val="single" w:color="000000" w:themeColor="text1" w:sz="12" w:space="0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surface water </w:t>
            </w:r>
          </w:p>
        </w:tc>
        <w:tc>
          <w:tcPr>
            <w:tcW w:w="5176" w:type="dxa"/>
            <w:gridSpan w:val="5"/>
            <w:tcBorders>
              <w:top w:val="single" w:color="000000" w:themeColor="text1" w:sz="12" w:space="0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 Sediment </w:t>
            </w:r>
          </w:p>
        </w:tc>
      </w:tr>
      <w:tr>
        <w:tblPrEx>
          <w:tblBorders>
            <w:top w:val="single" w:color="000000" w:themeColor="text1" w:sz="12" w:space="0"/>
            <w:left w:val="none" w:color="auto" w:sz="0" w:space="0"/>
            <w:bottom w:val="single" w:color="000000" w:themeColor="text1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" w:hRule="atLeast"/>
          <w:jc w:val="center"/>
        </w:trPr>
        <w:tc>
          <w:tcPr>
            <w:tcW w:w="723" w:type="dxa"/>
            <w:vMerge w:val="continue"/>
            <w:tcBorders>
              <w:top w:val="nil"/>
              <w:bottom w:val="single" w:color="000000" w:themeColor="text1" w:sz="12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74" w:type="dxa"/>
            <w:tcBorders>
              <w:top w:val="nil"/>
              <w:bottom w:val="single" w:color="000000" w:themeColor="text1" w:sz="12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pH</w:t>
            </w:r>
          </w:p>
        </w:tc>
        <w:tc>
          <w:tcPr>
            <w:tcW w:w="1099" w:type="dxa"/>
            <w:tcBorders>
              <w:top w:val="nil"/>
              <w:bottom w:val="single" w:color="000000" w:themeColor="text1" w:sz="12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EC（uS/cm）</w:t>
            </w:r>
          </w:p>
        </w:tc>
        <w:tc>
          <w:tcPr>
            <w:tcW w:w="1006" w:type="dxa"/>
            <w:tcBorders>
              <w:top w:val="nil"/>
              <w:bottom w:val="single" w:color="000000" w:themeColor="text1" w:sz="12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TN</w:t>
            </w:r>
            <w:r>
              <w:rPr>
                <w:rStyle w:val="23"/>
                <w:rFonts w:hint="default" w:ascii="Times New Roman" w:hAnsi="Times New Roman" w:cs="Times New Roman"/>
                <w:sz w:val="21"/>
                <w:szCs w:val="21"/>
                <w:vertAlign w:val="baseline"/>
                <w:lang w:bidi="ar"/>
              </w:rPr>
              <w:t>（mg/L）</w:t>
            </w:r>
          </w:p>
        </w:tc>
        <w:tc>
          <w:tcPr>
            <w:tcW w:w="1025" w:type="dxa"/>
            <w:tcBorders>
              <w:top w:val="nil"/>
              <w:bottom w:val="single" w:color="000000" w:themeColor="text1" w:sz="12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TP</w:t>
            </w:r>
            <w:r>
              <w:rPr>
                <w:rStyle w:val="23"/>
                <w:rFonts w:hint="default" w:ascii="Times New Roman" w:hAnsi="Times New Roman" w:cs="Times New Roman"/>
                <w:sz w:val="21"/>
                <w:szCs w:val="21"/>
                <w:vertAlign w:val="baseline"/>
                <w:lang w:bidi="ar"/>
              </w:rPr>
              <w:t>（mg/L）</w:t>
            </w:r>
          </w:p>
        </w:tc>
        <w:tc>
          <w:tcPr>
            <w:tcW w:w="1054" w:type="dxa"/>
            <w:tcBorders>
              <w:top w:val="nil"/>
              <w:bottom w:val="single" w:color="000000" w:themeColor="text1" w:sz="12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NO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vertAlign w:val="subscript"/>
                <w:lang w:bidi="ar"/>
              </w:rPr>
              <w:t>3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vertAlign w:val="superscript"/>
                <w:lang w:bidi="ar"/>
              </w:rPr>
              <w:t>-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vertAlign w:val="superscript"/>
                <w:lang w:bidi="ar"/>
              </w:rPr>
            </w:pPr>
            <w:r>
              <w:rPr>
                <w:rStyle w:val="23"/>
                <w:rFonts w:hint="default" w:ascii="Times New Roman" w:hAnsi="Times New Roman" w:cs="Times New Roman"/>
                <w:sz w:val="21"/>
                <w:szCs w:val="21"/>
                <w:vertAlign w:val="baseline"/>
                <w:lang w:bidi="ar"/>
              </w:rPr>
              <w:t>（mg/L）</w:t>
            </w:r>
          </w:p>
        </w:tc>
        <w:tc>
          <w:tcPr>
            <w:tcW w:w="643" w:type="dxa"/>
            <w:tcBorders>
              <w:top w:val="nil"/>
              <w:bottom w:val="single" w:color="000000" w:themeColor="text1" w:sz="12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pH</w:t>
            </w:r>
          </w:p>
        </w:tc>
        <w:tc>
          <w:tcPr>
            <w:tcW w:w="1179" w:type="dxa"/>
            <w:tcBorders>
              <w:top w:val="nil"/>
              <w:bottom w:val="single" w:color="000000" w:themeColor="text1" w:sz="12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EC（uS/cm）</w:t>
            </w:r>
          </w:p>
        </w:tc>
        <w:tc>
          <w:tcPr>
            <w:tcW w:w="1123" w:type="dxa"/>
            <w:tcBorders>
              <w:top w:val="nil"/>
              <w:bottom w:val="single" w:color="000000" w:themeColor="text1" w:sz="12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TN</w:t>
            </w:r>
            <w:r>
              <w:rPr>
                <w:rStyle w:val="23"/>
                <w:rFonts w:hint="default" w:ascii="Times New Roman" w:hAnsi="Times New Roman" w:cs="Times New Roman"/>
                <w:sz w:val="21"/>
                <w:szCs w:val="21"/>
                <w:vertAlign w:val="baseline"/>
                <w:lang w:bidi="ar"/>
              </w:rPr>
              <w:t>（mg/kg）</w:t>
            </w:r>
          </w:p>
        </w:tc>
        <w:tc>
          <w:tcPr>
            <w:tcW w:w="1102" w:type="dxa"/>
            <w:tcBorders>
              <w:top w:val="nil"/>
              <w:bottom w:val="single" w:color="000000" w:themeColor="text1" w:sz="12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TP</w:t>
            </w:r>
            <w:r>
              <w:rPr>
                <w:rStyle w:val="23"/>
                <w:rFonts w:hint="default" w:ascii="Times New Roman" w:hAnsi="Times New Roman" w:cs="Times New Roman"/>
                <w:sz w:val="21"/>
                <w:szCs w:val="21"/>
                <w:vertAlign w:val="baseline"/>
                <w:lang w:bidi="ar"/>
              </w:rPr>
              <w:t>（mg/kg）</w:t>
            </w:r>
          </w:p>
        </w:tc>
        <w:tc>
          <w:tcPr>
            <w:tcW w:w="1129" w:type="dxa"/>
            <w:tcBorders>
              <w:top w:val="nil"/>
              <w:bottom w:val="single" w:color="000000" w:themeColor="text1" w:sz="12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NO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vertAlign w:val="subscript"/>
                <w:lang w:bidi="ar"/>
              </w:rPr>
              <w:t>3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vertAlign w:val="superscript"/>
                <w:lang w:bidi="ar"/>
              </w:rPr>
              <w:t>-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555555"/>
                <w:kern w:val="0"/>
                <w:sz w:val="22"/>
                <w:vertAlign w:val="superscript"/>
                <w:lang w:bidi="ar"/>
              </w:rPr>
            </w:pPr>
            <w:r>
              <w:rPr>
                <w:rStyle w:val="23"/>
                <w:rFonts w:hint="default" w:ascii="Times New Roman" w:hAnsi="Times New Roman" w:cs="Times New Roman"/>
                <w:sz w:val="21"/>
                <w:szCs w:val="21"/>
                <w:vertAlign w:val="baseline"/>
                <w:lang w:bidi="ar"/>
              </w:rPr>
              <w:t>（mg/kg）</w:t>
            </w:r>
          </w:p>
        </w:tc>
      </w:tr>
      <w:tr>
        <w:tblPrEx>
          <w:tblBorders>
            <w:top w:val="single" w:color="000000" w:themeColor="text1" w:sz="12" w:space="0"/>
            <w:left w:val="none" w:color="auto" w:sz="0" w:space="0"/>
            <w:bottom w:val="single" w:color="000000" w:themeColor="text1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723" w:type="dxa"/>
            <w:tcBorders>
              <w:top w:val="single" w:color="000000" w:themeColor="text1" w:sz="12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bookmarkStart w:id="0" w:name="OLE_LINK2" w:colFirst="4" w:colLast="7"/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674" w:type="dxa"/>
            <w:tcBorders>
              <w:top w:val="single" w:color="000000" w:themeColor="text1" w:sz="12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8.55</w:t>
            </w:r>
          </w:p>
        </w:tc>
        <w:tc>
          <w:tcPr>
            <w:tcW w:w="1099" w:type="dxa"/>
            <w:tcBorders>
              <w:top w:val="single" w:color="000000" w:themeColor="text1" w:sz="12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378.8</w:t>
            </w:r>
          </w:p>
        </w:tc>
        <w:tc>
          <w:tcPr>
            <w:tcW w:w="1006" w:type="dxa"/>
            <w:tcBorders>
              <w:top w:val="single" w:color="000000" w:themeColor="text1" w:sz="12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 xml:space="preserve">2.40 </w:t>
            </w:r>
          </w:p>
        </w:tc>
        <w:tc>
          <w:tcPr>
            <w:tcW w:w="1025" w:type="dxa"/>
            <w:tcBorders>
              <w:top w:val="single" w:color="000000" w:themeColor="text1" w:sz="12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0.007</w:t>
            </w:r>
          </w:p>
        </w:tc>
        <w:tc>
          <w:tcPr>
            <w:tcW w:w="1054" w:type="dxa"/>
            <w:tcBorders>
              <w:top w:val="single" w:color="000000" w:themeColor="text1" w:sz="12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 xml:space="preserve">1.30 </w:t>
            </w:r>
          </w:p>
        </w:tc>
        <w:tc>
          <w:tcPr>
            <w:tcW w:w="643" w:type="dxa"/>
            <w:tcBorders>
              <w:top w:val="single" w:color="000000" w:themeColor="text1" w:sz="12" w:space="0"/>
            </w:tcBorders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7.71</w:t>
            </w:r>
          </w:p>
        </w:tc>
        <w:tc>
          <w:tcPr>
            <w:tcW w:w="1179" w:type="dxa"/>
            <w:tcBorders>
              <w:top w:val="single" w:color="000000" w:themeColor="text1" w:sz="12" w:space="0"/>
            </w:tcBorders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345</w:t>
            </w:r>
          </w:p>
        </w:tc>
        <w:tc>
          <w:tcPr>
            <w:tcW w:w="1123" w:type="dxa"/>
            <w:tcBorders>
              <w:top w:val="single" w:color="000000" w:themeColor="text1" w:sz="12" w:space="0"/>
            </w:tcBorders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171.18</w:t>
            </w:r>
          </w:p>
        </w:tc>
        <w:tc>
          <w:tcPr>
            <w:tcW w:w="1102" w:type="dxa"/>
            <w:tcBorders>
              <w:top w:val="single" w:color="000000" w:themeColor="text1" w:sz="12" w:space="0"/>
            </w:tcBorders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339.76</w:t>
            </w:r>
          </w:p>
        </w:tc>
        <w:tc>
          <w:tcPr>
            <w:tcW w:w="1129" w:type="dxa"/>
            <w:tcBorders>
              <w:top w:val="single" w:color="000000" w:themeColor="text1" w:sz="12" w:space="0"/>
            </w:tcBorders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2.03</w:t>
            </w:r>
          </w:p>
        </w:tc>
      </w:tr>
      <w:tr>
        <w:tblPrEx>
          <w:tblBorders>
            <w:top w:val="single" w:color="000000" w:themeColor="text1" w:sz="12" w:space="0"/>
            <w:left w:val="none" w:color="auto" w:sz="0" w:space="0"/>
            <w:bottom w:val="single" w:color="000000" w:themeColor="text1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723" w:type="dxa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67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8.62</w:t>
            </w:r>
          </w:p>
        </w:tc>
        <w:tc>
          <w:tcPr>
            <w:tcW w:w="109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375.1</w:t>
            </w:r>
          </w:p>
        </w:tc>
        <w:tc>
          <w:tcPr>
            <w:tcW w:w="100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 xml:space="preserve">2.67 </w:t>
            </w:r>
          </w:p>
        </w:tc>
        <w:tc>
          <w:tcPr>
            <w:tcW w:w="102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0.007</w:t>
            </w:r>
          </w:p>
        </w:tc>
        <w:tc>
          <w:tcPr>
            <w:tcW w:w="105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 xml:space="preserve">1.33 </w:t>
            </w:r>
          </w:p>
        </w:tc>
        <w:tc>
          <w:tcPr>
            <w:tcW w:w="643" w:type="dxa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8.07</w:t>
            </w:r>
          </w:p>
        </w:tc>
        <w:tc>
          <w:tcPr>
            <w:tcW w:w="1179" w:type="dxa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231</w:t>
            </w:r>
          </w:p>
        </w:tc>
        <w:tc>
          <w:tcPr>
            <w:tcW w:w="1123" w:type="dxa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53.14</w:t>
            </w:r>
          </w:p>
        </w:tc>
        <w:tc>
          <w:tcPr>
            <w:tcW w:w="1102" w:type="dxa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151.57</w:t>
            </w:r>
          </w:p>
        </w:tc>
        <w:tc>
          <w:tcPr>
            <w:tcW w:w="1129" w:type="dxa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1.1</w:t>
            </w:r>
          </w:p>
        </w:tc>
      </w:tr>
      <w:tr>
        <w:tblPrEx>
          <w:tblBorders>
            <w:top w:val="single" w:color="000000" w:themeColor="text1" w:sz="12" w:space="0"/>
            <w:left w:val="none" w:color="auto" w:sz="0" w:space="0"/>
            <w:bottom w:val="single" w:color="000000" w:themeColor="text1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723" w:type="dxa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67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8.61</w:t>
            </w:r>
          </w:p>
        </w:tc>
        <w:tc>
          <w:tcPr>
            <w:tcW w:w="109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380</w:t>
            </w:r>
          </w:p>
        </w:tc>
        <w:tc>
          <w:tcPr>
            <w:tcW w:w="100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 xml:space="preserve">2.53 </w:t>
            </w:r>
          </w:p>
        </w:tc>
        <w:tc>
          <w:tcPr>
            <w:tcW w:w="102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0.005</w:t>
            </w:r>
          </w:p>
        </w:tc>
        <w:tc>
          <w:tcPr>
            <w:tcW w:w="105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 xml:space="preserve">1.31 </w:t>
            </w:r>
          </w:p>
        </w:tc>
        <w:tc>
          <w:tcPr>
            <w:tcW w:w="643" w:type="dxa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7.72</w:t>
            </w:r>
          </w:p>
        </w:tc>
        <w:tc>
          <w:tcPr>
            <w:tcW w:w="1179" w:type="dxa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508</w:t>
            </w:r>
          </w:p>
        </w:tc>
        <w:tc>
          <w:tcPr>
            <w:tcW w:w="1123" w:type="dxa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76.7</w:t>
            </w:r>
          </w:p>
        </w:tc>
        <w:tc>
          <w:tcPr>
            <w:tcW w:w="1102" w:type="dxa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268.94</w:t>
            </w:r>
          </w:p>
        </w:tc>
        <w:tc>
          <w:tcPr>
            <w:tcW w:w="1129" w:type="dxa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2.23</w:t>
            </w:r>
          </w:p>
        </w:tc>
      </w:tr>
      <w:tr>
        <w:tblPrEx>
          <w:tblBorders>
            <w:top w:val="single" w:color="000000" w:themeColor="text1" w:sz="12" w:space="0"/>
            <w:left w:val="none" w:color="auto" w:sz="0" w:space="0"/>
            <w:bottom w:val="single" w:color="000000" w:themeColor="text1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723" w:type="dxa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67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8.67</w:t>
            </w:r>
          </w:p>
        </w:tc>
        <w:tc>
          <w:tcPr>
            <w:tcW w:w="109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371</w:t>
            </w:r>
          </w:p>
        </w:tc>
        <w:tc>
          <w:tcPr>
            <w:tcW w:w="100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 xml:space="preserve">2.49 </w:t>
            </w:r>
          </w:p>
        </w:tc>
        <w:tc>
          <w:tcPr>
            <w:tcW w:w="102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0.004</w:t>
            </w:r>
          </w:p>
        </w:tc>
        <w:tc>
          <w:tcPr>
            <w:tcW w:w="105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 xml:space="preserve">1.32 </w:t>
            </w:r>
          </w:p>
        </w:tc>
        <w:tc>
          <w:tcPr>
            <w:tcW w:w="643" w:type="dxa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7.87</w:t>
            </w:r>
          </w:p>
        </w:tc>
        <w:tc>
          <w:tcPr>
            <w:tcW w:w="1179" w:type="dxa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278</w:t>
            </w:r>
          </w:p>
        </w:tc>
        <w:tc>
          <w:tcPr>
            <w:tcW w:w="1123" w:type="dxa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100.39</w:t>
            </w:r>
          </w:p>
        </w:tc>
        <w:tc>
          <w:tcPr>
            <w:tcW w:w="1102" w:type="dxa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276.97</w:t>
            </w:r>
          </w:p>
        </w:tc>
        <w:tc>
          <w:tcPr>
            <w:tcW w:w="1129" w:type="dxa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1.44</w:t>
            </w:r>
          </w:p>
        </w:tc>
      </w:tr>
      <w:tr>
        <w:tblPrEx>
          <w:tblBorders>
            <w:top w:val="single" w:color="000000" w:themeColor="text1" w:sz="12" w:space="0"/>
            <w:left w:val="none" w:color="auto" w:sz="0" w:space="0"/>
            <w:bottom w:val="single" w:color="000000" w:themeColor="text1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723" w:type="dxa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67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8.58</w:t>
            </w:r>
          </w:p>
        </w:tc>
        <w:tc>
          <w:tcPr>
            <w:tcW w:w="109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356.3</w:t>
            </w:r>
          </w:p>
        </w:tc>
        <w:tc>
          <w:tcPr>
            <w:tcW w:w="100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 xml:space="preserve">2.48 </w:t>
            </w:r>
          </w:p>
        </w:tc>
        <w:tc>
          <w:tcPr>
            <w:tcW w:w="102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0.007</w:t>
            </w:r>
          </w:p>
        </w:tc>
        <w:tc>
          <w:tcPr>
            <w:tcW w:w="105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 xml:space="preserve">1.29 </w:t>
            </w:r>
          </w:p>
        </w:tc>
        <w:tc>
          <w:tcPr>
            <w:tcW w:w="643" w:type="dxa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7.93</w:t>
            </w:r>
          </w:p>
        </w:tc>
        <w:tc>
          <w:tcPr>
            <w:tcW w:w="1179" w:type="dxa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296</w:t>
            </w:r>
          </w:p>
        </w:tc>
        <w:tc>
          <w:tcPr>
            <w:tcW w:w="1123" w:type="dxa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120.98</w:t>
            </w:r>
          </w:p>
        </w:tc>
        <w:tc>
          <w:tcPr>
            <w:tcW w:w="1102" w:type="dxa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415.58</w:t>
            </w:r>
          </w:p>
        </w:tc>
        <w:tc>
          <w:tcPr>
            <w:tcW w:w="1129" w:type="dxa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1.97</w:t>
            </w:r>
          </w:p>
        </w:tc>
      </w:tr>
      <w:tr>
        <w:tblPrEx>
          <w:tblBorders>
            <w:top w:val="single" w:color="000000" w:themeColor="text1" w:sz="12" w:space="0"/>
            <w:left w:val="none" w:color="auto" w:sz="0" w:space="0"/>
            <w:bottom w:val="single" w:color="000000" w:themeColor="text1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723" w:type="dxa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67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8.71</w:t>
            </w:r>
          </w:p>
        </w:tc>
        <w:tc>
          <w:tcPr>
            <w:tcW w:w="109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366.1</w:t>
            </w:r>
          </w:p>
        </w:tc>
        <w:tc>
          <w:tcPr>
            <w:tcW w:w="100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 xml:space="preserve">2.18 </w:t>
            </w:r>
          </w:p>
        </w:tc>
        <w:tc>
          <w:tcPr>
            <w:tcW w:w="102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0.004</w:t>
            </w:r>
          </w:p>
        </w:tc>
        <w:tc>
          <w:tcPr>
            <w:tcW w:w="105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 xml:space="preserve">1.20 </w:t>
            </w:r>
          </w:p>
        </w:tc>
        <w:tc>
          <w:tcPr>
            <w:tcW w:w="643" w:type="dxa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7.83</w:t>
            </w:r>
          </w:p>
        </w:tc>
        <w:tc>
          <w:tcPr>
            <w:tcW w:w="1179" w:type="dxa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318</w:t>
            </w:r>
          </w:p>
        </w:tc>
        <w:tc>
          <w:tcPr>
            <w:tcW w:w="1123" w:type="dxa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153.12</w:t>
            </w:r>
          </w:p>
        </w:tc>
        <w:tc>
          <w:tcPr>
            <w:tcW w:w="1102" w:type="dxa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224.84</w:t>
            </w:r>
          </w:p>
        </w:tc>
        <w:tc>
          <w:tcPr>
            <w:tcW w:w="1129" w:type="dxa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0.69</w:t>
            </w:r>
          </w:p>
        </w:tc>
      </w:tr>
      <w:tr>
        <w:tblPrEx>
          <w:tblBorders>
            <w:top w:val="single" w:color="000000" w:themeColor="text1" w:sz="12" w:space="0"/>
            <w:left w:val="none" w:color="auto" w:sz="0" w:space="0"/>
            <w:bottom w:val="single" w:color="000000" w:themeColor="text1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723" w:type="dxa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67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8.78</w:t>
            </w:r>
          </w:p>
        </w:tc>
        <w:tc>
          <w:tcPr>
            <w:tcW w:w="109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364.2</w:t>
            </w:r>
          </w:p>
        </w:tc>
        <w:tc>
          <w:tcPr>
            <w:tcW w:w="100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 xml:space="preserve">2.06 </w:t>
            </w:r>
          </w:p>
        </w:tc>
        <w:tc>
          <w:tcPr>
            <w:tcW w:w="102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0.008</w:t>
            </w:r>
          </w:p>
        </w:tc>
        <w:tc>
          <w:tcPr>
            <w:tcW w:w="105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 xml:space="preserve">1.18 </w:t>
            </w:r>
          </w:p>
        </w:tc>
        <w:tc>
          <w:tcPr>
            <w:tcW w:w="643" w:type="dxa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8.01</w:t>
            </w:r>
          </w:p>
        </w:tc>
        <w:tc>
          <w:tcPr>
            <w:tcW w:w="1179" w:type="dxa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189.5</w:t>
            </w:r>
          </w:p>
        </w:tc>
        <w:tc>
          <w:tcPr>
            <w:tcW w:w="1123" w:type="dxa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91.45</w:t>
            </w:r>
          </w:p>
        </w:tc>
        <w:tc>
          <w:tcPr>
            <w:tcW w:w="1102" w:type="dxa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203.39</w:t>
            </w:r>
          </w:p>
        </w:tc>
        <w:tc>
          <w:tcPr>
            <w:tcW w:w="1129" w:type="dxa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0.39</w:t>
            </w:r>
          </w:p>
        </w:tc>
      </w:tr>
      <w:tr>
        <w:tblPrEx>
          <w:tblBorders>
            <w:top w:val="single" w:color="000000" w:themeColor="text1" w:sz="12" w:space="0"/>
            <w:left w:val="none" w:color="auto" w:sz="0" w:space="0"/>
            <w:bottom w:val="single" w:color="000000" w:themeColor="text1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723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674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8.41</w:t>
            </w:r>
          </w:p>
        </w:tc>
        <w:tc>
          <w:tcPr>
            <w:tcW w:w="1099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373.2</w:t>
            </w:r>
          </w:p>
        </w:tc>
        <w:tc>
          <w:tcPr>
            <w:tcW w:w="1006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 xml:space="preserve">2.15 </w:t>
            </w:r>
          </w:p>
        </w:tc>
        <w:tc>
          <w:tcPr>
            <w:tcW w:w="1025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0.018</w:t>
            </w:r>
          </w:p>
        </w:tc>
        <w:tc>
          <w:tcPr>
            <w:tcW w:w="1054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 xml:space="preserve">1.34 </w:t>
            </w:r>
          </w:p>
        </w:tc>
        <w:tc>
          <w:tcPr>
            <w:tcW w:w="643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8.17</w:t>
            </w:r>
          </w:p>
        </w:tc>
        <w:tc>
          <w:tcPr>
            <w:tcW w:w="1179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153.7</w:t>
            </w:r>
          </w:p>
        </w:tc>
        <w:tc>
          <w:tcPr>
            <w:tcW w:w="1123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61.93</w:t>
            </w:r>
          </w:p>
        </w:tc>
        <w:tc>
          <w:tcPr>
            <w:tcW w:w="1102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188.82</w:t>
            </w:r>
          </w:p>
        </w:tc>
        <w:tc>
          <w:tcPr>
            <w:tcW w:w="1129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0.09</w:t>
            </w:r>
          </w:p>
        </w:tc>
      </w:tr>
      <w:tr>
        <w:tblPrEx>
          <w:tblBorders>
            <w:top w:val="single" w:color="000000" w:themeColor="text1" w:sz="12" w:space="0"/>
            <w:left w:val="none" w:color="auto" w:sz="0" w:space="0"/>
            <w:bottom w:val="single" w:color="000000" w:themeColor="text1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723" w:type="dxa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  <w:tc>
          <w:tcPr>
            <w:tcW w:w="67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8.41</w:t>
            </w:r>
          </w:p>
        </w:tc>
        <w:tc>
          <w:tcPr>
            <w:tcW w:w="109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367.5</w:t>
            </w:r>
          </w:p>
        </w:tc>
        <w:tc>
          <w:tcPr>
            <w:tcW w:w="100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 xml:space="preserve">2.28 </w:t>
            </w:r>
          </w:p>
        </w:tc>
        <w:tc>
          <w:tcPr>
            <w:tcW w:w="102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0.0115</w:t>
            </w:r>
          </w:p>
        </w:tc>
        <w:tc>
          <w:tcPr>
            <w:tcW w:w="105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 xml:space="preserve">1.32 </w:t>
            </w:r>
          </w:p>
        </w:tc>
        <w:tc>
          <w:tcPr>
            <w:tcW w:w="643" w:type="dxa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8.24</w:t>
            </w:r>
          </w:p>
        </w:tc>
        <w:tc>
          <w:tcPr>
            <w:tcW w:w="1179" w:type="dxa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124.5</w:t>
            </w:r>
          </w:p>
        </w:tc>
        <w:tc>
          <w:tcPr>
            <w:tcW w:w="1123" w:type="dxa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29.48</w:t>
            </w:r>
          </w:p>
        </w:tc>
        <w:tc>
          <w:tcPr>
            <w:tcW w:w="1102" w:type="dxa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144.11</w:t>
            </w:r>
          </w:p>
        </w:tc>
        <w:tc>
          <w:tcPr>
            <w:tcW w:w="1129" w:type="dxa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0.03</w:t>
            </w:r>
          </w:p>
        </w:tc>
      </w:tr>
      <w:bookmarkEnd w:id="0"/>
    </w:tbl>
    <w:p>
      <w:pPr>
        <w:rPr>
          <w:rFonts w:hint="eastAsia" w:ascii="Times New Roman" w:hAnsi="Times New Roman" w:eastAsia="宋体" w:cs="Times New Roman"/>
          <w:color w:val="000000"/>
          <w:szCs w:val="21"/>
          <w:shd w:val="clear" w:color="auto" w:fill="FFFFFF"/>
        </w:rPr>
      </w:pPr>
      <w:r>
        <w:rPr>
          <w:rFonts w:ascii="Times New Roman" w:hAnsi="Times New Roman" w:eastAsia="宋体" w:cs="Times New Roman"/>
          <w:color w:val="000000"/>
          <w:szCs w:val="21"/>
          <w:shd w:val="clear" w:color="auto" w:fill="FFFFFF"/>
        </w:rPr>
        <w:br w:type="page"/>
      </w:r>
    </w:p>
    <w:p>
      <w:pPr>
        <w:spacing w:line="360" w:lineRule="auto"/>
        <w:jc w:val="center"/>
        <w:outlineLvl w:val="0"/>
        <w:rPr>
          <w:rFonts w:ascii="Times New Roman" w:hAnsi="Times New Roman" w:eastAsia="宋体"/>
          <w:b/>
          <w:sz w:val="24"/>
        </w:rPr>
      </w:pPr>
      <w:r>
        <w:rPr>
          <w:rFonts w:ascii="Times New Roman" w:hAnsi="Times New Roman" w:eastAsia="宋体"/>
          <w:b/>
          <w:sz w:val="24"/>
        </w:rPr>
        <w:t>Table S</w:t>
      </w:r>
      <w:r>
        <w:rPr>
          <w:rFonts w:hint="eastAsia" w:ascii="Times New Roman" w:hAnsi="Times New Roman" w:eastAsia="宋体"/>
          <w:b/>
          <w:sz w:val="24"/>
        </w:rPr>
        <w:t>3</w:t>
      </w:r>
      <w:r>
        <w:rPr>
          <w:rFonts w:ascii="Times New Roman" w:hAnsi="Times New Roman" w:eastAsia="宋体"/>
          <w:b/>
          <w:sz w:val="24"/>
        </w:rPr>
        <w:t xml:space="preserve"> Compound name and physic-chemical data of the analytes in this study</w:t>
      </w:r>
      <w:r>
        <w:rPr>
          <w:rFonts w:hint="eastAsia" w:ascii="Times New Roman" w:hAnsi="Times New Roman" w:eastAsia="宋体"/>
          <w:b/>
          <w:sz w:val="24"/>
        </w:rPr>
        <w:t>.</w:t>
      </w:r>
    </w:p>
    <w:tbl>
      <w:tblPr>
        <w:tblStyle w:val="7"/>
        <w:tblW w:w="0" w:type="auto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6"/>
        <w:gridCol w:w="707"/>
        <w:gridCol w:w="1779"/>
        <w:gridCol w:w="1797"/>
        <w:gridCol w:w="1704"/>
        <w:gridCol w:w="1196"/>
        <w:gridCol w:w="1436"/>
        <w:gridCol w:w="92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0" w:type="auto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8" w:lineRule="atLeast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szCs w:val="21"/>
                <w:shd w:val="clear" w:color="auto" w:fill="FFFFFF"/>
              </w:rPr>
              <w:t>Category</w:t>
            </w:r>
          </w:p>
        </w:tc>
        <w:tc>
          <w:tcPr>
            <w:tcW w:w="0" w:type="auto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8" w:lineRule="atLeast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szCs w:val="21"/>
                <w:shd w:val="clear" w:color="auto" w:fill="FFFFFF"/>
              </w:rPr>
              <w:t>Abb</w:t>
            </w: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shd w:val="clear" w:color="auto" w:fill="FFFFFF"/>
              </w:rPr>
              <w:t>.</w:t>
            </w:r>
          </w:p>
        </w:tc>
        <w:tc>
          <w:tcPr>
            <w:tcW w:w="0" w:type="auto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8" w:lineRule="atLeast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szCs w:val="21"/>
                <w:shd w:val="clear" w:color="auto" w:fill="FFFFFF"/>
              </w:rPr>
              <w:t>Compounds</w:t>
            </w:r>
          </w:p>
        </w:tc>
        <w:tc>
          <w:tcPr>
            <w:tcW w:w="0" w:type="auto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8" w:lineRule="atLeast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szCs w:val="21"/>
                <w:shd w:val="clear" w:color="auto" w:fill="FFFFFF"/>
              </w:rPr>
              <w:t>Molecular formula</w:t>
            </w:r>
          </w:p>
        </w:tc>
        <w:tc>
          <w:tcPr>
            <w:tcW w:w="0" w:type="auto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8" w:lineRule="atLeast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szCs w:val="21"/>
                <w:shd w:val="clear" w:color="auto" w:fill="FFFFFF"/>
              </w:rPr>
              <w:t>Molecular weight</w:t>
            </w:r>
          </w:p>
        </w:tc>
        <w:tc>
          <w:tcPr>
            <w:tcW w:w="0" w:type="auto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8" w:lineRule="atLeast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szCs w:val="21"/>
                <w:shd w:val="clear" w:color="auto" w:fill="FFFFFF"/>
              </w:rPr>
              <w:t>CAS No.</w:t>
            </w:r>
          </w:p>
        </w:tc>
        <w:tc>
          <w:tcPr>
            <w:tcW w:w="0" w:type="auto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8" w:lineRule="atLeast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szCs w:val="21"/>
                <w:shd w:val="clear" w:color="auto" w:fill="FFFFFF"/>
              </w:rPr>
              <w:t>pK</w:t>
            </w:r>
            <w:r>
              <w:rPr>
                <w:rFonts w:ascii="Times New Roman" w:hAnsi="Times New Roman" w:eastAsia="宋体" w:cs="Times New Roman"/>
                <w:color w:val="000000"/>
                <w:szCs w:val="21"/>
                <w:shd w:val="clear" w:color="auto" w:fill="FFFFFF"/>
                <w:vertAlign w:val="subscript"/>
              </w:rPr>
              <w:t>a</w:t>
            </w:r>
          </w:p>
        </w:tc>
        <w:tc>
          <w:tcPr>
            <w:tcW w:w="0" w:type="auto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8" w:lineRule="atLeast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szCs w:val="21"/>
                <w:shd w:val="clear" w:color="auto" w:fill="FFFFFF"/>
              </w:rPr>
              <w:t>Log K</w:t>
            </w:r>
            <w:r>
              <w:rPr>
                <w:rFonts w:ascii="Times New Roman" w:hAnsi="Times New Roman" w:eastAsia="宋体" w:cs="Times New Roman"/>
                <w:color w:val="000000"/>
                <w:szCs w:val="21"/>
                <w:shd w:val="clear" w:color="auto" w:fill="FFFFFF"/>
                <w:vertAlign w:val="subscript"/>
              </w:rPr>
              <w:t>ow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djustRightInd w:val="0"/>
              <w:snapToGrid w:val="0"/>
              <w:spacing w:line="28" w:lineRule="atLeast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TCs</w:t>
            </w:r>
          </w:p>
        </w:tc>
        <w:tc>
          <w:tcPr>
            <w:tcW w:w="0" w:type="auto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djustRightInd w:val="0"/>
              <w:snapToGrid w:val="0"/>
              <w:spacing w:line="28" w:lineRule="atLeast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TC</w:t>
            </w:r>
          </w:p>
        </w:tc>
        <w:tc>
          <w:tcPr>
            <w:tcW w:w="0" w:type="auto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28" w:lineRule="atLeast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Tetracycline</w:t>
            </w:r>
          </w:p>
        </w:tc>
        <w:tc>
          <w:tcPr>
            <w:tcW w:w="0" w:type="auto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djustRightInd w:val="0"/>
              <w:snapToGrid w:val="0"/>
              <w:spacing w:line="28" w:lineRule="atLeast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C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:vertAlign w:val="subscript"/>
                <w14:textFill>
                  <w14:solidFill>
                    <w14:schemeClr w14:val="tx1"/>
                  </w14:solidFill>
                </w14:textFill>
              </w:rPr>
              <w:t>22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H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:vertAlign w:val="subscript"/>
                <w14:textFill>
                  <w14:solidFill>
                    <w14:schemeClr w14:val="tx1"/>
                  </w14:solidFill>
                </w14:textFill>
              </w:rPr>
              <w:t>24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N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:vertAlign w:val="subscript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O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:vertAlign w:val="subscript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0" w:type="auto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28" w:lineRule="atLeast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444.44</w:t>
            </w:r>
          </w:p>
        </w:tc>
        <w:tc>
          <w:tcPr>
            <w:tcW w:w="0" w:type="auto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djustRightInd w:val="0"/>
              <w:snapToGrid w:val="0"/>
              <w:spacing w:line="28" w:lineRule="atLeast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60-54-8</w:t>
            </w:r>
          </w:p>
        </w:tc>
        <w:tc>
          <w:tcPr>
            <w:tcW w:w="0" w:type="auto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28" w:lineRule="atLeast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3.3</w:t>
            </w:r>
          </w:p>
        </w:tc>
        <w:tc>
          <w:tcPr>
            <w:tcW w:w="0" w:type="auto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28" w:lineRule="atLeast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-1.37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djustRightInd w:val="0"/>
              <w:snapToGrid w:val="0"/>
              <w:spacing w:line="28" w:lineRule="atLeast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djustRightInd w:val="0"/>
              <w:snapToGrid w:val="0"/>
              <w:spacing w:line="28" w:lineRule="atLeast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CTC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28" w:lineRule="atLeast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Chlorotetracycline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djustRightInd w:val="0"/>
              <w:snapToGrid w:val="0"/>
              <w:spacing w:line="28" w:lineRule="atLeast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C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:vertAlign w:val="subscript"/>
                <w14:textFill>
                  <w14:solidFill>
                    <w14:schemeClr w14:val="tx1"/>
                  </w14:solidFill>
                </w14:textFill>
              </w:rPr>
              <w:t>22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H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:vertAlign w:val="subscript"/>
                <w14:textFill>
                  <w14:solidFill>
                    <w14:schemeClr w14:val="tx1"/>
                  </w14:solidFill>
                </w14:textFill>
              </w:rPr>
              <w:t>23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ClN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:vertAlign w:val="subscript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O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:vertAlign w:val="subscript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28" w:lineRule="atLeast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515.35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djustRightInd w:val="0"/>
              <w:snapToGrid w:val="0"/>
              <w:spacing w:line="28" w:lineRule="atLeast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57-62-5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28" w:lineRule="atLeast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4.4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28" w:lineRule="atLeast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-0.62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28" w:lineRule="atLeast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28" w:lineRule="atLeast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DXC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28" w:lineRule="atLeast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Doxycycline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28" w:lineRule="atLeast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C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:vertAlign w:val="subscript"/>
                <w14:textFill>
                  <w14:solidFill>
                    <w14:schemeClr w14:val="tx1"/>
                  </w14:solidFill>
                </w14:textFill>
              </w:rPr>
              <w:t>22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H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:vertAlign w:val="subscript"/>
                <w14:textFill>
                  <w14:solidFill>
                    <w14:schemeClr w14:val="tx1"/>
                  </w14:solidFill>
                </w14:textFill>
              </w:rPr>
              <w:t>24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N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:vertAlign w:val="subscript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O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:vertAlign w:val="subscript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28" w:lineRule="atLeast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444.44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28" w:lineRule="atLeast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564-25-0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28" w:lineRule="atLeast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/>
                <w:szCs w:val="21"/>
                <w:shd w:val="clear" w:color="auto" w:fill="FFFFFF"/>
              </w:rPr>
              <w:t>3.02/7.97/9.15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28" w:lineRule="atLeast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/>
                <w:szCs w:val="21"/>
                <w:shd w:val="clear" w:color="auto" w:fill="FFFFFF"/>
              </w:rPr>
              <w:t>2.37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djustRightInd w:val="0"/>
              <w:snapToGrid w:val="0"/>
              <w:spacing w:line="28" w:lineRule="atLeast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djustRightInd w:val="0"/>
              <w:snapToGrid w:val="0"/>
              <w:spacing w:line="28" w:lineRule="atLeast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OTC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28" w:lineRule="atLeast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Oxytetracycline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djustRightInd w:val="0"/>
              <w:snapToGrid w:val="0"/>
              <w:spacing w:line="28" w:lineRule="atLeast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C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:vertAlign w:val="subscript"/>
                <w14:textFill>
                  <w14:solidFill>
                    <w14:schemeClr w14:val="tx1"/>
                  </w14:solidFill>
                </w14:textFill>
              </w:rPr>
              <w:t>22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H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:vertAlign w:val="subscript"/>
                <w14:textFill>
                  <w14:solidFill>
                    <w14:schemeClr w14:val="tx1"/>
                  </w14:solidFill>
                </w14:textFill>
              </w:rPr>
              <w:t>24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N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:vertAlign w:val="subscript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O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:vertAlign w:val="subscript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28" w:lineRule="atLeast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460.43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djustRightInd w:val="0"/>
              <w:snapToGrid w:val="0"/>
              <w:spacing w:line="28" w:lineRule="atLeast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79-57-2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28" w:lineRule="atLeast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9.5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28" w:lineRule="atLeast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-0.9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djustRightInd w:val="0"/>
              <w:snapToGrid w:val="0"/>
              <w:spacing w:line="28" w:lineRule="atLeast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SAs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djustRightInd w:val="0"/>
              <w:snapToGrid w:val="0"/>
              <w:spacing w:line="28" w:lineRule="atLeast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SD</w:t>
            </w:r>
            <w:r>
              <w:rPr>
                <w:rFonts w:hint="eastAsia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28" w:lineRule="atLeast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Sulfadiazine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djustRightInd w:val="0"/>
              <w:snapToGrid w:val="0"/>
              <w:spacing w:line="28" w:lineRule="atLeast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C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:vertAlign w:val="subscript"/>
                <w14:textFill>
                  <w14:solidFill>
                    <w14:schemeClr w14:val="tx1"/>
                  </w14:solidFill>
                </w14:textFill>
              </w:rPr>
              <w:t>10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H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:vertAlign w:val="subscript"/>
                <w14:textFill>
                  <w14:solidFill>
                    <w14:schemeClr w14:val="tx1"/>
                  </w14:solidFill>
                </w14:textFill>
              </w:rPr>
              <w:t>10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N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:vertAlign w:val="subscript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O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:vertAlign w:val="subscript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28" w:lineRule="atLeast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250.28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djustRightInd w:val="0"/>
              <w:snapToGrid w:val="0"/>
              <w:spacing w:line="28" w:lineRule="atLeast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63-85-9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28" w:lineRule="atLeast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6.5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28" w:lineRule="atLeast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-0.13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djustRightInd w:val="0"/>
              <w:snapToGrid w:val="0"/>
              <w:spacing w:line="28" w:lineRule="atLeast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djustRightInd w:val="0"/>
              <w:snapToGrid w:val="0"/>
              <w:spacing w:line="28" w:lineRule="atLeast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SMX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28" w:lineRule="atLeast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Sulfamethoxazole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djustRightInd w:val="0"/>
              <w:snapToGrid w:val="0"/>
              <w:spacing w:line="28" w:lineRule="atLeast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C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:vertAlign w:val="subscript"/>
                <w14:textFill>
                  <w14:solidFill>
                    <w14:schemeClr w14:val="tx1"/>
                  </w14:solidFill>
                </w14:textFill>
              </w:rPr>
              <w:t>10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H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:vertAlign w:val="subscript"/>
                <w14:textFill>
                  <w14:solidFill>
                    <w14:schemeClr w14:val="tx1"/>
                  </w14:solidFill>
                </w14:textFill>
              </w:rPr>
              <w:t>11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N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:vertAlign w:val="subscript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O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:vertAlign w:val="subscript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28" w:lineRule="atLeast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253.28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djustRightInd w:val="0"/>
              <w:snapToGrid w:val="0"/>
              <w:spacing w:line="28" w:lineRule="atLeast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723-46-6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28" w:lineRule="atLeast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1.9/5.7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28" w:lineRule="atLeast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0.89 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d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djustRightInd w:val="0"/>
              <w:snapToGrid w:val="0"/>
              <w:spacing w:line="28" w:lineRule="atLeast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djustRightInd w:val="0"/>
              <w:snapToGrid w:val="0"/>
              <w:spacing w:line="28" w:lineRule="atLeast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S</w:t>
            </w:r>
            <w:r>
              <w:rPr>
                <w:rFonts w:hint="eastAsia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PD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28" w:lineRule="atLeast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Sulfapyridine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djustRightInd w:val="0"/>
              <w:snapToGrid w:val="0"/>
              <w:spacing w:line="28" w:lineRule="atLeast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C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:vertAlign w:val="subscript"/>
                <w14:textFill>
                  <w14:solidFill>
                    <w14:schemeClr w14:val="tx1"/>
                  </w14:solidFill>
                </w14:textFill>
              </w:rPr>
              <w:t>11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H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:vertAlign w:val="subscript"/>
                <w14:textFill>
                  <w14:solidFill>
                    <w14:schemeClr w14:val="tx1"/>
                  </w14:solidFill>
                </w14:textFill>
              </w:rPr>
              <w:t>11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N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:vertAlign w:val="subscript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O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:vertAlign w:val="subscript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28" w:lineRule="atLeast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249.29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djustRightInd w:val="0"/>
              <w:snapToGrid w:val="0"/>
              <w:spacing w:line="28" w:lineRule="atLeast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144-83-2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28" w:lineRule="atLeast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8.4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28" w:lineRule="atLeast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0.35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djustRightInd w:val="0"/>
              <w:snapToGrid w:val="0"/>
              <w:spacing w:line="28" w:lineRule="atLeast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djustRightInd w:val="0"/>
              <w:snapToGrid w:val="0"/>
              <w:spacing w:line="28" w:lineRule="atLeast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T</w:t>
            </w:r>
            <w:r>
              <w:rPr>
                <w:rFonts w:hint="eastAsia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MP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28" w:lineRule="atLeast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Trimethoprim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djustRightInd w:val="0"/>
              <w:snapToGrid w:val="0"/>
              <w:spacing w:line="28" w:lineRule="atLeast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C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:vertAlign w:val="subscript"/>
                <w14:textFill>
                  <w14:solidFill>
                    <w14:schemeClr w14:val="tx1"/>
                  </w14:solidFill>
                </w14:textFill>
              </w:rPr>
              <w:t>14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H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:vertAlign w:val="subscript"/>
                <w14:textFill>
                  <w14:solidFill>
                    <w14:schemeClr w14:val="tx1"/>
                  </w14:solidFill>
                </w14:textFill>
              </w:rPr>
              <w:t>18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N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:vertAlign w:val="subscript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O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:vertAlign w:val="subscript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8" w:lineRule="atLeast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szCs w:val="21"/>
                <w:shd w:val="clear" w:color="auto" w:fill="FFFFFF"/>
              </w:rPr>
              <w:t>290.32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djustRightInd w:val="0"/>
              <w:snapToGrid w:val="0"/>
              <w:spacing w:line="28" w:lineRule="atLeast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738-70-5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8" w:lineRule="atLeast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szCs w:val="21"/>
                <w:shd w:val="clear" w:color="auto" w:fill="FFFFFF"/>
              </w:rPr>
              <w:t>7.1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8" w:lineRule="atLeast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0.91 </w:t>
            </w:r>
            <w:r>
              <w:rPr>
                <w:rFonts w:ascii="Times New Roman" w:hAnsi="Times New Roman" w:eastAsia="宋体" w:cs="Times New Roman"/>
                <w:color w:val="333333"/>
                <w:szCs w:val="21"/>
                <w:shd w:val="clear" w:color="auto" w:fill="FFFFFF"/>
                <w:vertAlign w:val="superscript"/>
              </w:rPr>
              <w:t>d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djustRightInd w:val="0"/>
              <w:snapToGrid w:val="0"/>
              <w:spacing w:line="28" w:lineRule="atLeast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djustRightInd w:val="0"/>
              <w:snapToGrid w:val="0"/>
              <w:spacing w:line="28" w:lineRule="atLeast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ST</w:t>
            </w:r>
            <w:r>
              <w:rPr>
                <w:rFonts w:hint="eastAsia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28" w:lineRule="atLeast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Sulfathiazole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djustRightInd w:val="0"/>
              <w:snapToGrid w:val="0"/>
              <w:spacing w:line="28" w:lineRule="atLeast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C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:vertAlign w:val="subscript"/>
                <w14:textFill>
                  <w14:solidFill>
                    <w14:schemeClr w14:val="tx1"/>
                  </w14:solidFill>
                </w14:textFill>
              </w:rPr>
              <w:t>9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H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:vertAlign w:val="subscript"/>
                <w14:textFill>
                  <w14:solidFill>
                    <w14:schemeClr w14:val="tx1"/>
                  </w14:solidFill>
                </w14:textFill>
              </w:rPr>
              <w:t>9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N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:vertAlign w:val="subscript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O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:vertAlign w:val="subscript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S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:vertAlign w:val="subscript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8" w:lineRule="atLeast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szCs w:val="21"/>
                <w:shd w:val="clear" w:color="auto" w:fill="FFFFFF"/>
              </w:rPr>
              <w:t>255.32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djustRightInd w:val="0"/>
              <w:snapToGrid w:val="0"/>
              <w:spacing w:line="28" w:lineRule="atLeast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72-14-0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8" w:lineRule="atLeast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szCs w:val="21"/>
                <w:shd w:val="clear" w:color="auto" w:fill="FFFFFF"/>
              </w:rPr>
              <w:t>2.2/7.24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8" w:lineRule="atLeast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0.05 </w:t>
            </w:r>
            <w:r>
              <w:rPr>
                <w:rFonts w:ascii="Times New Roman" w:hAnsi="Times New Roman" w:eastAsia="宋体" w:cs="Times New Roman"/>
                <w:color w:val="333333"/>
                <w:szCs w:val="21"/>
                <w:shd w:val="clear" w:color="auto" w:fill="FFFFFF"/>
                <w:vertAlign w:val="superscript"/>
              </w:rPr>
              <w:t>d</w:t>
            </w:r>
          </w:p>
        </w:tc>
      </w:tr>
      <w:tr>
        <w:trPr>
          <w:trHeight w:val="288" w:hRule="atLeast"/>
          <w:jc w:val="center"/>
        </w:trPr>
        <w:tc>
          <w:tcPr>
            <w:tcW w:w="0" w:type="auto"/>
            <w:tcBorders>
              <w:top w:val="nil"/>
            </w:tcBorders>
          </w:tcPr>
          <w:p>
            <w:pPr>
              <w:adjustRightInd w:val="0"/>
              <w:snapToGrid w:val="0"/>
              <w:spacing w:line="28" w:lineRule="atLeast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QNs</w:t>
            </w:r>
          </w:p>
        </w:tc>
        <w:tc>
          <w:tcPr>
            <w:tcW w:w="0" w:type="auto"/>
            <w:tcBorders>
              <w:top w:val="nil"/>
            </w:tcBorders>
          </w:tcPr>
          <w:p>
            <w:pPr>
              <w:adjustRightInd w:val="0"/>
              <w:snapToGrid w:val="0"/>
              <w:spacing w:line="28" w:lineRule="atLeast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OFX</w:t>
            </w:r>
          </w:p>
        </w:tc>
        <w:tc>
          <w:tcPr>
            <w:tcW w:w="0" w:type="auto"/>
            <w:tcBorders>
              <w:top w:val="nil"/>
            </w:tcBorders>
            <w:vAlign w:val="center"/>
          </w:tcPr>
          <w:p>
            <w:pPr>
              <w:adjustRightInd w:val="0"/>
              <w:snapToGrid w:val="0"/>
              <w:spacing w:line="28" w:lineRule="atLeast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Ofloxacin</w:t>
            </w:r>
          </w:p>
        </w:tc>
        <w:tc>
          <w:tcPr>
            <w:tcW w:w="0" w:type="auto"/>
            <w:tcBorders>
              <w:top w:val="nil"/>
            </w:tcBorders>
          </w:tcPr>
          <w:p>
            <w:pPr>
              <w:adjustRightInd w:val="0"/>
              <w:snapToGrid w:val="0"/>
              <w:spacing w:line="28" w:lineRule="atLeast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C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:vertAlign w:val="subscript"/>
                <w14:textFill>
                  <w14:solidFill>
                    <w14:schemeClr w14:val="tx1"/>
                  </w14:solidFill>
                </w14:textFill>
              </w:rPr>
              <w:t>18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H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:vertAlign w:val="subscript"/>
                <w14:textFill>
                  <w14:solidFill>
                    <w14:schemeClr w14:val="tx1"/>
                  </w14:solidFill>
                </w14:textFill>
              </w:rPr>
              <w:t>20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FN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:vertAlign w:val="subscript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O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:vertAlign w:val="subscript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0" w:type="auto"/>
            <w:tcBorders>
              <w:top w:val="nil"/>
            </w:tcBorders>
          </w:tcPr>
          <w:p>
            <w:pPr>
              <w:adjustRightInd w:val="0"/>
              <w:snapToGrid w:val="0"/>
              <w:spacing w:line="28" w:lineRule="atLeast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361.37</w:t>
            </w:r>
          </w:p>
        </w:tc>
        <w:tc>
          <w:tcPr>
            <w:tcW w:w="0" w:type="auto"/>
            <w:tcBorders>
              <w:top w:val="nil"/>
            </w:tcBorders>
          </w:tcPr>
          <w:p>
            <w:pPr>
              <w:adjustRightInd w:val="0"/>
              <w:snapToGrid w:val="0"/>
              <w:spacing w:line="28" w:lineRule="atLeast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82419-36-1</w:t>
            </w:r>
          </w:p>
        </w:tc>
        <w:tc>
          <w:tcPr>
            <w:tcW w:w="0" w:type="auto"/>
            <w:tcBorders>
              <w:top w:val="nil"/>
            </w:tcBorders>
          </w:tcPr>
          <w:p>
            <w:pPr>
              <w:adjustRightInd w:val="0"/>
              <w:snapToGrid w:val="0"/>
              <w:spacing w:line="28" w:lineRule="atLeast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8.28</w:t>
            </w:r>
          </w:p>
        </w:tc>
        <w:tc>
          <w:tcPr>
            <w:tcW w:w="0" w:type="auto"/>
            <w:tcBorders>
              <w:top w:val="nil"/>
            </w:tcBorders>
          </w:tcPr>
          <w:p>
            <w:pPr>
              <w:adjustRightInd w:val="0"/>
              <w:snapToGrid w:val="0"/>
              <w:spacing w:line="28" w:lineRule="atLeast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0.36 </w:t>
            </w:r>
            <w:r>
              <w:rPr>
                <w:rFonts w:ascii="Times New Roman" w:hAnsi="Times New Roman" w:eastAsia="宋体" w:cs="Times New Roman"/>
                <w:color w:val="333333"/>
                <w:szCs w:val="21"/>
                <w:shd w:val="clear" w:color="auto" w:fill="FFFFFF"/>
                <w:vertAlign w:val="superscript"/>
              </w:rPr>
              <w:t>d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</w:tcPr>
          <w:p>
            <w:pPr>
              <w:adjustRightInd w:val="0"/>
              <w:snapToGrid w:val="0"/>
              <w:spacing w:line="28" w:lineRule="atLeast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</w:tcPr>
          <w:p>
            <w:pPr>
              <w:adjustRightInd w:val="0"/>
              <w:snapToGrid w:val="0"/>
              <w:spacing w:line="28" w:lineRule="atLeast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ENX</w:t>
            </w:r>
          </w:p>
        </w:tc>
        <w:tc>
          <w:tcPr>
            <w:tcW w:w="0" w:type="auto"/>
            <w:vAlign w:val="center"/>
          </w:tcPr>
          <w:p>
            <w:pPr>
              <w:adjustRightInd w:val="0"/>
              <w:snapToGrid w:val="0"/>
              <w:spacing w:line="28" w:lineRule="atLeast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Enoxacin</w:t>
            </w:r>
          </w:p>
        </w:tc>
        <w:tc>
          <w:tcPr>
            <w:tcW w:w="0" w:type="auto"/>
          </w:tcPr>
          <w:p>
            <w:pPr>
              <w:adjustRightInd w:val="0"/>
              <w:snapToGrid w:val="0"/>
              <w:spacing w:line="28" w:lineRule="atLeast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C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:vertAlign w:val="subscript"/>
                <w14:textFill>
                  <w14:solidFill>
                    <w14:schemeClr w14:val="tx1"/>
                  </w14:solidFill>
                </w14:textFill>
              </w:rPr>
              <w:t>15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H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:vertAlign w:val="subscript"/>
                <w14:textFill>
                  <w14:solidFill>
                    <w14:schemeClr w14:val="tx1"/>
                  </w14:solidFill>
                </w14:textFill>
              </w:rPr>
              <w:t>17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FN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:vertAlign w:val="subscript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O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:vertAlign w:val="subscript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0" w:type="auto"/>
          </w:tcPr>
          <w:p>
            <w:pPr>
              <w:adjustRightInd w:val="0"/>
              <w:snapToGrid w:val="0"/>
              <w:spacing w:line="28" w:lineRule="atLeast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320.32</w:t>
            </w:r>
          </w:p>
        </w:tc>
        <w:tc>
          <w:tcPr>
            <w:tcW w:w="0" w:type="auto"/>
          </w:tcPr>
          <w:p>
            <w:pPr>
              <w:adjustRightInd w:val="0"/>
              <w:snapToGrid w:val="0"/>
              <w:spacing w:line="28" w:lineRule="atLeast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74011-58-8</w:t>
            </w:r>
          </w:p>
        </w:tc>
        <w:tc>
          <w:tcPr>
            <w:tcW w:w="0" w:type="auto"/>
          </w:tcPr>
          <w:p>
            <w:pPr>
              <w:adjustRightInd w:val="0"/>
              <w:snapToGrid w:val="0"/>
              <w:spacing w:line="28" w:lineRule="atLeast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NA</w:t>
            </w:r>
          </w:p>
        </w:tc>
        <w:tc>
          <w:tcPr>
            <w:tcW w:w="0" w:type="auto"/>
          </w:tcPr>
          <w:p>
            <w:pPr>
              <w:adjustRightInd w:val="0"/>
              <w:snapToGrid w:val="0"/>
              <w:spacing w:line="28" w:lineRule="atLeast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NA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</w:tcPr>
          <w:p>
            <w:pPr>
              <w:adjustRightInd w:val="0"/>
              <w:snapToGrid w:val="0"/>
              <w:spacing w:line="28" w:lineRule="atLeast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</w:tcPr>
          <w:p>
            <w:pPr>
              <w:adjustRightInd w:val="0"/>
              <w:snapToGrid w:val="0"/>
              <w:spacing w:line="28" w:lineRule="atLeast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NOR</w:t>
            </w:r>
          </w:p>
        </w:tc>
        <w:tc>
          <w:tcPr>
            <w:tcW w:w="0" w:type="auto"/>
            <w:vAlign w:val="center"/>
          </w:tcPr>
          <w:p>
            <w:pPr>
              <w:adjustRightInd w:val="0"/>
              <w:snapToGrid w:val="0"/>
              <w:spacing w:line="28" w:lineRule="atLeast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Norfloxacin</w:t>
            </w:r>
          </w:p>
        </w:tc>
        <w:tc>
          <w:tcPr>
            <w:tcW w:w="0" w:type="auto"/>
          </w:tcPr>
          <w:p>
            <w:pPr>
              <w:adjustRightInd w:val="0"/>
              <w:snapToGrid w:val="0"/>
              <w:spacing w:line="28" w:lineRule="atLeast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C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:vertAlign w:val="subscript"/>
                <w14:textFill>
                  <w14:solidFill>
                    <w14:schemeClr w14:val="tx1"/>
                  </w14:solidFill>
                </w14:textFill>
              </w:rPr>
              <w:t>16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H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:vertAlign w:val="subscript"/>
                <w14:textFill>
                  <w14:solidFill>
                    <w14:schemeClr w14:val="tx1"/>
                  </w14:solidFill>
                </w14:textFill>
              </w:rPr>
              <w:t>18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FN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:vertAlign w:val="subscript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O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:vertAlign w:val="subscript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0" w:type="auto"/>
          </w:tcPr>
          <w:p>
            <w:pPr>
              <w:adjustRightInd w:val="0"/>
              <w:snapToGrid w:val="0"/>
              <w:spacing w:line="28" w:lineRule="atLeast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319.24</w:t>
            </w:r>
          </w:p>
        </w:tc>
        <w:tc>
          <w:tcPr>
            <w:tcW w:w="0" w:type="auto"/>
          </w:tcPr>
          <w:p>
            <w:pPr>
              <w:adjustRightInd w:val="0"/>
              <w:snapToGrid w:val="0"/>
              <w:spacing w:line="28" w:lineRule="atLeast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70458-96-7</w:t>
            </w:r>
          </w:p>
        </w:tc>
        <w:tc>
          <w:tcPr>
            <w:tcW w:w="0" w:type="auto"/>
          </w:tcPr>
          <w:p>
            <w:pPr>
              <w:adjustRightInd w:val="0"/>
              <w:snapToGrid w:val="0"/>
              <w:spacing w:line="28" w:lineRule="atLeast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8.6</w:t>
            </w:r>
          </w:p>
        </w:tc>
        <w:tc>
          <w:tcPr>
            <w:tcW w:w="0" w:type="auto"/>
          </w:tcPr>
          <w:p>
            <w:pPr>
              <w:adjustRightInd w:val="0"/>
              <w:snapToGrid w:val="0"/>
              <w:spacing w:line="28" w:lineRule="atLeast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-1.03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</w:tcPr>
          <w:p>
            <w:pPr>
              <w:adjustRightInd w:val="0"/>
              <w:snapToGrid w:val="0"/>
              <w:spacing w:line="28" w:lineRule="atLeast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</w:tcPr>
          <w:p>
            <w:pPr>
              <w:adjustRightInd w:val="0"/>
              <w:snapToGrid w:val="0"/>
              <w:spacing w:line="28" w:lineRule="atLeast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CIP</w:t>
            </w:r>
          </w:p>
        </w:tc>
        <w:tc>
          <w:tcPr>
            <w:tcW w:w="0" w:type="auto"/>
            <w:vAlign w:val="center"/>
          </w:tcPr>
          <w:p>
            <w:pPr>
              <w:adjustRightInd w:val="0"/>
              <w:snapToGrid w:val="0"/>
              <w:spacing w:line="28" w:lineRule="atLeast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Ciprofloxacin</w:t>
            </w:r>
          </w:p>
        </w:tc>
        <w:tc>
          <w:tcPr>
            <w:tcW w:w="0" w:type="auto"/>
          </w:tcPr>
          <w:p>
            <w:pPr>
              <w:adjustRightInd w:val="0"/>
              <w:snapToGrid w:val="0"/>
              <w:spacing w:line="28" w:lineRule="atLeast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C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:vertAlign w:val="subscript"/>
                <w14:textFill>
                  <w14:solidFill>
                    <w14:schemeClr w14:val="tx1"/>
                  </w14:solidFill>
                </w14:textFill>
              </w:rPr>
              <w:t>17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H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:vertAlign w:val="subscript"/>
                <w14:textFill>
                  <w14:solidFill>
                    <w14:schemeClr w14:val="tx1"/>
                  </w14:solidFill>
                </w14:textFill>
              </w:rPr>
              <w:t>18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FN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:vertAlign w:val="subscript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O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:vertAlign w:val="subscript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0" w:type="auto"/>
          </w:tcPr>
          <w:p>
            <w:pPr>
              <w:adjustRightInd w:val="0"/>
              <w:snapToGrid w:val="0"/>
              <w:spacing w:line="28" w:lineRule="atLeast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331.34</w:t>
            </w:r>
          </w:p>
        </w:tc>
        <w:tc>
          <w:tcPr>
            <w:tcW w:w="0" w:type="auto"/>
          </w:tcPr>
          <w:p>
            <w:pPr>
              <w:adjustRightInd w:val="0"/>
              <w:snapToGrid w:val="0"/>
              <w:spacing w:line="28" w:lineRule="atLeast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85721-33-1</w:t>
            </w:r>
          </w:p>
        </w:tc>
        <w:tc>
          <w:tcPr>
            <w:tcW w:w="0" w:type="auto"/>
          </w:tcPr>
          <w:p>
            <w:pPr>
              <w:adjustRightInd w:val="0"/>
              <w:snapToGrid w:val="0"/>
              <w:spacing w:line="28" w:lineRule="atLeast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5.8/8.6</w:t>
            </w:r>
          </w:p>
        </w:tc>
        <w:tc>
          <w:tcPr>
            <w:tcW w:w="0" w:type="auto"/>
          </w:tcPr>
          <w:p>
            <w:pPr>
              <w:adjustRightInd w:val="0"/>
              <w:snapToGrid w:val="0"/>
              <w:spacing w:line="28" w:lineRule="atLeast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0.28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</w:tcPr>
          <w:p>
            <w:pPr>
              <w:adjustRightInd w:val="0"/>
              <w:snapToGrid w:val="0"/>
              <w:spacing w:line="28" w:lineRule="atLeast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</w:tcPr>
          <w:p>
            <w:pPr>
              <w:adjustRightInd w:val="0"/>
              <w:snapToGrid w:val="0"/>
              <w:spacing w:line="28" w:lineRule="atLeast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FLU</w:t>
            </w:r>
          </w:p>
        </w:tc>
        <w:tc>
          <w:tcPr>
            <w:tcW w:w="0" w:type="auto"/>
            <w:vAlign w:val="center"/>
          </w:tcPr>
          <w:p>
            <w:pPr>
              <w:adjustRightInd w:val="0"/>
              <w:snapToGrid w:val="0"/>
              <w:spacing w:line="28" w:lineRule="atLeast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FlumeQuine</w:t>
            </w:r>
          </w:p>
        </w:tc>
        <w:tc>
          <w:tcPr>
            <w:tcW w:w="0" w:type="auto"/>
          </w:tcPr>
          <w:p>
            <w:pPr>
              <w:adjustRightInd w:val="0"/>
              <w:snapToGrid w:val="0"/>
              <w:spacing w:line="28" w:lineRule="atLeast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C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:vertAlign w:val="subscript"/>
                <w14:textFill>
                  <w14:solidFill>
                    <w14:schemeClr w14:val="tx1"/>
                  </w14:solidFill>
                </w14:textFill>
              </w:rPr>
              <w:t>14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H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:vertAlign w:val="subscript"/>
                <w14:textFill>
                  <w14:solidFill>
                    <w14:schemeClr w14:val="tx1"/>
                  </w14:solidFill>
                </w14:textFill>
              </w:rPr>
              <w:t>12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FNO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:vertAlign w:val="subscript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0" w:type="auto"/>
          </w:tcPr>
          <w:p>
            <w:pPr>
              <w:adjustRightInd w:val="0"/>
              <w:snapToGrid w:val="0"/>
              <w:spacing w:line="28" w:lineRule="atLeast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261.25</w:t>
            </w:r>
          </w:p>
        </w:tc>
        <w:tc>
          <w:tcPr>
            <w:tcW w:w="0" w:type="auto"/>
          </w:tcPr>
          <w:p>
            <w:pPr>
              <w:adjustRightInd w:val="0"/>
              <w:snapToGrid w:val="0"/>
              <w:spacing w:line="28" w:lineRule="atLeast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42835-25-6</w:t>
            </w:r>
          </w:p>
        </w:tc>
        <w:tc>
          <w:tcPr>
            <w:tcW w:w="0" w:type="auto"/>
          </w:tcPr>
          <w:p>
            <w:pPr>
              <w:adjustRightInd w:val="0"/>
              <w:snapToGrid w:val="0"/>
              <w:spacing w:line="28" w:lineRule="atLeast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NA</w:t>
            </w:r>
          </w:p>
        </w:tc>
        <w:tc>
          <w:tcPr>
            <w:tcW w:w="0" w:type="auto"/>
          </w:tcPr>
          <w:p>
            <w:pPr>
              <w:adjustRightInd w:val="0"/>
              <w:snapToGrid w:val="0"/>
              <w:spacing w:line="28" w:lineRule="atLeast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NA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</w:tcPr>
          <w:p>
            <w:pPr>
              <w:adjustRightInd w:val="0"/>
              <w:snapToGrid w:val="0"/>
              <w:spacing w:line="28" w:lineRule="atLeast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</w:tcPr>
          <w:p>
            <w:pPr>
              <w:adjustRightInd w:val="0"/>
              <w:snapToGrid w:val="0"/>
              <w:spacing w:line="28" w:lineRule="atLeast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DIF</w:t>
            </w:r>
          </w:p>
        </w:tc>
        <w:tc>
          <w:tcPr>
            <w:tcW w:w="0" w:type="auto"/>
            <w:vAlign w:val="center"/>
          </w:tcPr>
          <w:p>
            <w:pPr>
              <w:adjustRightInd w:val="0"/>
              <w:snapToGrid w:val="0"/>
              <w:spacing w:line="28" w:lineRule="atLeast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Difloxacin</w:t>
            </w:r>
          </w:p>
        </w:tc>
        <w:tc>
          <w:tcPr>
            <w:tcW w:w="0" w:type="auto"/>
          </w:tcPr>
          <w:p>
            <w:pPr>
              <w:adjustRightInd w:val="0"/>
              <w:snapToGrid w:val="0"/>
              <w:spacing w:line="28" w:lineRule="atLeast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C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:vertAlign w:val="subscript"/>
                <w14:textFill>
                  <w14:solidFill>
                    <w14:schemeClr w14:val="tx1"/>
                  </w14:solidFill>
                </w14:textFill>
              </w:rPr>
              <w:t>21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H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:vertAlign w:val="subscript"/>
                <w14:textFill>
                  <w14:solidFill>
                    <w14:schemeClr w14:val="tx1"/>
                  </w14:solidFill>
                </w14:textFill>
              </w:rPr>
              <w:t>19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F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:vertAlign w:val="subscript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N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:vertAlign w:val="subscript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O3</w:t>
            </w:r>
          </w:p>
        </w:tc>
        <w:tc>
          <w:tcPr>
            <w:tcW w:w="0" w:type="auto"/>
          </w:tcPr>
          <w:p>
            <w:pPr>
              <w:adjustRightInd w:val="0"/>
              <w:snapToGrid w:val="0"/>
              <w:spacing w:line="28" w:lineRule="atLeast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399.39</w:t>
            </w:r>
          </w:p>
        </w:tc>
        <w:tc>
          <w:tcPr>
            <w:tcW w:w="0" w:type="auto"/>
          </w:tcPr>
          <w:p>
            <w:pPr>
              <w:adjustRightInd w:val="0"/>
              <w:snapToGrid w:val="0"/>
              <w:spacing w:line="28" w:lineRule="atLeast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98106-17-3</w:t>
            </w:r>
          </w:p>
        </w:tc>
        <w:tc>
          <w:tcPr>
            <w:tcW w:w="0" w:type="auto"/>
          </w:tcPr>
          <w:p>
            <w:pPr>
              <w:adjustRightInd w:val="0"/>
              <w:snapToGrid w:val="0"/>
              <w:spacing w:line="28" w:lineRule="atLeast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NA</w:t>
            </w:r>
          </w:p>
        </w:tc>
        <w:tc>
          <w:tcPr>
            <w:tcW w:w="0" w:type="auto"/>
          </w:tcPr>
          <w:p>
            <w:pPr>
              <w:adjustRightInd w:val="0"/>
              <w:snapToGrid w:val="0"/>
              <w:spacing w:line="28" w:lineRule="atLeast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NA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</w:tcPr>
          <w:p>
            <w:pPr>
              <w:adjustRightInd w:val="0"/>
              <w:snapToGrid w:val="0"/>
              <w:spacing w:line="28" w:lineRule="atLeast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</w:tcPr>
          <w:p>
            <w:pPr>
              <w:adjustRightInd w:val="0"/>
              <w:snapToGrid w:val="0"/>
              <w:spacing w:line="28" w:lineRule="atLeast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OXO</w:t>
            </w:r>
          </w:p>
        </w:tc>
        <w:tc>
          <w:tcPr>
            <w:tcW w:w="0" w:type="auto"/>
            <w:vAlign w:val="center"/>
          </w:tcPr>
          <w:p>
            <w:pPr>
              <w:adjustRightInd w:val="0"/>
              <w:snapToGrid w:val="0"/>
              <w:spacing w:line="28" w:lineRule="atLeast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Oxolinic Acid</w:t>
            </w:r>
          </w:p>
        </w:tc>
        <w:tc>
          <w:tcPr>
            <w:tcW w:w="0" w:type="auto"/>
          </w:tcPr>
          <w:p>
            <w:pPr>
              <w:adjustRightInd w:val="0"/>
              <w:snapToGrid w:val="0"/>
              <w:spacing w:line="28" w:lineRule="atLeast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C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:vertAlign w:val="subscript"/>
                <w14:textFill>
                  <w14:solidFill>
                    <w14:schemeClr w14:val="tx1"/>
                  </w14:solidFill>
                </w14:textFill>
              </w:rPr>
              <w:t>13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H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:vertAlign w:val="subscript"/>
                <w14:textFill>
                  <w14:solidFill>
                    <w14:schemeClr w14:val="tx1"/>
                  </w14:solidFill>
                </w14:textFill>
              </w:rPr>
              <w:t>11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NO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:vertAlign w:val="subscript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0" w:type="auto"/>
          </w:tcPr>
          <w:p>
            <w:pPr>
              <w:adjustRightInd w:val="0"/>
              <w:snapToGrid w:val="0"/>
              <w:spacing w:line="28" w:lineRule="atLeast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261.23</w:t>
            </w:r>
          </w:p>
        </w:tc>
        <w:tc>
          <w:tcPr>
            <w:tcW w:w="0" w:type="auto"/>
          </w:tcPr>
          <w:p>
            <w:pPr>
              <w:adjustRightInd w:val="0"/>
              <w:snapToGrid w:val="0"/>
              <w:spacing w:line="28" w:lineRule="atLeast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14698-29-4</w:t>
            </w:r>
          </w:p>
        </w:tc>
        <w:tc>
          <w:tcPr>
            <w:tcW w:w="0" w:type="auto"/>
          </w:tcPr>
          <w:p>
            <w:pPr>
              <w:adjustRightInd w:val="0"/>
              <w:snapToGrid w:val="0"/>
              <w:spacing w:line="28" w:lineRule="atLeast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NA</w:t>
            </w:r>
          </w:p>
        </w:tc>
        <w:tc>
          <w:tcPr>
            <w:tcW w:w="0" w:type="auto"/>
          </w:tcPr>
          <w:p>
            <w:pPr>
              <w:adjustRightInd w:val="0"/>
              <w:snapToGrid w:val="0"/>
              <w:spacing w:line="28" w:lineRule="atLeast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NA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</w:tcPr>
          <w:p>
            <w:pPr>
              <w:adjustRightInd w:val="0"/>
              <w:snapToGrid w:val="0"/>
              <w:spacing w:line="28" w:lineRule="atLeast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MAs</w:t>
            </w:r>
          </w:p>
        </w:tc>
        <w:tc>
          <w:tcPr>
            <w:tcW w:w="0" w:type="auto"/>
          </w:tcPr>
          <w:p>
            <w:pPr>
              <w:adjustRightInd w:val="0"/>
              <w:snapToGrid w:val="0"/>
              <w:spacing w:line="28" w:lineRule="atLeast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TYL</w:t>
            </w:r>
          </w:p>
        </w:tc>
        <w:tc>
          <w:tcPr>
            <w:tcW w:w="0" w:type="auto"/>
            <w:vAlign w:val="center"/>
          </w:tcPr>
          <w:p>
            <w:pPr>
              <w:adjustRightInd w:val="0"/>
              <w:snapToGrid w:val="0"/>
              <w:spacing w:line="28" w:lineRule="atLeast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Tylosin</w:t>
            </w:r>
          </w:p>
        </w:tc>
        <w:tc>
          <w:tcPr>
            <w:tcW w:w="0" w:type="auto"/>
          </w:tcPr>
          <w:p>
            <w:pPr>
              <w:adjustRightInd w:val="0"/>
              <w:snapToGrid w:val="0"/>
              <w:spacing w:line="28" w:lineRule="atLeast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C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:vertAlign w:val="subscript"/>
                <w14:textFill>
                  <w14:solidFill>
                    <w14:schemeClr w14:val="tx1"/>
                  </w14:solidFill>
                </w14:textFill>
              </w:rPr>
              <w:t>46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H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:vertAlign w:val="subscript"/>
                <w14:textFill>
                  <w14:solidFill>
                    <w14:schemeClr w14:val="tx1"/>
                  </w14:solidFill>
                </w14:textFill>
              </w:rPr>
              <w:t>77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NO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:vertAlign w:val="subscript"/>
                <w14:textFill>
                  <w14:solidFill>
                    <w14:schemeClr w14:val="tx1"/>
                  </w14:solidFill>
                </w14:textFill>
              </w:rPr>
              <w:t>17</w:t>
            </w:r>
          </w:p>
        </w:tc>
        <w:tc>
          <w:tcPr>
            <w:tcW w:w="0" w:type="auto"/>
          </w:tcPr>
          <w:p>
            <w:pPr>
              <w:adjustRightInd w:val="0"/>
              <w:snapToGrid w:val="0"/>
              <w:spacing w:line="28" w:lineRule="atLeast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916.10</w:t>
            </w:r>
          </w:p>
        </w:tc>
        <w:tc>
          <w:tcPr>
            <w:tcW w:w="0" w:type="auto"/>
          </w:tcPr>
          <w:p>
            <w:pPr>
              <w:adjustRightInd w:val="0"/>
              <w:snapToGrid w:val="0"/>
              <w:spacing w:line="28" w:lineRule="atLeast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1401-69-0</w:t>
            </w:r>
          </w:p>
        </w:tc>
        <w:tc>
          <w:tcPr>
            <w:tcW w:w="0" w:type="auto"/>
          </w:tcPr>
          <w:p>
            <w:pPr>
              <w:adjustRightInd w:val="0"/>
              <w:snapToGrid w:val="0"/>
              <w:spacing w:line="28" w:lineRule="atLeast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7.73</w:t>
            </w:r>
          </w:p>
        </w:tc>
        <w:tc>
          <w:tcPr>
            <w:tcW w:w="0" w:type="auto"/>
          </w:tcPr>
          <w:p>
            <w:pPr>
              <w:adjustRightInd w:val="0"/>
              <w:snapToGrid w:val="0"/>
              <w:spacing w:line="28" w:lineRule="atLeast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1.63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</w:tcPr>
          <w:p>
            <w:pPr>
              <w:adjustRightInd w:val="0"/>
              <w:snapToGrid w:val="0"/>
              <w:spacing w:line="28" w:lineRule="atLeast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</w:tcPr>
          <w:p>
            <w:pPr>
              <w:adjustRightInd w:val="0"/>
              <w:snapToGrid w:val="0"/>
              <w:spacing w:line="28" w:lineRule="atLeast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SPI</w:t>
            </w:r>
          </w:p>
        </w:tc>
        <w:tc>
          <w:tcPr>
            <w:tcW w:w="0" w:type="auto"/>
            <w:vAlign w:val="center"/>
          </w:tcPr>
          <w:p>
            <w:pPr>
              <w:adjustRightInd w:val="0"/>
              <w:snapToGrid w:val="0"/>
              <w:spacing w:line="28" w:lineRule="atLeast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Spiramycin</w:t>
            </w:r>
          </w:p>
        </w:tc>
        <w:tc>
          <w:tcPr>
            <w:tcW w:w="0" w:type="auto"/>
          </w:tcPr>
          <w:p>
            <w:pPr>
              <w:adjustRightInd w:val="0"/>
              <w:snapToGrid w:val="0"/>
              <w:spacing w:line="28" w:lineRule="atLeast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C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:vertAlign w:val="subscript"/>
                <w14:textFill>
                  <w14:solidFill>
                    <w14:schemeClr w14:val="tx1"/>
                  </w14:solidFill>
                </w14:textFill>
              </w:rPr>
              <w:t>43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H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:vertAlign w:val="subscript"/>
                <w14:textFill>
                  <w14:solidFill>
                    <w14:schemeClr w14:val="tx1"/>
                  </w14:solidFill>
                </w14:textFill>
              </w:rPr>
              <w:t>74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N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:vertAlign w:val="subscript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O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:vertAlign w:val="subscript"/>
                <w14:textFill>
                  <w14:solidFill>
                    <w14:schemeClr w14:val="tx1"/>
                  </w14:solidFill>
                </w14:textFill>
              </w:rPr>
              <w:t>14</w:t>
            </w:r>
          </w:p>
        </w:tc>
        <w:tc>
          <w:tcPr>
            <w:tcW w:w="0" w:type="auto"/>
          </w:tcPr>
          <w:p>
            <w:pPr>
              <w:adjustRightInd w:val="0"/>
              <w:snapToGrid w:val="0"/>
              <w:spacing w:line="28" w:lineRule="atLeast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843.05</w:t>
            </w:r>
          </w:p>
        </w:tc>
        <w:tc>
          <w:tcPr>
            <w:tcW w:w="0" w:type="auto"/>
          </w:tcPr>
          <w:p>
            <w:pPr>
              <w:adjustRightInd w:val="0"/>
              <w:snapToGrid w:val="0"/>
              <w:spacing w:line="28" w:lineRule="atLeast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8025-81-8</w:t>
            </w:r>
          </w:p>
        </w:tc>
        <w:tc>
          <w:tcPr>
            <w:tcW w:w="0" w:type="auto"/>
          </w:tcPr>
          <w:p>
            <w:pPr>
              <w:adjustRightInd w:val="0"/>
              <w:snapToGrid w:val="0"/>
              <w:spacing w:line="28" w:lineRule="atLeast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NA</w:t>
            </w:r>
          </w:p>
        </w:tc>
        <w:tc>
          <w:tcPr>
            <w:tcW w:w="0" w:type="auto"/>
          </w:tcPr>
          <w:p>
            <w:pPr>
              <w:adjustRightInd w:val="0"/>
              <w:snapToGrid w:val="0"/>
              <w:spacing w:line="28" w:lineRule="atLeast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NA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</w:tcPr>
          <w:p>
            <w:pPr>
              <w:adjustRightInd w:val="0"/>
              <w:snapToGrid w:val="0"/>
              <w:spacing w:line="28" w:lineRule="atLeast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</w:tcPr>
          <w:p>
            <w:pPr>
              <w:adjustRightInd w:val="0"/>
              <w:snapToGrid w:val="0"/>
              <w:spacing w:line="28" w:lineRule="atLeast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O</w:t>
            </w:r>
            <w:r>
              <w:rPr>
                <w:rFonts w:hint="eastAsia"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DM</w:t>
            </w:r>
          </w:p>
        </w:tc>
        <w:tc>
          <w:tcPr>
            <w:tcW w:w="0" w:type="auto"/>
            <w:vAlign w:val="center"/>
          </w:tcPr>
          <w:p>
            <w:pPr>
              <w:adjustRightInd w:val="0"/>
              <w:snapToGrid w:val="0"/>
              <w:spacing w:line="28" w:lineRule="atLeast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Oleandomycin</w:t>
            </w:r>
          </w:p>
        </w:tc>
        <w:tc>
          <w:tcPr>
            <w:tcW w:w="0" w:type="auto"/>
          </w:tcPr>
          <w:p>
            <w:pPr>
              <w:adjustRightInd w:val="0"/>
              <w:snapToGrid w:val="0"/>
              <w:spacing w:line="28" w:lineRule="atLeast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C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:vertAlign w:val="subscript"/>
                <w14:textFill>
                  <w14:solidFill>
                    <w14:schemeClr w14:val="tx1"/>
                  </w14:solidFill>
                </w14:textFill>
              </w:rPr>
              <w:t>41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H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:vertAlign w:val="subscript"/>
                <w14:textFill>
                  <w14:solidFill>
                    <w14:schemeClr w14:val="tx1"/>
                  </w14:solidFill>
                </w14:textFill>
              </w:rPr>
              <w:t>67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NO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:vertAlign w:val="subscript"/>
                <w14:textFill>
                  <w14:solidFill>
                    <w14:schemeClr w14:val="tx1"/>
                  </w14:solidFill>
                </w14:textFill>
              </w:rPr>
              <w:t>15</w:t>
            </w:r>
          </w:p>
        </w:tc>
        <w:tc>
          <w:tcPr>
            <w:tcW w:w="0" w:type="auto"/>
          </w:tcPr>
          <w:p>
            <w:pPr>
              <w:adjustRightInd w:val="0"/>
              <w:snapToGrid w:val="0"/>
              <w:spacing w:line="28" w:lineRule="atLeast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813.9684</w:t>
            </w:r>
          </w:p>
        </w:tc>
        <w:tc>
          <w:tcPr>
            <w:tcW w:w="0" w:type="auto"/>
          </w:tcPr>
          <w:p>
            <w:pPr>
              <w:adjustRightInd w:val="0"/>
              <w:snapToGrid w:val="0"/>
              <w:spacing w:line="28" w:lineRule="atLeast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2751-09-9</w:t>
            </w:r>
          </w:p>
        </w:tc>
        <w:tc>
          <w:tcPr>
            <w:tcW w:w="0" w:type="auto"/>
          </w:tcPr>
          <w:p>
            <w:pPr>
              <w:widowControl/>
              <w:adjustRightInd w:val="0"/>
              <w:snapToGrid w:val="0"/>
              <w:spacing w:line="28" w:lineRule="atLeast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NA</w:t>
            </w:r>
          </w:p>
        </w:tc>
        <w:tc>
          <w:tcPr>
            <w:tcW w:w="0" w:type="auto"/>
          </w:tcPr>
          <w:p>
            <w:pPr>
              <w:widowControl/>
              <w:adjustRightInd w:val="0"/>
              <w:snapToGrid w:val="0"/>
              <w:spacing w:line="28" w:lineRule="atLeast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1.69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bottom w:val="single" w:color="auto" w:sz="12" w:space="0"/>
            </w:tcBorders>
          </w:tcPr>
          <w:p>
            <w:pPr>
              <w:adjustRightInd w:val="0"/>
              <w:snapToGrid w:val="0"/>
              <w:spacing w:line="28" w:lineRule="atLeast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LINs</w:t>
            </w:r>
          </w:p>
        </w:tc>
        <w:tc>
          <w:tcPr>
            <w:tcW w:w="0" w:type="auto"/>
            <w:tcBorders>
              <w:bottom w:val="single" w:color="auto" w:sz="12" w:space="0"/>
            </w:tcBorders>
          </w:tcPr>
          <w:p>
            <w:pPr>
              <w:adjustRightInd w:val="0"/>
              <w:snapToGrid w:val="0"/>
              <w:spacing w:line="28" w:lineRule="atLeast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LIN</w:t>
            </w:r>
          </w:p>
        </w:tc>
        <w:tc>
          <w:tcPr>
            <w:tcW w:w="0" w:type="auto"/>
            <w:tcBorders>
              <w:bottom w:val="single" w:color="auto" w:sz="12" w:space="0"/>
            </w:tcBorders>
            <w:vAlign w:val="center"/>
          </w:tcPr>
          <w:p>
            <w:pPr>
              <w:adjustRightInd w:val="0"/>
              <w:snapToGrid w:val="0"/>
              <w:spacing w:line="28" w:lineRule="atLeast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lincomycin</w:t>
            </w:r>
          </w:p>
        </w:tc>
        <w:tc>
          <w:tcPr>
            <w:tcW w:w="0" w:type="auto"/>
            <w:tcBorders>
              <w:bottom w:val="single" w:color="auto" w:sz="12" w:space="0"/>
            </w:tcBorders>
          </w:tcPr>
          <w:p>
            <w:pPr>
              <w:adjustRightInd w:val="0"/>
              <w:snapToGrid w:val="0"/>
              <w:spacing w:line="28" w:lineRule="atLeast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C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:vertAlign w:val="subscript"/>
                <w14:textFill>
                  <w14:solidFill>
                    <w14:schemeClr w14:val="tx1"/>
                  </w14:solidFill>
                </w14:textFill>
              </w:rPr>
              <w:t>18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H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:vertAlign w:val="subscript"/>
                <w14:textFill>
                  <w14:solidFill>
                    <w14:schemeClr w14:val="tx1"/>
                  </w14:solidFill>
                </w14:textFill>
              </w:rPr>
              <w:t>34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N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:vertAlign w:val="subscript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O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:vertAlign w:val="subscript"/>
                <w14:textFill>
                  <w14:solidFill>
                    <w14:schemeClr w14:val="tx1"/>
                  </w14:solidFill>
                </w14:textFill>
              </w:rPr>
              <w:t>6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S</w:t>
            </w:r>
          </w:p>
        </w:tc>
        <w:tc>
          <w:tcPr>
            <w:tcW w:w="0" w:type="auto"/>
            <w:tcBorders>
              <w:bottom w:val="single" w:color="auto" w:sz="12" w:space="0"/>
            </w:tcBorders>
          </w:tcPr>
          <w:p>
            <w:pPr>
              <w:adjustRightInd w:val="0"/>
              <w:snapToGrid w:val="0"/>
              <w:spacing w:line="28" w:lineRule="atLeast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406.54</w:t>
            </w:r>
          </w:p>
        </w:tc>
        <w:tc>
          <w:tcPr>
            <w:tcW w:w="0" w:type="auto"/>
            <w:tcBorders>
              <w:bottom w:val="single" w:color="auto" w:sz="12" w:space="0"/>
            </w:tcBorders>
          </w:tcPr>
          <w:p>
            <w:pPr>
              <w:adjustRightInd w:val="0"/>
              <w:snapToGrid w:val="0"/>
              <w:spacing w:line="28" w:lineRule="atLeast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154-21-2</w:t>
            </w:r>
          </w:p>
        </w:tc>
        <w:tc>
          <w:tcPr>
            <w:tcW w:w="0" w:type="auto"/>
            <w:tcBorders>
              <w:bottom w:val="single" w:color="auto" w:sz="12" w:space="0"/>
            </w:tcBorders>
          </w:tcPr>
          <w:p>
            <w:pPr>
              <w:adjustRightInd w:val="0"/>
              <w:snapToGrid w:val="0"/>
              <w:spacing w:line="28" w:lineRule="atLeast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7.6</w:t>
            </w:r>
          </w:p>
        </w:tc>
        <w:tc>
          <w:tcPr>
            <w:tcW w:w="0" w:type="auto"/>
            <w:tcBorders>
              <w:bottom w:val="single" w:color="auto" w:sz="12" w:space="0"/>
            </w:tcBorders>
          </w:tcPr>
          <w:p>
            <w:pPr>
              <w:adjustRightInd w:val="0"/>
              <w:snapToGrid w:val="0"/>
              <w:spacing w:line="28" w:lineRule="atLeast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0.56</w:t>
            </w:r>
          </w:p>
        </w:tc>
      </w:tr>
    </w:tbl>
    <w:p>
      <w:pPr>
        <w:pStyle w:val="6"/>
        <w:widowControl/>
        <w:shd w:val="clear" w:color="auto" w:fill="FFFFFF"/>
        <w:spacing w:beforeAutospacing="0" w:afterAutospacing="0"/>
        <w:ind w:firstLine="1680" w:firstLineChars="800"/>
        <w:rPr>
          <w:rFonts w:ascii="Times New Roman" w:hAnsi="Times New Roman" w:eastAsia="等线"/>
          <w:color w:val="000000"/>
          <w:sz w:val="21"/>
          <w:szCs w:val="21"/>
          <w:shd w:val="clear" w:color="auto" w:fill="FFFFFF"/>
        </w:rPr>
      </w:pPr>
      <w:r>
        <w:rPr>
          <w:rFonts w:ascii="Times New Roman" w:hAnsi="Times New Roman" w:eastAsia="等线"/>
          <w:color w:val="000000"/>
          <w:sz w:val="21"/>
          <w:szCs w:val="21"/>
          <w:shd w:val="clear" w:color="auto" w:fill="FFFFFF"/>
        </w:rPr>
        <w:t>Note: Abb.:</w:t>
      </w:r>
      <w:r>
        <w:rPr>
          <w:rFonts w:hint="eastAsia" w:ascii="等线" w:hAnsi="等线" w:eastAsia="等线" w:cs="等线"/>
          <w:color w:val="000000"/>
          <w:sz w:val="21"/>
          <w:szCs w:val="21"/>
          <w:shd w:val="clear" w:color="auto" w:fill="FFFFFF"/>
        </w:rPr>
        <w:t xml:space="preserve"> </w:t>
      </w:r>
      <w:r>
        <w:rPr>
          <w:rFonts w:ascii="Times New Roman" w:hAnsi="Times New Roman" w:eastAsia="等线"/>
          <w:color w:val="000000"/>
          <w:sz w:val="21"/>
          <w:szCs w:val="21"/>
          <w:shd w:val="clear" w:color="auto" w:fill="FFFFFF"/>
        </w:rPr>
        <w:t>abbreviation; NA: no available.</w:t>
      </w:r>
      <w:r>
        <w:rPr>
          <w:rFonts w:ascii="Times New Roman" w:hAnsi="Times New Roman" w:eastAsia="等线"/>
          <w:color w:val="000000"/>
          <w:sz w:val="21"/>
          <w:szCs w:val="21"/>
          <w:shd w:val="clear" w:color="auto" w:fill="FFFFFF"/>
          <w:vertAlign w:val="superscript"/>
        </w:rPr>
        <w:t>d</w:t>
      </w:r>
      <w:r>
        <w:rPr>
          <w:rFonts w:ascii="Times New Roman" w:hAnsi="Times New Roman" w:eastAsia="等线"/>
          <w:color w:val="000000"/>
          <w:sz w:val="21"/>
          <w:szCs w:val="21"/>
          <w:shd w:val="clear" w:color="auto" w:fill="FFFFFF"/>
        </w:rPr>
        <w:t xml:space="preserve"> : experimental data drawn from the EPI database</w:t>
      </w:r>
    </w:p>
    <w:p>
      <w:pPr>
        <w:rPr>
          <w:rFonts w:hint="eastAsia"/>
        </w:rPr>
      </w:pPr>
      <w:r>
        <w:br w:type="page"/>
      </w:r>
    </w:p>
    <w:p>
      <w:pPr>
        <w:spacing w:line="360" w:lineRule="auto"/>
        <w:jc w:val="center"/>
        <w:outlineLvl w:val="0"/>
        <w:rPr>
          <w:rFonts w:ascii="Times New Roman" w:hAnsi="Times New Roman" w:eastAsia="宋体"/>
          <w:b/>
          <w:sz w:val="24"/>
        </w:rPr>
      </w:pPr>
      <w:r>
        <w:rPr>
          <w:rFonts w:hint="eastAsia" w:ascii="Times New Roman" w:hAnsi="Times New Roman" w:eastAsia="宋体"/>
          <w:b/>
          <w:sz w:val="24"/>
        </w:rPr>
        <w:t>Table S4 Correlation coefficients (r</w:t>
      </w:r>
      <w:r>
        <w:rPr>
          <w:rFonts w:hint="eastAsia" w:ascii="Times New Roman" w:hAnsi="Times New Roman" w:eastAsia="宋体"/>
          <w:b/>
          <w:sz w:val="24"/>
          <w:vertAlign w:val="superscript"/>
        </w:rPr>
        <w:t>2</w:t>
      </w:r>
      <w:r>
        <w:rPr>
          <w:rFonts w:hint="eastAsia" w:ascii="Times New Roman" w:hAnsi="Times New Roman" w:eastAsia="宋体"/>
          <w:b/>
          <w:sz w:val="24"/>
        </w:rPr>
        <w:t>), recoveries (%), limits of detection (LODs) and limits of quantification (LOQs) for 20 antibiotics in surface water and sediment</w:t>
      </w:r>
      <w:r>
        <w:rPr>
          <w:rFonts w:ascii="Times New Roman" w:hAnsi="Times New Roman" w:eastAsia="宋体"/>
          <w:b/>
          <w:sz w:val="24"/>
        </w:rPr>
        <w:t>.</w:t>
      </w:r>
    </w:p>
    <w:tbl>
      <w:tblPr>
        <w:tblStyle w:val="7"/>
        <w:tblpPr w:leftFromText="180" w:rightFromText="180" w:vertAnchor="text" w:horzAnchor="page" w:tblpXSpec="center" w:tblpY="30"/>
        <w:tblOverlap w:val="never"/>
        <w:tblW w:w="3429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9"/>
        <w:gridCol w:w="2190"/>
        <w:gridCol w:w="2575"/>
        <w:gridCol w:w="243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9" w:hRule="atLeast"/>
          <w:jc w:val="center"/>
        </w:trPr>
        <w:tc>
          <w:tcPr>
            <w:tcW w:w="1295" w:type="pct"/>
            <w:vMerge w:val="restart"/>
            <w:tcBorders>
              <w:top w:val="single" w:color="auto" w:sz="12" w:space="0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Antibiotics</w:t>
            </w:r>
          </w:p>
        </w:tc>
        <w:tc>
          <w:tcPr>
            <w:tcW w:w="1126" w:type="pct"/>
            <w:vMerge w:val="restart"/>
            <w:tcBorders>
              <w:top w:val="single" w:color="auto" w:sz="12" w:space="0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r</w:t>
            </w:r>
            <w:r>
              <w:rPr>
                <w:rFonts w:ascii="Times New Roman" w:hAnsi="Times New Roman" w:eastAsia="等线" w:cs="Times New Roman"/>
                <w:kern w:val="0"/>
                <w:szCs w:val="21"/>
                <w:vertAlign w:val="superscript"/>
              </w:rPr>
              <w:t>2</w:t>
            </w:r>
          </w:p>
        </w:tc>
        <w:tc>
          <w:tcPr>
            <w:tcW w:w="2577" w:type="pct"/>
            <w:gridSpan w:val="2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Recovery (%)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9" w:hRule="atLeast"/>
          <w:jc w:val="center"/>
        </w:trPr>
        <w:tc>
          <w:tcPr>
            <w:tcW w:w="1295" w:type="pct"/>
            <w:vMerge w:val="continue"/>
            <w:tcBorders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26" w:type="pct"/>
            <w:vMerge w:val="continue"/>
            <w:tcBorders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324" w:type="pct"/>
            <w:tcBorders>
              <w:top w:val="single" w:color="auto" w:sz="4" w:space="0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Water</w:t>
            </w:r>
          </w:p>
        </w:tc>
        <w:tc>
          <w:tcPr>
            <w:tcW w:w="1252" w:type="pct"/>
            <w:tcBorders>
              <w:top w:val="single" w:color="auto" w:sz="4" w:space="0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 xml:space="preserve">Sediment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295" w:type="pct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TC</w:t>
            </w:r>
          </w:p>
        </w:tc>
        <w:tc>
          <w:tcPr>
            <w:tcW w:w="1126" w:type="pct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0.9921</w:t>
            </w:r>
          </w:p>
        </w:tc>
        <w:tc>
          <w:tcPr>
            <w:tcW w:w="1324" w:type="pct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99.0</w:t>
            </w:r>
          </w:p>
        </w:tc>
        <w:tc>
          <w:tcPr>
            <w:tcW w:w="1252" w:type="pct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60.76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" w:hRule="atLeast"/>
          <w:jc w:val="center"/>
        </w:trPr>
        <w:tc>
          <w:tcPr>
            <w:tcW w:w="1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CTC</w:t>
            </w:r>
          </w:p>
        </w:tc>
        <w:tc>
          <w:tcPr>
            <w:tcW w:w="1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0.9961</w:t>
            </w:r>
          </w:p>
        </w:tc>
        <w:tc>
          <w:tcPr>
            <w:tcW w:w="1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81.91</w:t>
            </w:r>
          </w:p>
        </w:tc>
        <w:tc>
          <w:tcPr>
            <w:tcW w:w="1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98.08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DC</w:t>
            </w:r>
          </w:p>
        </w:tc>
        <w:tc>
          <w:tcPr>
            <w:tcW w:w="1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 xml:space="preserve">0.9955 </w:t>
            </w:r>
          </w:p>
        </w:tc>
        <w:tc>
          <w:tcPr>
            <w:tcW w:w="1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107.45</w:t>
            </w:r>
          </w:p>
        </w:tc>
        <w:tc>
          <w:tcPr>
            <w:tcW w:w="1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58.98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OTC</w:t>
            </w:r>
          </w:p>
        </w:tc>
        <w:tc>
          <w:tcPr>
            <w:tcW w:w="1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0.9966</w:t>
            </w:r>
          </w:p>
        </w:tc>
        <w:tc>
          <w:tcPr>
            <w:tcW w:w="1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</w:rPr>
              <w:t>6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4.44</w:t>
            </w:r>
          </w:p>
        </w:tc>
        <w:tc>
          <w:tcPr>
            <w:tcW w:w="1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95.03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1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SDZ</w:t>
            </w:r>
          </w:p>
        </w:tc>
        <w:tc>
          <w:tcPr>
            <w:tcW w:w="1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 xml:space="preserve">0.9991 </w:t>
            </w:r>
          </w:p>
        </w:tc>
        <w:tc>
          <w:tcPr>
            <w:tcW w:w="1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96.10</w:t>
            </w:r>
          </w:p>
        </w:tc>
        <w:tc>
          <w:tcPr>
            <w:tcW w:w="1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143.46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SMX</w:t>
            </w:r>
          </w:p>
        </w:tc>
        <w:tc>
          <w:tcPr>
            <w:tcW w:w="1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 xml:space="preserve">0.9951 </w:t>
            </w:r>
          </w:p>
        </w:tc>
        <w:tc>
          <w:tcPr>
            <w:tcW w:w="1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86.05</w:t>
            </w:r>
          </w:p>
        </w:tc>
        <w:tc>
          <w:tcPr>
            <w:tcW w:w="1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96.66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SPD</w:t>
            </w:r>
          </w:p>
        </w:tc>
        <w:tc>
          <w:tcPr>
            <w:tcW w:w="1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0.9924</w:t>
            </w:r>
          </w:p>
        </w:tc>
        <w:tc>
          <w:tcPr>
            <w:tcW w:w="1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86.46</w:t>
            </w:r>
          </w:p>
        </w:tc>
        <w:tc>
          <w:tcPr>
            <w:tcW w:w="1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139.11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TMP</w:t>
            </w:r>
          </w:p>
        </w:tc>
        <w:tc>
          <w:tcPr>
            <w:tcW w:w="1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0.9974</w:t>
            </w:r>
          </w:p>
        </w:tc>
        <w:tc>
          <w:tcPr>
            <w:tcW w:w="1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90.42</w:t>
            </w:r>
          </w:p>
        </w:tc>
        <w:tc>
          <w:tcPr>
            <w:tcW w:w="1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53.52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STZ</w:t>
            </w:r>
          </w:p>
        </w:tc>
        <w:tc>
          <w:tcPr>
            <w:tcW w:w="1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 xml:space="preserve">0.9983 </w:t>
            </w:r>
          </w:p>
        </w:tc>
        <w:tc>
          <w:tcPr>
            <w:tcW w:w="1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95.20</w:t>
            </w:r>
          </w:p>
        </w:tc>
        <w:tc>
          <w:tcPr>
            <w:tcW w:w="1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45.99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OFX</w:t>
            </w:r>
          </w:p>
        </w:tc>
        <w:tc>
          <w:tcPr>
            <w:tcW w:w="1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 xml:space="preserve">0.9985 </w:t>
            </w:r>
          </w:p>
        </w:tc>
        <w:tc>
          <w:tcPr>
            <w:tcW w:w="1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100.15</w:t>
            </w:r>
          </w:p>
        </w:tc>
        <w:tc>
          <w:tcPr>
            <w:tcW w:w="1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40.24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ENX</w:t>
            </w:r>
          </w:p>
        </w:tc>
        <w:tc>
          <w:tcPr>
            <w:tcW w:w="1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0.9947</w:t>
            </w:r>
          </w:p>
        </w:tc>
        <w:tc>
          <w:tcPr>
            <w:tcW w:w="1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89.74</w:t>
            </w:r>
          </w:p>
        </w:tc>
        <w:tc>
          <w:tcPr>
            <w:tcW w:w="1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41.10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NOR</w:t>
            </w:r>
          </w:p>
        </w:tc>
        <w:tc>
          <w:tcPr>
            <w:tcW w:w="1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0.9901</w:t>
            </w:r>
          </w:p>
        </w:tc>
        <w:tc>
          <w:tcPr>
            <w:tcW w:w="1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90.36</w:t>
            </w:r>
          </w:p>
        </w:tc>
        <w:tc>
          <w:tcPr>
            <w:tcW w:w="1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50.01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CIP</w:t>
            </w:r>
          </w:p>
        </w:tc>
        <w:tc>
          <w:tcPr>
            <w:tcW w:w="1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0.9971</w:t>
            </w:r>
          </w:p>
        </w:tc>
        <w:tc>
          <w:tcPr>
            <w:tcW w:w="1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90.45</w:t>
            </w:r>
          </w:p>
        </w:tc>
        <w:tc>
          <w:tcPr>
            <w:tcW w:w="1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43.10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FLU</w:t>
            </w:r>
          </w:p>
        </w:tc>
        <w:tc>
          <w:tcPr>
            <w:tcW w:w="1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0.9960</w:t>
            </w:r>
          </w:p>
        </w:tc>
        <w:tc>
          <w:tcPr>
            <w:tcW w:w="1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80.85</w:t>
            </w:r>
          </w:p>
        </w:tc>
        <w:tc>
          <w:tcPr>
            <w:tcW w:w="1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66.99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DIF</w:t>
            </w:r>
          </w:p>
        </w:tc>
        <w:tc>
          <w:tcPr>
            <w:tcW w:w="1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0.9992</w:t>
            </w:r>
          </w:p>
        </w:tc>
        <w:tc>
          <w:tcPr>
            <w:tcW w:w="1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81.61</w:t>
            </w:r>
          </w:p>
        </w:tc>
        <w:tc>
          <w:tcPr>
            <w:tcW w:w="1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47.75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OXO</w:t>
            </w:r>
          </w:p>
        </w:tc>
        <w:tc>
          <w:tcPr>
            <w:tcW w:w="1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0.9978</w:t>
            </w:r>
          </w:p>
        </w:tc>
        <w:tc>
          <w:tcPr>
            <w:tcW w:w="1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88.94</w:t>
            </w:r>
          </w:p>
        </w:tc>
        <w:tc>
          <w:tcPr>
            <w:tcW w:w="1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59.71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TYL</w:t>
            </w:r>
          </w:p>
        </w:tc>
        <w:tc>
          <w:tcPr>
            <w:tcW w:w="1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0.9972</w:t>
            </w:r>
          </w:p>
        </w:tc>
        <w:tc>
          <w:tcPr>
            <w:tcW w:w="1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65.35</w:t>
            </w:r>
          </w:p>
        </w:tc>
        <w:tc>
          <w:tcPr>
            <w:tcW w:w="1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59.18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SPI</w:t>
            </w:r>
          </w:p>
        </w:tc>
        <w:tc>
          <w:tcPr>
            <w:tcW w:w="1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0.9991</w:t>
            </w:r>
          </w:p>
        </w:tc>
        <w:tc>
          <w:tcPr>
            <w:tcW w:w="1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67.22</w:t>
            </w:r>
          </w:p>
        </w:tc>
        <w:tc>
          <w:tcPr>
            <w:tcW w:w="1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42.38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295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ODM</w:t>
            </w:r>
          </w:p>
        </w:tc>
        <w:tc>
          <w:tcPr>
            <w:tcW w:w="112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0.9977</w:t>
            </w:r>
          </w:p>
        </w:tc>
        <w:tc>
          <w:tcPr>
            <w:tcW w:w="132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74.63</w:t>
            </w:r>
          </w:p>
        </w:tc>
        <w:tc>
          <w:tcPr>
            <w:tcW w:w="125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43.77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295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LIN</w:t>
            </w:r>
          </w:p>
        </w:tc>
        <w:tc>
          <w:tcPr>
            <w:tcW w:w="1126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0.9952</w:t>
            </w:r>
          </w:p>
        </w:tc>
        <w:tc>
          <w:tcPr>
            <w:tcW w:w="1324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</w:rPr>
              <w:t>6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8.18</w:t>
            </w:r>
          </w:p>
        </w:tc>
        <w:tc>
          <w:tcPr>
            <w:tcW w:w="1252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50.29</w:t>
            </w:r>
          </w:p>
        </w:tc>
      </w:tr>
    </w:tbl>
    <w:p>
      <w:pPr>
        <w:adjustRightInd w:val="0"/>
        <w:spacing w:line="360" w:lineRule="auto"/>
        <w:jc w:val="left"/>
        <w:rPr>
          <w:rFonts w:ascii="Times New Roman" w:hAnsi="Times New Roman" w:eastAsia="等线" w:cs="Times New Roman"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</w:p>
    <w:p>
      <w:pPr>
        <w:adjustRightInd w:val="0"/>
        <w:spacing w:line="360" w:lineRule="auto"/>
        <w:jc w:val="left"/>
        <w:rPr>
          <w:rFonts w:ascii="Times New Roman" w:hAnsi="Times New Roman" w:eastAsia="等线" w:cs="Times New Roman"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</w:p>
    <w:p>
      <w:pPr>
        <w:adjustRightInd w:val="0"/>
        <w:spacing w:line="360" w:lineRule="auto"/>
        <w:jc w:val="left"/>
        <w:rPr>
          <w:rFonts w:ascii="Times New Roman" w:hAnsi="Times New Roman" w:eastAsia="等线" w:cs="Times New Roman"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</w:p>
    <w:p>
      <w:pPr>
        <w:adjustRightInd w:val="0"/>
        <w:spacing w:line="360" w:lineRule="auto"/>
        <w:jc w:val="left"/>
        <w:rPr>
          <w:rFonts w:ascii="Times New Roman" w:hAnsi="Times New Roman" w:eastAsia="等线" w:cs="Times New Roman"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</w:p>
    <w:p>
      <w:pPr>
        <w:adjustRightInd w:val="0"/>
        <w:spacing w:line="360" w:lineRule="auto"/>
        <w:jc w:val="left"/>
        <w:rPr>
          <w:rFonts w:ascii="Times New Roman" w:hAnsi="Times New Roman" w:eastAsia="等线" w:cs="Times New Roman"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</w:p>
    <w:p>
      <w:pPr>
        <w:adjustRightInd w:val="0"/>
        <w:spacing w:line="360" w:lineRule="auto"/>
        <w:jc w:val="left"/>
        <w:rPr>
          <w:rFonts w:ascii="Times New Roman" w:hAnsi="Times New Roman" w:eastAsia="等线" w:cs="Times New Roman"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</w:p>
    <w:p>
      <w:pPr>
        <w:adjustRightInd w:val="0"/>
        <w:spacing w:line="360" w:lineRule="auto"/>
        <w:jc w:val="left"/>
        <w:rPr>
          <w:rFonts w:ascii="Times New Roman" w:hAnsi="Times New Roman" w:eastAsia="等线" w:cs="Times New Roman"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</w:p>
    <w:p>
      <w:pPr>
        <w:adjustRightInd w:val="0"/>
        <w:spacing w:line="360" w:lineRule="auto"/>
        <w:jc w:val="left"/>
        <w:rPr>
          <w:rFonts w:ascii="Times New Roman" w:hAnsi="Times New Roman" w:eastAsia="等线" w:cs="Times New Roman"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</w:p>
    <w:p>
      <w:pPr>
        <w:adjustRightInd w:val="0"/>
        <w:spacing w:line="360" w:lineRule="auto"/>
        <w:jc w:val="left"/>
        <w:rPr>
          <w:rFonts w:ascii="Times New Roman" w:hAnsi="Times New Roman" w:eastAsia="等线" w:cs="Times New Roman"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</w:p>
    <w:p>
      <w:pPr>
        <w:adjustRightInd w:val="0"/>
        <w:spacing w:line="360" w:lineRule="auto"/>
        <w:jc w:val="left"/>
        <w:rPr>
          <w:rFonts w:ascii="Times New Roman" w:hAnsi="Times New Roman" w:eastAsia="等线" w:cs="Times New Roman"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</w:p>
    <w:p>
      <w:pPr>
        <w:adjustRightInd w:val="0"/>
        <w:spacing w:line="360" w:lineRule="auto"/>
        <w:jc w:val="left"/>
        <w:rPr>
          <w:rFonts w:ascii="Times New Roman" w:hAnsi="Times New Roman" w:eastAsia="等线" w:cs="Times New Roman"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</w:p>
    <w:p>
      <w:pPr>
        <w:adjustRightInd w:val="0"/>
        <w:spacing w:line="360" w:lineRule="auto"/>
        <w:jc w:val="left"/>
        <w:rPr>
          <w:rFonts w:ascii="Times New Roman" w:hAnsi="Times New Roman" w:eastAsia="等线" w:cs="Times New Roman"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</w:p>
    <w:p>
      <w:pPr>
        <w:adjustRightInd w:val="0"/>
        <w:spacing w:line="360" w:lineRule="auto"/>
        <w:jc w:val="left"/>
        <w:rPr>
          <w:rFonts w:hint="eastAsia" w:ascii="Times New Roman" w:hAnsi="Times New Roman" w:eastAsia="等线" w:cs="Times New Roman"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</w:p>
    <w:p>
      <w:pPr>
        <w:widowControl/>
        <w:suppressLineNumbers/>
        <w:overflowPunct w:val="0"/>
        <w:adjustRightInd w:val="0"/>
        <w:snapToGrid w:val="0"/>
        <w:spacing w:line="360" w:lineRule="auto"/>
        <w:jc w:val="left"/>
        <w:rPr>
          <w:rFonts w:ascii="Times New Roman" w:hAnsi="Times New Roman" w:eastAsia="等线" w:cs="Times New Roman"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</w:p>
    <w:p>
      <w:pPr>
        <w:widowControl/>
        <w:suppressLineNumbers/>
        <w:overflowPunct w:val="0"/>
        <w:adjustRightInd w:val="0"/>
        <w:snapToGrid w:val="0"/>
        <w:spacing w:line="360" w:lineRule="auto"/>
        <w:ind w:firstLine="2100" w:firstLineChars="1000"/>
        <w:jc w:val="left"/>
        <w:rPr>
          <w:rFonts w:hint="eastAsia" w:ascii="Times New Roman" w:hAnsi="Times New Roman" w:eastAsia="等线" w:cs="Times New Roman"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等线" w:cs="Times New Roman"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a:</w:t>
      </w:r>
      <w:r>
        <w:rPr>
          <w:rFonts w:ascii="Times New Roman" w:hAnsi="Times New Roman" w:eastAsia="等线" w:cs="Times New Roman"/>
          <w:color w:val="000000" w:themeColor="text1"/>
          <w:szCs w:val="21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eastAsia="等线" w:cs="Times New Roman"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Limits of Detection. b:</w:t>
      </w:r>
      <w:r>
        <w:rPr>
          <w:rFonts w:ascii="Times New Roman" w:hAnsi="Times New Roman" w:eastAsia="等线" w:cs="Times New Roman"/>
          <w:color w:val="000000" w:themeColor="text1"/>
          <w:szCs w:val="21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eastAsia="等线" w:cs="Times New Roman"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Limits of quantification.</w:t>
      </w:r>
      <w:r>
        <w:rPr>
          <w:rFonts w:hint="eastAsia" w:ascii="Times New Roman" w:hAnsi="Times New Roman" w:eastAsia="等线" w:cs="Times New Roman"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eastAsia="等线" w:cs="Times New Roman"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c:</w:t>
      </w:r>
      <w:r>
        <w:rPr>
          <w:rFonts w:ascii="Times New Roman" w:hAnsi="Times New Roman" w:eastAsia="等线" w:cs="Times New Roman"/>
          <w:color w:val="000000" w:themeColor="text1"/>
          <w:szCs w:val="21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eastAsia="等线" w:cs="Times New Roman"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Degree of precision.</w:t>
      </w:r>
    </w:p>
    <w:p>
      <w:pPr>
        <w:adjustRightInd w:val="0"/>
        <w:spacing w:line="360" w:lineRule="auto"/>
        <w:jc w:val="left"/>
        <w:rPr>
          <w:rFonts w:hint="eastAsia" w:ascii="Times New Roman" w:hAnsi="Times New Roman" w:eastAsia="等线" w:cs="Times New Roman"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等线" w:cs="Times New Roman"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br w:type="page"/>
      </w:r>
    </w:p>
    <w:p>
      <w:pPr>
        <w:spacing w:line="360" w:lineRule="auto"/>
        <w:jc w:val="center"/>
        <w:outlineLvl w:val="0"/>
        <w:rPr>
          <w:rFonts w:ascii="Times New Roman" w:hAnsi="Times New Roman" w:eastAsia="宋体"/>
          <w:b/>
          <w:sz w:val="24"/>
        </w:rPr>
      </w:pPr>
      <w:r>
        <w:rPr>
          <w:rFonts w:hint="eastAsia" w:ascii="Times New Roman" w:hAnsi="Times New Roman" w:eastAsia="宋体"/>
          <w:b/>
          <w:sz w:val="24"/>
        </w:rPr>
        <w:t>Table S5. Risk quotients (RQs) for target antibiotics detected in surface waters of Lake Wanfeng for aquatic organisms.</w:t>
      </w:r>
    </w:p>
    <w:tbl>
      <w:tblPr>
        <w:tblStyle w:val="7"/>
        <w:tblW w:w="0" w:type="auto"/>
        <w:jc w:val="cente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678"/>
        <w:gridCol w:w="756"/>
        <w:gridCol w:w="1764"/>
        <w:gridCol w:w="1701"/>
        <w:gridCol w:w="567"/>
        <w:gridCol w:w="1375"/>
        <w:gridCol w:w="2039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7" w:hRule="atLeast"/>
          <w:jc w:val="center"/>
        </w:trPr>
        <w:tc>
          <w:tcPr>
            <w:tcW w:w="1678" w:type="dxa"/>
            <w:tcBorders>
              <w:top w:val="single" w:color="000000" w:sz="12" w:space="0"/>
              <w:bottom w:val="single" w:color="000000" w:sz="12" w:space="0"/>
            </w:tcBorders>
            <w:vAlign w:val="center"/>
          </w:tcPr>
          <w:p>
            <w:pPr>
              <w:pStyle w:val="20"/>
              <w:jc w:val="center"/>
              <w:rPr>
                <w:rFonts w:ascii="Times New Roman" w:hAnsi="Times New Roman" w:cs="Times New Roman"/>
                <w:w w:val="11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w w:val="110"/>
                <w:sz w:val="18"/>
                <w:szCs w:val="18"/>
              </w:rPr>
              <w:t>Chemicals</w:t>
            </w:r>
          </w:p>
        </w:tc>
        <w:tc>
          <w:tcPr>
            <w:tcW w:w="756" w:type="dxa"/>
            <w:tcBorders>
              <w:top w:val="single" w:color="000000" w:sz="12" w:space="0"/>
              <w:bottom w:val="single" w:color="000000" w:sz="12" w:space="0"/>
            </w:tcBorders>
            <w:vAlign w:val="center"/>
          </w:tcPr>
          <w:p>
            <w:pPr>
              <w:pStyle w:val="20"/>
              <w:jc w:val="center"/>
              <w:rPr>
                <w:rFonts w:ascii="Times New Roman" w:hAnsi="Times New Roman" w:eastAsia="宋体" w:cs="Times New Roman"/>
                <w:sz w:val="18"/>
                <w:szCs w:val="18"/>
                <w:lang w:eastAsia="zh-CN"/>
              </w:rPr>
            </w:pPr>
            <w:r>
              <w:rPr>
                <w:rFonts w:ascii="Times New Roman" w:hAnsi="Times New Roman" w:cs="Times New Roman"/>
                <w:w w:val="110"/>
                <w:sz w:val="18"/>
                <w:szCs w:val="18"/>
              </w:rPr>
              <w:t>Abb</w:t>
            </w:r>
            <w:r>
              <w:rPr>
                <w:rFonts w:ascii="Times New Roman" w:hAnsi="Times New Roman" w:eastAsia="宋体" w:cs="Times New Roman"/>
                <w:w w:val="110"/>
                <w:sz w:val="18"/>
                <w:szCs w:val="18"/>
                <w:lang w:eastAsia="zh-CN"/>
              </w:rPr>
              <w:t>.</w:t>
            </w:r>
          </w:p>
        </w:tc>
        <w:tc>
          <w:tcPr>
            <w:tcW w:w="1764" w:type="dxa"/>
            <w:tcBorders>
              <w:top w:val="single" w:color="000000" w:sz="12" w:space="0"/>
              <w:bottom w:val="single" w:color="000000" w:sz="12" w:space="0"/>
            </w:tcBorders>
            <w:vAlign w:val="center"/>
          </w:tcPr>
          <w:p>
            <w:pPr>
              <w:pStyle w:val="20"/>
              <w:jc w:val="center"/>
              <w:rPr>
                <w:rFonts w:ascii="Times New Roman" w:hAnsi="Times New Roman" w:cs="Times New Roman"/>
                <w:w w:val="11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w w:val="110"/>
                <w:sz w:val="18"/>
                <w:szCs w:val="18"/>
              </w:rPr>
              <w:t>Species</w:t>
            </w:r>
          </w:p>
        </w:tc>
        <w:tc>
          <w:tcPr>
            <w:tcW w:w="1701" w:type="dxa"/>
            <w:tcBorders>
              <w:top w:val="single" w:color="000000" w:sz="12" w:space="0"/>
              <w:bottom w:val="single" w:color="000000" w:sz="12" w:space="0"/>
            </w:tcBorders>
            <w:vAlign w:val="center"/>
          </w:tcPr>
          <w:p>
            <w:pPr>
              <w:pStyle w:val="2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w w:val="110"/>
                <w:sz w:val="18"/>
                <w:szCs w:val="18"/>
              </w:rPr>
              <w:t>L(E)C</w:t>
            </w:r>
            <w:r>
              <w:rPr>
                <w:rFonts w:ascii="Times New Roman" w:hAnsi="Times New Roman" w:cs="Times New Roman"/>
                <w:w w:val="110"/>
                <w:sz w:val="18"/>
                <w:szCs w:val="18"/>
                <w:vertAlign w:val="subscript"/>
              </w:rPr>
              <w:t>50</w:t>
            </w:r>
            <w:r>
              <w:rPr>
                <w:rFonts w:ascii="Times New Roman" w:hAnsi="Times New Roman" w:cs="Times New Roman"/>
                <w:w w:val="110"/>
                <w:sz w:val="18"/>
                <w:szCs w:val="18"/>
              </w:rPr>
              <w:t xml:space="preserve"> (mg·L</w:t>
            </w:r>
            <w:r>
              <w:rPr>
                <w:rFonts w:ascii="Times New Roman" w:hAnsi="Times New Roman" w:eastAsia="宋体" w:cs="Times New Roman"/>
                <w:w w:val="110"/>
                <w:sz w:val="18"/>
                <w:szCs w:val="18"/>
                <w:vertAlign w:val="superscript"/>
                <w:lang w:eastAsia="zh-CN"/>
              </w:rPr>
              <w:t>-</w:t>
            </w:r>
            <w:r>
              <w:rPr>
                <w:rFonts w:ascii="Times New Roman" w:hAnsi="Times New Roman" w:cs="Times New Roman"/>
                <w:w w:val="110"/>
                <w:sz w:val="18"/>
                <w:szCs w:val="18"/>
                <w:vertAlign w:val="superscript"/>
              </w:rPr>
              <w:t>1</w:t>
            </w:r>
            <w:r>
              <w:rPr>
                <w:rFonts w:ascii="Times New Roman" w:hAnsi="Times New Roman" w:cs="Times New Roman"/>
                <w:w w:val="110"/>
                <w:sz w:val="18"/>
                <w:szCs w:val="18"/>
              </w:rPr>
              <w:t>)</w:t>
            </w:r>
          </w:p>
        </w:tc>
        <w:tc>
          <w:tcPr>
            <w:tcW w:w="567" w:type="dxa"/>
            <w:tcBorders>
              <w:top w:val="single" w:color="000000" w:sz="12" w:space="0"/>
              <w:bottom w:val="single" w:color="000000" w:sz="12" w:space="0"/>
            </w:tcBorders>
            <w:vAlign w:val="center"/>
          </w:tcPr>
          <w:p>
            <w:pPr>
              <w:pStyle w:val="20"/>
              <w:jc w:val="center"/>
              <w:rPr>
                <w:rFonts w:ascii="Times New Roman" w:hAnsi="Times New Roman" w:eastAsia="宋体" w:cs="Times New Roman"/>
                <w:w w:val="105"/>
                <w:sz w:val="18"/>
                <w:szCs w:val="18"/>
                <w:lang w:eastAsia="zh-CN"/>
              </w:rPr>
            </w:pPr>
            <w:r>
              <w:rPr>
                <w:rFonts w:ascii="Times New Roman" w:hAnsi="Times New Roman" w:eastAsia="宋体" w:cs="Times New Roman"/>
                <w:w w:val="105"/>
                <w:sz w:val="18"/>
                <w:szCs w:val="18"/>
                <w:lang w:eastAsia="zh-CN"/>
              </w:rPr>
              <w:t>AF</w:t>
            </w:r>
          </w:p>
        </w:tc>
        <w:tc>
          <w:tcPr>
            <w:tcW w:w="1375" w:type="dxa"/>
            <w:tcBorders>
              <w:top w:val="single" w:color="000000" w:sz="12" w:space="0"/>
              <w:bottom w:val="single" w:color="000000" w:sz="12" w:space="0"/>
            </w:tcBorders>
            <w:vAlign w:val="center"/>
          </w:tcPr>
          <w:p>
            <w:pPr>
              <w:pStyle w:val="2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w w:val="105"/>
                <w:sz w:val="18"/>
                <w:szCs w:val="18"/>
              </w:rPr>
              <w:t>PNEC (ng·L</w:t>
            </w:r>
            <w:r>
              <w:rPr>
                <w:rFonts w:ascii="Times New Roman" w:hAnsi="Times New Roman" w:eastAsia="宋体" w:cs="Times New Roman"/>
                <w:w w:val="105"/>
                <w:sz w:val="18"/>
                <w:szCs w:val="18"/>
                <w:vertAlign w:val="superscript"/>
                <w:lang w:eastAsia="zh-CN"/>
              </w:rPr>
              <w:t>-</w:t>
            </w:r>
            <w:r>
              <w:rPr>
                <w:rFonts w:ascii="Times New Roman" w:hAnsi="Times New Roman" w:cs="Times New Roman"/>
                <w:w w:val="105"/>
                <w:sz w:val="18"/>
                <w:szCs w:val="18"/>
                <w:vertAlign w:val="superscript"/>
              </w:rPr>
              <w:t>1</w:t>
            </w:r>
            <w:r>
              <w:rPr>
                <w:rFonts w:ascii="Times New Roman" w:hAnsi="Times New Roman" w:cs="Times New Roman"/>
                <w:w w:val="105"/>
                <w:sz w:val="18"/>
                <w:szCs w:val="18"/>
              </w:rPr>
              <w:t>)</w:t>
            </w:r>
          </w:p>
        </w:tc>
        <w:tc>
          <w:tcPr>
            <w:tcW w:w="2039" w:type="dxa"/>
            <w:tcBorders>
              <w:top w:val="single" w:color="000000" w:sz="12" w:space="0"/>
              <w:bottom w:val="single" w:color="000000" w:sz="12" w:space="0"/>
            </w:tcBorders>
            <w:vAlign w:val="center"/>
          </w:tcPr>
          <w:p>
            <w:pPr>
              <w:pStyle w:val="2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w w:val="105"/>
                <w:sz w:val="18"/>
                <w:szCs w:val="18"/>
                <w:lang w:eastAsia="zh-CN"/>
              </w:rPr>
              <w:t>References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1" w:hRule="atLeast"/>
          <w:jc w:val="center"/>
        </w:trPr>
        <w:tc>
          <w:tcPr>
            <w:tcW w:w="1678" w:type="dxa"/>
            <w:tcBorders>
              <w:top w:val="single" w:color="000000" w:sz="12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Oxytetracycline</w:t>
            </w:r>
          </w:p>
        </w:tc>
        <w:tc>
          <w:tcPr>
            <w:tcW w:w="756" w:type="dxa"/>
            <w:tcBorders>
              <w:top w:val="single" w:color="000000" w:sz="12" w:space="0"/>
            </w:tcBorders>
            <w:vAlign w:val="center"/>
          </w:tcPr>
          <w:p>
            <w:pPr>
              <w:pStyle w:val="2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OTC</w:t>
            </w:r>
          </w:p>
        </w:tc>
        <w:tc>
          <w:tcPr>
            <w:tcW w:w="1764" w:type="dxa"/>
            <w:tcBorders>
              <w:top w:val="single" w:color="000000" w:sz="12" w:space="0"/>
            </w:tcBorders>
            <w:vAlign w:val="center"/>
          </w:tcPr>
          <w:p>
            <w:pPr>
              <w:pStyle w:val="20"/>
              <w:jc w:val="center"/>
              <w:rPr>
                <w:rFonts w:ascii="Times New Roman" w:hAnsi="Times New Roman" w:eastAsia="宋体" w:cs="Times New Roman"/>
                <w:w w:val="105"/>
                <w:sz w:val="18"/>
                <w:szCs w:val="18"/>
                <w:lang w:eastAsia="zh-CN"/>
              </w:rPr>
            </w:pPr>
            <w:r>
              <w:rPr>
                <w:rFonts w:ascii="Times New Roman" w:hAnsi="Times New Roman" w:eastAsia="宋体" w:cs="Times New Roman"/>
                <w:w w:val="105"/>
                <w:sz w:val="18"/>
                <w:szCs w:val="18"/>
              </w:rPr>
              <w:t>M. aeruginosa</w:t>
            </w:r>
          </w:p>
        </w:tc>
        <w:tc>
          <w:tcPr>
            <w:tcW w:w="1701" w:type="dxa"/>
            <w:tcBorders>
              <w:top w:val="single" w:color="000000" w:sz="12" w:space="0"/>
            </w:tcBorders>
            <w:vAlign w:val="center"/>
          </w:tcPr>
          <w:p>
            <w:pPr>
              <w:pStyle w:val="20"/>
              <w:jc w:val="center"/>
              <w:rPr>
                <w:rFonts w:ascii="Times New Roman" w:hAnsi="Times New Roman" w:eastAsia="宋体" w:cs="Times New Roman"/>
                <w:w w:val="105"/>
                <w:sz w:val="18"/>
                <w:szCs w:val="18"/>
                <w:lang w:eastAsia="zh-CN"/>
              </w:rPr>
            </w:pPr>
            <w:r>
              <w:rPr>
                <w:rFonts w:ascii="Times New Roman" w:hAnsi="Times New Roman" w:eastAsia="宋体" w:cs="Times New Roman"/>
                <w:w w:val="105"/>
                <w:sz w:val="18"/>
                <w:szCs w:val="18"/>
                <w:lang w:eastAsia="zh-CN"/>
              </w:rPr>
              <w:t>0.207(7d)</w:t>
            </w:r>
          </w:p>
        </w:tc>
        <w:tc>
          <w:tcPr>
            <w:tcW w:w="567" w:type="dxa"/>
            <w:tcBorders>
              <w:top w:val="single" w:color="000000" w:sz="12" w:space="0"/>
            </w:tcBorders>
            <w:vAlign w:val="center"/>
          </w:tcPr>
          <w:p>
            <w:pPr>
              <w:pStyle w:val="20"/>
              <w:jc w:val="center"/>
              <w:rPr>
                <w:rFonts w:ascii="Times New Roman" w:hAnsi="Times New Roman" w:eastAsia="宋体" w:cs="Times New Roman"/>
                <w:w w:val="105"/>
                <w:sz w:val="18"/>
                <w:szCs w:val="18"/>
                <w:lang w:eastAsia="zh-CN"/>
              </w:rPr>
            </w:pPr>
            <w:r>
              <w:rPr>
                <w:rFonts w:ascii="Times New Roman" w:hAnsi="Times New Roman" w:eastAsia="宋体" w:cs="Times New Roman"/>
                <w:w w:val="105"/>
                <w:sz w:val="18"/>
                <w:szCs w:val="18"/>
                <w:lang w:eastAsia="zh-CN"/>
              </w:rPr>
              <w:t>100</w:t>
            </w:r>
          </w:p>
        </w:tc>
        <w:tc>
          <w:tcPr>
            <w:tcW w:w="1375" w:type="dxa"/>
            <w:tcBorders>
              <w:top w:val="single" w:color="000000" w:sz="12" w:space="0"/>
            </w:tcBorders>
            <w:vAlign w:val="center"/>
          </w:tcPr>
          <w:p>
            <w:pPr>
              <w:pStyle w:val="20"/>
              <w:jc w:val="center"/>
              <w:rPr>
                <w:rFonts w:ascii="Times New Roman" w:hAnsi="Times New Roman" w:eastAsia="宋体" w:cs="Times New Roman"/>
                <w:w w:val="105"/>
                <w:sz w:val="18"/>
                <w:szCs w:val="18"/>
                <w:lang w:eastAsia="zh-CN"/>
              </w:rPr>
            </w:pPr>
            <w:r>
              <w:rPr>
                <w:rFonts w:ascii="Times New Roman" w:hAnsi="Times New Roman" w:eastAsia="宋体" w:cs="Times New Roman"/>
                <w:w w:val="105"/>
                <w:sz w:val="18"/>
                <w:szCs w:val="18"/>
                <w:lang w:eastAsia="zh-CN"/>
              </w:rPr>
              <w:t>2070</w:t>
            </w:r>
          </w:p>
        </w:tc>
        <w:tc>
          <w:tcPr>
            <w:tcW w:w="2039" w:type="dxa"/>
            <w:tcBorders>
              <w:top w:val="single" w:color="000000" w:sz="12" w:space="0"/>
            </w:tcBorders>
            <w:vAlign w:val="center"/>
          </w:tcPr>
          <w:p>
            <w:pPr>
              <w:pStyle w:val="20"/>
              <w:jc w:val="center"/>
              <w:rPr>
                <w:rFonts w:ascii="Times New Roman" w:hAnsi="Times New Roman" w:eastAsia="宋体" w:cs="Times New Roman"/>
                <w:sz w:val="18"/>
                <w:szCs w:val="18"/>
                <w:lang w:eastAsia="zh-CN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fldChar w:fldCharType="begin"/>
            </w:r>
            <w:r>
              <w:rPr>
                <w:rFonts w:ascii="Times New Roman" w:hAnsi="Times New Roman" w:cs="Times New Roman"/>
                <w:sz w:val="18"/>
                <w:szCs w:val="18"/>
              </w:rPr>
              <w:instrText xml:space="preserve"> ADDIN EN.CITE &lt;EndNote&gt;&lt;Cite&gt;&lt;Author&gt;Sujung&lt;/Author&gt;&lt;Year&gt;2008&lt;/Year&gt;&lt;RecNum&gt;591&lt;/RecNum&gt;&lt;DisplayText&gt;&lt;style font="Times New Roman" size="12"&gt;(Sujung et al., 2008)&lt;/style&gt;&lt;/DisplayText&gt;&lt;record&gt;&lt;rec-number&gt;591&lt;/rec-number&gt;&lt;foreign-keys&gt;&lt;key app="EN" db-id="retxed2e7rptroex2fjxpv95vee0tdx99pxd" timestamp="1666622192"&gt;591&lt;/key&gt;&lt;/foreign-keys&gt;&lt;ref-type name="Journal Article"&gt;17&lt;/ref-type&gt;&lt;contributors&gt;&lt;authors&gt;&lt;author&gt;Park Sujung&lt;/author&gt;&lt;author&gt;Choi Kyungho&lt;/author&gt;&lt;/authors&gt;&lt;/contributors&gt;&lt;auth-address&gt;School of Public Health, Seoul National University, Seoul, Korea.&lt;/auth-address&gt;&lt;titles&gt;&lt;title&gt;Hazard assessment of commonly used agricultural antibiotics on aquatic ecosystems&lt;/title&gt;&lt;secondary-title&gt;Ecotoxicology (London, England)&lt;/secondary-title&gt;&lt;/titles&gt;&lt;periodical&gt;&lt;full-title&gt;Ecotoxicology (London, England)&lt;/full-title&gt;&lt;/periodical&gt;&lt;volume&gt;17&lt;/volume&gt;&lt;number&gt;6&lt;/number&gt;&lt;keywords&gt;&lt;keyword&gt;Veterinary antibiotics&lt;/keyword&gt;&lt;keyword&gt;Hazard assessment&lt;/keyword&gt;&lt;keyword&gt;Acute toxicity test&lt;/keyword&gt;&lt;keyword&gt;Chronic toxicity tests&lt;/keyword&gt;&lt;keyword&gt;Predicted no effect concentration&lt;/keyword&gt;&lt;/keywords&gt;&lt;dates&gt;&lt;year&gt;2008&lt;/year&gt;&lt;/dates&gt;&lt;isbn&gt;0963-9292&lt;/isbn&gt;&lt;urls&gt;&lt;/urls&gt;&lt;remote-database-provider&gt;Cnki&lt;/remote-database-provider&gt;&lt;/record&gt;&lt;/Cite&gt;&lt;/EndNote&gt;</w:instrText>
            </w:r>
            <w:r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>
              <w:rPr>
                <w:rFonts w:ascii="Times New Roman" w:hAnsi="Times New Roman" w:cs="Times New Roman"/>
                <w:sz w:val="18"/>
                <w:szCs w:val="18"/>
              </w:rPr>
              <w:t>(Sujung et al., 2008)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1678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56" w:type="dxa"/>
            <w:vAlign w:val="center"/>
          </w:tcPr>
          <w:p>
            <w:pPr>
              <w:pStyle w:val="20"/>
              <w:jc w:val="center"/>
              <w:rPr>
                <w:rFonts w:ascii="Times New Roman" w:hAnsi="Times New Roman" w:cs="Times New Roman"/>
                <w:w w:val="105"/>
                <w:sz w:val="18"/>
                <w:szCs w:val="18"/>
              </w:rPr>
            </w:pPr>
          </w:p>
        </w:tc>
        <w:tc>
          <w:tcPr>
            <w:tcW w:w="1764" w:type="dxa"/>
            <w:vAlign w:val="center"/>
          </w:tcPr>
          <w:p>
            <w:pPr>
              <w:pStyle w:val="20"/>
              <w:jc w:val="center"/>
              <w:rPr>
                <w:rFonts w:ascii="Times New Roman" w:hAnsi="Times New Roman" w:eastAsia="宋体" w:cs="Times New Roman"/>
                <w:w w:val="105"/>
                <w:sz w:val="18"/>
                <w:szCs w:val="18"/>
                <w:lang w:eastAsia="zh-CN"/>
              </w:rPr>
            </w:pPr>
            <w:r>
              <w:rPr>
                <w:rFonts w:ascii="Times New Roman" w:hAnsi="Times New Roman" w:eastAsia="宋体" w:cs="Times New Roman"/>
                <w:w w:val="105"/>
                <w:sz w:val="18"/>
                <w:szCs w:val="18"/>
              </w:rPr>
              <w:t>S. capricornutum</w:t>
            </w:r>
          </w:p>
        </w:tc>
        <w:tc>
          <w:tcPr>
            <w:tcW w:w="1701" w:type="dxa"/>
            <w:vAlign w:val="center"/>
          </w:tcPr>
          <w:p>
            <w:pPr>
              <w:pStyle w:val="20"/>
              <w:jc w:val="center"/>
              <w:rPr>
                <w:rFonts w:ascii="Times New Roman" w:hAnsi="Times New Roman" w:eastAsia="宋体" w:cs="Times New Roman"/>
                <w:w w:val="105"/>
                <w:sz w:val="18"/>
                <w:szCs w:val="18"/>
                <w:lang w:eastAsia="zh-CN"/>
              </w:rPr>
            </w:pPr>
            <w:r>
              <w:rPr>
                <w:rFonts w:ascii="Times New Roman" w:hAnsi="Times New Roman" w:eastAsia="宋体" w:cs="Times New Roman"/>
                <w:w w:val="105"/>
                <w:sz w:val="18"/>
                <w:szCs w:val="18"/>
                <w:lang w:eastAsia="zh-CN"/>
              </w:rPr>
              <w:t>4.5(7d)</w:t>
            </w:r>
          </w:p>
        </w:tc>
        <w:tc>
          <w:tcPr>
            <w:tcW w:w="567" w:type="dxa"/>
            <w:vAlign w:val="center"/>
          </w:tcPr>
          <w:p>
            <w:pPr>
              <w:pStyle w:val="20"/>
              <w:jc w:val="center"/>
              <w:rPr>
                <w:rFonts w:ascii="Times New Roman" w:hAnsi="Times New Roman" w:eastAsia="宋体" w:cs="Times New Roman"/>
                <w:w w:val="105"/>
                <w:sz w:val="18"/>
                <w:szCs w:val="18"/>
                <w:lang w:eastAsia="zh-CN"/>
              </w:rPr>
            </w:pPr>
            <w:r>
              <w:rPr>
                <w:rFonts w:ascii="Times New Roman" w:hAnsi="Times New Roman" w:eastAsia="宋体" w:cs="Times New Roman"/>
                <w:w w:val="105"/>
                <w:sz w:val="18"/>
                <w:szCs w:val="18"/>
                <w:lang w:eastAsia="zh-CN"/>
              </w:rPr>
              <w:t>1000</w:t>
            </w:r>
          </w:p>
        </w:tc>
        <w:tc>
          <w:tcPr>
            <w:tcW w:w="1375" w:type="dxa"/>
            <w:vAlign w:val="center"/>
          </w:tcPr>
          <w:p>
            <w:pPr>
              <w:pStyle w:val="20"/>
              <w:jc w:val="center"/>
              <w:rPr>
                <w:rFonts w:ascii="Times New Roman" w:hAnsi="Times New Roman" w:eastAsia="宋体" w:cs="Times New Roman"/>
                <w:w w:val="105"/>
                <w:sz w:val="18"/>
                <w:szCs w:val="18"/>
                <w:lang w:eastAsia="zh-CN"/>
              </w:rPr>
            </w:pPr>
            <w:r>
              <w:rPr>
                <w:rFonts w:ascii="Times New Roman" w:hAnsi="Times New Roman" w:eastAsia="宋体" w:cs="Times New Roman"/>
                <w:w w:val="105"/>
                <w:sz w:val="18"/>
                <w:szCs w:val="18"/>
                <w:lang w:eastAsia="zh-CN"/>
              </w:rPr>
              <w:t>4500</w:t>
            </w:r>
          </w:p>
        </w:tc>
        <w:tc>
          <w:tcPr>
            <w:tcW w:w="2039" w:type="dxa"/>
            <w:vAlign w:val="center"/>
          </w:tcPr>
          <w:p>
            <w:pPr>
              <w:pStyle w:val="2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fldChar w:fldCharType="begin"/>
            </w:r>
            <w:r>
              <w:rPr>
                <w:rFonts w:ascii="Times New Roman" w:hAnsi="Times New Roman" w:cs="Times New Roman"/>
                <w:sz w:val="18"/>
                <w:szCs w:val="18"/>
              </w:rPr>
              <w:instrText xml:space="preserve"> ADDIN EN.CITE &lt;EndNote&gt;&lt;Cite&gt;&lt;Author&gt;Sujung&lt;/Author&gt;&lt;Year&gt;2008&lt;/Year&gt;&lt;RecNum&gt;591&lt;/RecNum&gt;&lt;DisplayText&gt;&lt;style font="Times New Roman" size="12"&gt;(Sujung et al., 2008)&lt;/style&gt;&lt;/DisplayText&gt;&lt;record&gt;&lt;rec-number&gt;591&lt;/rec-number&gt;&lt;foreign-keys&gt;&lt;key app="EN" db-id="retxed2e7rptroex2fjxpv95vee0tdx99pxd" timestamp="1666622192"&gt;591&lt;/key&gt;&lt;/foreign-keys&gt;&lt;ref-type name="Journal Article"&gt;17&lt;/ref-type&gt;&lt;contributors&gt;&lt;authors&gt;&lt;author&gt;Park Sujung&lt;/author&gt;&lt;author&gt;Choi Kyungho&lt;/author&gt;&lt;/authors&gt;&lt;/contributors&gt;&lt;auth-address&gt;School of Public Health, Seoul National University, Seoul, Korea.&lt;/auth-address&gt;&lt;titles&gt;&lt;title&gt;Hazard assessment of commonly used agricultural antibiotics on aquatic ecosystems&lt;/title&gt;&lt;secondary-title&gt;Ecotoxicology (London, England)&lt;/secondary-title&gt;&lt;/titles&gt;&lt;periodical&gt;&lt;full-title&gt;Ecotoxicology (London, England)&lt;/full-title&gt;&lt;/periodical&gt;&lt;volume&gt;17&lt;/volume&gt;&lt;number&gt;6&lt;/number&gt;&lt;keywords&gt;&lt;keyword&gt;Veterinary antibiotics&lt;/keyword&gt;&lt;keyword&gt;Hazard assessment&lt;/keyword&gt;&lt;keyword&gt;Acute toxicity test&lt;/keyword&gt;&lt;keyword&gt;Chronic toxicity tests&lt;/keyword&gt;&lt;keyword&gt;Predicted no effect concentration&lt;/keyword&gt;&lt;/keywords&gt;&lt;dates&gt;&lt;year&gt;2008&lt;/year&gt;&lt;/dates&gt;&lt;isbn&gt;0963-9292&lt;/isbn&gt;&lt;urls&gt;&lt;/urls&gt;&lt;remote-database-provider&gt;Cnki&lt;/remote-database-provider&gt;&lt;/record&gt;&lt;/Cite&gt;&lt;/EndNote&gt;</w:instrText>
            </w:r>
            <w:r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>
              <w:rPr>
                <w:rFonts w:ascii="Times New Roman" w:hAnsi="Times New Roman" w:cs="Times New Roman"/>
                <w:sz w:val="18"/>
                <w:szCs w:val="18"/>
              </w:rPr>
              <w:t>(Sujung et al., 2008)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1678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56" w:type="dxa"/>
            <w:vAlign w:val="center"/>
          </w:tcPr>
          <w:p>
            <w:pPr>
              <w:pStyle w:val="20"/>
              <w:jc w:val="center"/>
              <w:rPr>
                <w:rFonts w:ascii="Times New Roman" w:hAnsi="Times New Roman" w:cs="Times New Roman"/>
                <w:w w:val="105"/>
                <w:sz w:val="18"/>
                <w:szCs w:val="18"/>
              </w:rPr>
            </w:pPr>
          </w:p>
        </w:tc>
        <w:tc>
          <w:tcPr>
            <w:tcW w:w="1764" w:type="dxa"/>
            <w:vAlign w:val="center"/>
          </w:tcPr>
          <w:p>
            <w:pPr>
              <w:pStyle w:val="20"/>
              <w:jc w:val="center"/>
              <w:rPr>
                <w:rFonts w:ascii="Times New Roman" w:hAnsi="Times New Roman" w:eastAsia="宋体" w:cs="Times New Roman"/>
                <w:w w:val="105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w w:val="105"/>
                <w:sz w:val="18"/>
                <w:szCs w:val="18"/>
              </w:rPr>
              <w:t>P. subcapitata</w:t>
            </w:r>
          </w:p>
        </w:tc>
        <w:tc>
          <w:tcPr>
            <w:tcW w:w="1701" w:type="dxa"/>
            <w:vAlign w:val="center"/>
          </w:tcPr>
          <w:p>
            <w:pPr>
              <w:pStyle w:val="20"/>
              <w:jc w:val="center"/>
              <w:rPr>
                <w:rFonts w:ascii="Times New Roman" w:hAnsi="Times New Roman" w:eastAsia="宋体" w:cs="Times New Roman"/>
                <w:w w:val="105"/>
                <w:sz w:val="18"/>
                <w:szCs w:val="18"/>
                <w:lang w:eastAsia="zh-CN"/>
              </w:rPr>
            </w:pPr>
            <w:r>
              <w:rPr>
                <w:rFonts w:ascii="Times New Roman" w:hAnsi="Times New Roman" w:eastAsia="宋体" w:cs="Times New Roman"/>
                <w:w w:val="105"/>
                <w:sz w:val="18"/>
                <w:szCs w:val="18"/>
                <w:lang w:eastAsia="zh-CN"/>
              </w:rPr>
              <w:t>0.17(72 h)</w:t>
            </w:r>
          </w:p>
        </w:tc>
        <w:tc>
          <w:tcPr>
            <w:tcW w:w="567" w:type="dxa"/>
            <w:vAlign w:val="center"/>
          </w:tcPr>
          <w:p>
            <w:pPr>
              <w:pStyle w:val="20"/>
              <w:jc w:val="center"/>
              <w:rPr>
                <w:rFonts w:ascii="Times New Roman" w:hAnsi="Times New Roman" w:eastAsia="宋体" w:cs="Times New Roman"/>
                <w:w w:val="105"/>
                <w:sz w:val="18"/>
                <w:szCs w:val="18"/>
                <w:lang w:eastAsia="zh-CN"/>
              </w:rPr>
            </w:pPr>
            <w:r>
              <w:rPr>
                <w:rFonts w:ascii="Times New Roman" w:hAnsi="Times New Roman" w:eastAsia="宋体" w:cs="Times New Roman"/>
                <w:w w:val="105"/>
                <w:sz w:val="18"/>
                <w:szCs w:val="18"/>
                <w:lang w:eastAsia="zh-CN"/>
              </w:rPr>
              <w:t>1000</w:t>
            </w:r>
          </w:p>
        </w:tc>
        <w:tc>
          <w:tcPr>
            <w:tcW w:w="1375" w:type="dxa"/>
            <w:vAlign w:val="center"/>
          </w:tcPr>
          <w:p>
            <w:pPr>
              <w:pStyle w:val="20"/>
              <w:jc w:val="center"/>
              <w:rPr>
                <w:rFonts w:ascii="Times New Roman" w:hAnsi="Times New Roman" w:eastAsia="宋体" w:cs="Times New Roman"/>
                <w:w w:val="105"/>
                <w:sz w:val="18"/>
                <w:szCs w:val="18"/>
                <w:lang w:eastAsia="zh-CN"/>
              </w:rPr>
            </w:pPr>
            <w:r>
              <w:rPr>
                <w:rFonts w:ascii="Times New Roman" w:hAnsi="Times New Roman" w:eastAsia="宋体" w:cs="Times New Roman"/>
                <w:w w:val="105"/>
                <w:sz w:val="18"/>
                <w:szCs w:val="18"/>
                <w:lang w:eastAsia="zh-CN"/>
              </w:rPr>
              <w:t>170</w:t>
            </w:r>
          </w:p>
        </w:tc>
        <w:tc>
          <w:tcPr>
            <w:tcW w:w="2039" w:type="dxa"/>
            <w:vAlign w:val="center"/>
          </w:tcPr>
          <w:p>
            <w:pPr>
              <w:pStyle w:val="2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fldChar w:fldCharType="begin"/>
            </w:r>
            <w:r>
              <w:rPr>
                <w:rFonts w:ascii="Times New Roman" w:hAnsi="Times New Roman" w:cs="Times New Roman"/>
                <w:sz w:val="18"/>
                <w:szCs w:val="18"/>
              </w:rPr>
              <w:instrText xml:space="preserve"> ADDIN EN.CITE &lt;EndNote&gt;&lt;Cite&gt;&lt;Author&gt;Sujung&lt;/Author&gt;&lt;Year&gt;2008&lt;/Year&gt;&lt;RecNum&gt;591&lt;/RecNum&gt;&lt;DisplayText&gt;&lt;style font="Times New Roman" size="12"&gt;(Sujung et al., 2008)&lt;/style&gt;&lt;/DisplayText&gt;&lt;record&gt;&lt;rec-number&gt;591&lt;/rec-number&gt;&lt;foreign-keys&gt;&lt;key app="EN" db-id="retxed2e7rptroex2fjxpv95vee0tdx99pxd" timestamp="1666622192"&gt;591&lt;/key&gt;&lt;/foreign-keys&gt;&lt;ref-type name="Journal Article"&gt;17&lt;/ref-type&gt;&lt;contributors&gt;&lt;authors&gt;&lt;author&gt;Park Sujung&lt;/author&gt;&lt;author&gt;Choi Kyungho&lt;/author&gt;&lt;/authors&gt;&lt;/contributors&gt;&lt;auth-address&gt;School of Public Health, Seoul National University, Seoul, Korea.&lt;/auth-address&gt;&lt;titles&gt;&lt;title&gt;Hazard assessment of commonly used agricultural antibiotics on aquatic ecosystems&lt;/title&gt;&lt;secondary-title&gt;Ecotoxicology (London, England)&lt;/secondary-title&gt;&lt;/titles&gt;&lt;periodical&gt;&lt;full-title&gt;Ecotoxicology (London, England)&lt;/full-title&gt;&lt;/periodical&gt;&lt;volume&gt;17&lt;/volume&gt;&lt;number&gt;6&lt;/number&gt;&lt;keywords&gt;&lt;keyword&gt;Veterinary antibiotics&lt;/keyword&gt;&lt;keyword&gt;Hazard assessment&lt;/keyword&gt;&lt;keyword&gt;Acute toxicity test&lt;/keyword&gt;&lt;keyword&gt;Chronic toxicity tests&lt;/keyword&gt;&lt;keyword&gt;Predicted no effect concentration&lt;/keyword&gt;&lt;/keywords&gt;&lt;dates&gt;&lt;year&gt;2008&lt;/year&gt;&lt;/dates&gt;&lt;isbn&gt;0963-9292&lt;/isbn&gt;&lt;urls&gt;&lt;/urls&gt;&lt;remote-database-provider&gt;Cnki&lt;/remote-database-provider&gt;&lt;/record&gt;&lt;/Cite&gt;&lt;/EndNote&gt;</w:instrText>
            </w:r>
            <w:r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>
              <w:rPr>
                <w:rFonts w:ascii="Times New Roman" w:hAnsi="Times New Roman" w:cs="Times New Roman"/>
                <w:sz w:val="18"/>
                <w:szCs w:val="18"/>
              </w:rPr>
              <w:t>(Sujung et al., 2008)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1" w:hRule="atLeast"/>
          <w:jc w:val="center"/>
        </w:trPr>
        <w:tc>
          <w:tcPr>
            <w:tcW w:w="1678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Doxycycline</w:t>
            </w:r>
          </w:p>
        </w:tc>
        <w:tc>
          <w:tcPr>
            <w:tcW w:w="756" w:type="dxa"/>
            <w:vAlign w:val="center"/>
          </w:tcPr>
          <w:p>
            <w:pPr>
              <w:pStyle w:val="20"/>
              <w:jc w:val="center"/>
              <w:rPr>
                <w:rFonts w:ascii="Times New Roman" w:hAnsi="Times New Roman" w:cs="Times New Roman"/>
                <w:w w:val="105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w w:val="105"/>
                <w:sz w:val="18"/>
                <w:szCs w:val="18"/>
              </w:rPr>
              <w:t>DC</w:t>
            </w:r>
          </w:p>
        </w:tc>
        <w:tc>
          <w:tcPr>
            <w:tcW w:w="1764" w:type="dxa"/>
            <w:vAlign w:val="center"/>
          </w:tcPr>
          <w:p>
            <w:pPr>
              <w:pStyle w:val="20"/>
              <w:jc w:val="center"/>
              <w:rPr>
                <w:rFonts w:ascii="Times New Roman" w:hAnsi="Times New Roman" w:eastAsia="宋体" w:cs="Times New Roman"/>
                <w:w w:val="105"/>
                <w:sz w:val="18"/>
                <w:szCs w:val="18"/>
                <w:lang w:eastAsia="zh-CN"/>
              </w:rPr>
            </w:pPr>
            <w:r>
              <w:rPr>
                <w:rFonts w:ascii="Times New Roman" w:hAnsi="Times New Roman" w:eastAsia="宋体" w:cs="Times New Roman"/>
                <w:w w:val="105"/>
                <w:sz w:val="18"/>
                <w:szCs w:val="18"/>
                <w:lang w:eastAsia="zh-CN"/>
              </w:rPr>
              <w:t>Lemna gibba</w:t>
            </w:r>
          </w:p>
        </w:tc>
        <w:tc>
          <w:tcPr>
            <w:tcW w:w="1701" w:type="dxa"/>
            <w:vAlign w:val="center"/>
          </w:tcPr>
          <w:p>
            <w:pPr>
              <w:pStyle w:val="20"/>
              <w:jc w:val="center"/>
              <w:rPr>
                <w:rFonts w:ascii="Times New Roman" w:hAnsi="Times New Roman" w:eastAsia="宋体" w:cs="Times New Roman"/>
                <w:w w:val="105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w w:val="105"/>
                <w:sz w:val="18"/>
                <w:szCs w:val="18"/>
                <w:lang w:eastAsia="zh-CN"/>
              </w:rPr>
              <w:t>0.3</w:t>
            </w:r>
          </w:p>
        </w:tc>
        <w:tc>
          <w:tcPr>
            <w:tcW w:w="567" w:type="dxa"/>
            <w:vAlign w:val="center"/>
          </w:tcPr>
          <w:p>
            <w:pPr>
              <w:pStyle w:val="20"/>
              <w:jc w:val="center"/>
              <w:rPr>
                <w:rFonts w:ascii="Times New Roman" w:hAnsi="Times New Roman" w:eastAsia="宋体" w:cs="Times New Roman"/>
                <w:w w:val="105"/>
                <w:sz w:val="18"/>
                <w:szCs w:val="18"/>
                <w:lang w:eastAsia="zh-CN"/>
              </w:rPr>
            </w:pPr>
            <w:r>
              <w:rPr>
                <w:rFonts w:ascii="Times New Roman" w:hAnsi="Times New Roman" w:eastAsia="宋体" w:cs="Times New Roman"/>
                <w:w w:val="105"/>
                <w:sz w:val="18"/>
                <w:szCs w:val="18"/>
                <w:lang w:eastAsia="zh-CN"/>
              </w:rPr>
              <w:t>1000</w:t>
            </w:r>
          </w:p>
        </w:tc>
        <w:tc>
          <w:tcPr>
            <w:tcW w:w="1375" w:type="dxa"/>
            <w:vAlign w:val="center"/>
          </w:tcPr>
          <w:p>
            <w:pPr>
              <w:pStyle w:val="20"/>
              <w:jc w:val="center"/>
              <w:rPr>
                <w:rFonts w:ascii="Times New Roman" w:hAnsi="Times New Roman" w:eastAsia="宋体" w:cs="Times New Roman"/>
                <w:w w:val="105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w w:val="105"/>
                <w:sz w:val="18"/>
                <w:szCs w:val="18"/>
                <w:lang w:eastAsia="zh-CN"/>
              </w:rPr>
              <w:t>300</w:t>
            </w:r>
          </w:p>
        </w:tc>
        <w:tc>
          <w:tcPr>
            <w:tcW w:w="2039" w:type="dxa"/>
            <w:vAlign w:val="center"/>
          </w:tcPr>
          <w:p>
            <w:pPr>
              <w:pStyle w:val="2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w w:val="105"/>
                <w:sz w:val="18"/>
                <w:szCs w:val="18"/>
                <w:lang w:eastAsia="zh-CN"/>
              </w:rPr>
              <w:fldChar w:fldCharType="begin"/>
            </w:r>
            <w:r>
              <w:rPr>
                <w:rFonts w:ascii="Times New Roman" w:hAnsi="Times New Roman" w:cs="Times New Roman"/>
                <w:w w:val="105"/>
                <w:sz w:val="18"/>
                <w:szCs w:val="18"/>
                <w:lang w:eastAsia="zh-CN"/>
              </w:rPr>
              <w:instrText xml:space="preserve"> ADDIN EN.CITE &lt;EndNote&gt;&lt;Cite&gt;&lt;Author&gt;Li-Jun&lt;/Author&gt;&lt;Year&gt;2016&lt;/Year&gt;&lt;RecNum&gt;589&lt;/RecNum&gt;&lt;DisplayText&gt;&lt;style font="Times New Roman" size="12"&gt;(Li-Jun et al., 2016)&lt;/style&gt;&lt;/DisplayText&gt;&lt;record&gt;&lt;rec-number&gt;589&lt;/rec-number&gt;&lt;foreign-keys&gt;&lt;key app="EN" db-id="retxed2e7rptroex2fjxpv95vee0tdx99pxd" timestamp="1666622192"&gt;589&lt;/key&gt;&lt;/foreign-keys&gt;&lt;ref-type name="Journal Article"&gt;17&lt;/ref-type&gt;&lt;contributors&gt;&lt;authors&gt;&lt;author&gt;Zhou Li-Jun&lt;/author&gt;&lt;author&gt;Wu Qinglong L&lt;/author&gt;&lt;author&gt;Zhang Bei-Bei&lt;/author&gt;&lt;author&gt;Zhao Yong-Gang&lt;/author&gt;&lt;author&gt;Zhao Bi-Ying&lt;/author&gt;&lt;/authors&gt;&lt;/contributors&gt;&lt;auth-address&gt;State Key Laboratory of Lake Science and Environment, Nanjing Institute of Geography and Limnology, Chinese Academy of Sciences, Nanjing, China. qlwu@niglas.ac.cn ljzhou@niglas.ac.cn.&lt;/auth-address&gt;&lt;titles&gt;&lt;title&gt;Occurrence, spatiotemporal distribution, mass balance and ecological risks of antibiotics in subtropical shallow Lake Taihu, China&lt;/title&gt;&lt;secondary-title&gt;Environmental science. Processes &amp;amp; impacts&lt;/secondary-title&gt;&lt;/titles&gt;&lt;periodical&gt;&lt;full-title&gt;Environmental science. Processes &amp;amp; impacts&lt;/full-title&gt;&lt;/periodical&gt;&lt;volume&gt;18&lt;/volume&gt;&lt;number&gt;4&lt;/number&gt;&lt;dates&gt;&lt;year&gt;2016&lt;/year&gt;&lt;/dates&gt;&lt;isbn&gt;2050-7887&lt;/isbn&gt;&lt;urls&gt;&lt;/urls&gt;&lt;remote-database-provider&gt;Cnki&lt;/remote-database-provider&gt;&lt;/record&gt;&lt;/Cite&gt;&lt;/EndNote&gt;</w:instrText>
            </w:r>
            <w:r>
              <w:rPr>
                <w:rFonts w:ascii="Times New Roman" w:hAnsi="Times New Roman" w:cs="Times New Roman"/>
                <w:w w:val="105"/>
                <w:sz w:val="18"/>
                <w:szCs w:val="18"/>
                <w:lang w:eastAsia="zh-CN"/>
              </w:rPr>
              <w:fldChar w:fldCharType="separate"/>
            </w:r>
            <w:r>
              <w:rPr>
                <w:rFonts w:ascii="Times New Roman" w:hAnsi="Times New Roman" w:cs="Times New Roman"/>
                <w:w w:val="105"/>
                <w:sz w:val="18"/>
                <w:szCs w:val="18"/>
                <w:lang w:eastAsia="zh-CN"/>
              </w:rPr>
              <w:t>(Li-Jun et al., 2016)</w:t>
            </w:r>
            <w:r>
              <w:rPr>
                <w:rFonts w:ascii="Times New Roman" w:hAnsi="Times New Roman" w:cs="Times New Roman"/>
                <w:w w:val="105"/>
                <w:sz w:val="18"/>
                <w:szCs w:val="18"/>
                <w:lang w:eastAsia="zh-CN"/>
              </w:rPr>
              <w:fldChar w:fldCharType="end"/>
            </w:r>
          </w:p>
        </w:tc>
      </w:tr>
      <w:tr>
        <w:trPr>
          <w:trHeight w:val="171" w:hRule="atLeast"/>
          <w:jc w:val="center"/>
        </w:trPr>
        <w:tc>
          <w:tcPr>
            <w:tcW w:w="1678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Sulfadiazine</w:t>
            </w:r>
          </w:p>
        </w:tc>
        <w:tc>
          <w:tcPr>
            <w:tcW w:w="756" w:type="dxa"/>
            <w:vAlign w:val="center"/>
          </w:tcPr>
          <w:p>
            <w:pPr>
              <w:pStyle w:val="20"/>
              <w:jc w:val="center"/>
              <w:rPr>
                <w:rFonts w:ascii="Times New Roman" w:hAnsi="Times New Roman" w:cs="Times New Roman"/>
                <w:w w:val="105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w w:val="105"/>
                <w:sz w:val="18"/>
                <w:szCs w:val="18"/>
              </w:rPr>
              <w:t>SDZ</w:t>
            </w:r>
          </w:p>
        </w:tc>
        <w:tc>
          <w:tcPr>
            <w:tcW w:w="1764" w:type="dxa"/>
            <w:vAlign w:val="center"/>
          </w:tcPr>
          <w:p>
            <w:pPr>
              <w:pStyle w:val="20"/>
              <w:jc w:val="center"/>
              <w:rPr>
                <w:rFonts w:ascii="Times New Roman" w:hAnsi="Times New Roman" w:eastAsia="宋体" w:cs="Times New Roman"/>
                <w:w w:val="105"/>
                <w:sz w:val="18"/>
                <w:szCs w:val="18"/>
                <w:lang w:eastAsia="zh-CN"/>
              </w:rPr>
            </w:pPr>
            <w:r>
              <w:rPr>
                <w:rFonts w:ascii="Times New Roman" w:hAnsi="Times New Roman" w:eastAsia="宋体" w:cs="Times New Roman"/>
                <w:w w:val="105"/>
                <w:sz w:val="18"/>
                <w:szCs w:val="18"/>
                <w:lang w:eastAsia="zh-CN"/>
              </w:rPr>
              <w:t>S. capricornutum</w:t>
            </w:r>
          </w:p>
        </w:tc>
        <w:tc>
          <w:tcPr>
            <w:tcW w:w="1701" w:type="dxa"/>
            <w:vAlign w:val="center"/>
          </w:tcPr>
          <w:p>
            <w:pPr>
              <w:pStyle w:val="20"/>
              <w:jc w:val="center"/>
              <w:rPr>
                <w:rFonts w:ascii="Times New Roman" w:hAnsi="Times New Roman" w:eastAsia="宋体" w:cs="Times New Roman"/>
                <w:w w:val="105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w w:val="105"/>
                <w:sz w:val="18"/>
                <w:szCs w:val="18"/>
                <w:lang w:eastAsia="zh-CN"/>
              </w:rPr>
              <w:t>2.22(24 h)</w:t>
            </w:r>
          </w:p>
        </w:tc>
        <w:tc>
          <w:tcPr>
            <w:tcW w:w="567" w:type="dxa"/>
            <w:vAlign w:val="center"/>
          </w:tcPr>
          <w:p>
            <w:pPr>
              <w:pStyle w:val="20"/>
              <w:jc w:val="center"/>
              <w:rPr>
                <w:rFonts w:ascii="Times New Roman" w:hAnsi="Times New Roman" w:eastAsia="宋体" w:cs="Times New Roman"/>
                <w:w w:val="105"/>
                <w:sz w:val="18"/>
                <w:szCs w:val="18"/>
                <w:lang w:eastAsia="zh-CN"/>
              </w:rPr>
            </w:pPr>
            <w:r>
              <w:rPr>
                <w:rFonts w:ascii="Times New Roman" w:hAnsi="Times New Roman" w:eastAsia="宋体" w:cs="Times New Roman"/>
                <w:w w:val="105"/>
                <w:sz w:val="18"/>
                <w:szCs w:val="18"/>
                <w:lang w:eastAsia="zh-CN"/>
              </w:rPr>
              <w:t>1000</w:t>
            </w:r>
          </w:p>
        </w:tc>
        <w:tc>
          <w:tcPr>
            <w:tcW w:w="1375" w:type="dxa"/>
            <w:vAlign w:val="center"/>
          </w:tcPr>
          <w:p>
            <w:pPr>
              <w:pStyle w:val="20"/>
              <w:jc w:val="center"/>
              <w:rPr>
                <w:rFonts w:ascii="Times New Roman" w:hAnsi="Times New Roman" w:eastAsia="宋体" w:cs="Times New Roman"/>
                <w:w w:val="105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w w:val="105"/>
                <w:sz w:val="18"/>
                <w:szCs w:val="18"/>
                <w:lang w:eastAsia="zh-CN"/>
              </w:rPr>
              <w:t>2220</w:t>
            </w:r>
          </w:p>
        </w:tc>
        <w:tc>
          <w:tcPr>
            <w:tcW w:w="2039" w:type="dxa"/>
            <w:vAlign w:val="center"/>
          </w:tcPr>
          <w:p>
            <w:pPr>
              <w:pStyle w:val="2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fldChar w:fldCharType="begin"/>
            </w:r>
            <w:r>
              <w:rPr>
                <w:rFonts w:ascii="Times New Roman" w:hAnsi="Times New Roman" w:cs="Times New Roman"/>
                <w:sz w:val="18"/>
                <w:szCs w:val="18"/>
              </w:rPr>
              <w:instrText xml:space="preserve"> ADDIN EN.CITE &lt;EndNote&gt;&lt;Cite&gt;&lt;Author&gt;Tang&lt;/Author&gt;&lt;Year&gt;2015&lt;/Year&gt;&lt;RecNum&gt;590&lt;/RecNum&gt;&lt;DisplayText&gt;&lt;style font="Times New Roman" size="12"&gt;(Tang et al., 2015)&lt;/style&gt;&lt;/DisplayText&gt;&lt;record&gt;&lt;rec-number&gt;590&lt;/rec-number&gt;&lt;foreign-keys&gt;&lt;key app="EN" db-id="retxed2e7rptroex2fjxpv95vee0tdx99pxd" timestamp="1666622192"&gt;590&lt;/key&gt;&lt;/foreign-keys&gt;&lt;ref-type name="Journal Article"&gt;17&lt;/ref-type&gt;&lt;contributors&gt;&lt;authors&gt;&lt;author&gt;Jun Tang&lt;/author&gt;&lt;author&gt;Taozhong Shi&lt;/author&gt;&lt;author&gt;Xiangwei Wu&lt;/author&gt;&lt;author&gt;Haiqun Cao&lt;/author&gt;&lt;author&gt;Xuede Li&lt;/author&gt;&lt;author&gt;Rimao Hua&lt;/author&gt;&lt;author&gt;Feng Tang&lt;/author&gt;&lt;author&gt;Yongde Yue&lt;/author&gt;&lt;/authors&gt;&lt;/contributors&gt;&lt;auth-address&gt;School of Resource and Environment, Anhui Agricultural University, Hefei 230036, China;;International Center for Bamboo and Rattan, Beijing 100102, China&lt;/auth-address&gt;&lt;titles&gt;&lt;title&gt;The occurrence and distribution of antibiotics in Lake Chaohu, China: Seasonal variation, potential source and risk assessment&lt;/title&gt;&lt;secondary-title&gt;Chemosphere&lt;/secondary-title&gt;&lt;/titles&gt;&lt;periodical&gt;&lt;full-title&gt;Chemosphere&lt;/full-title&gt;&lt;/periodical&gt;&lt;volume&gt;122&lt;/volume&gt;&lt;keywords&gt;&lt;keyword&gt;Antibiotics&lt;/keyword&gt;&lt;keyword&gt;Lake Chaohu&lt;/keyword&gt;&lt;keyword&gt;Rivers&lt;/keyword&gt;&lt;keyword&gt;STPs effluent&lt;/keyword&gt;&lt;keyword&gt;Occurrence&lt;/keyword&gt;&lt;keyword&gt;Risk assessment&lt;/keyword&gt;&lt;/keywords&gt;&lt;dates&gt;&lt;year&gt;2015&lt;/year&gt;&lt;/dates&gt;&lt;isbn&gt;0045-6535&lt;/isbn&gt;&lt;urls&gt;&lt;/urls&gt;&lt;remote-database-provider&gt;Cnki&lt;/remote-database-provider&gt;&lt;/record&gt;&lt;/Cite&gt;&lt;/EndNote&gt;</w:instrText>
            </w:r>
            <w:r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>
              <w:rPr>
                <w:rFonts w:ascii="Times New Roman" w:hAnsi="Times New Roman" w:cs="Times New Roman"/>
                <w:sz w:val="18"/>
                <w:szCs w:val="18"/>
              </w:rPr>
              <w:t>(Tang et al., 2015)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</w:p>
        </w:tc>
      </w:tr>
      <w:tr>
        <w:trPr>
          <w:trHeight w:val="208" w:hRule="atLeast"/>
          <w:jc w:val="center"/>
        </w:trPr>
        <w:tc>
          <w:tcPr>
            <w:tcW w:w="1678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56" w:type="dxa"/>
            <w:vAlign w:val="center"/>
          </w:tcPr>
          <w:p>
            <w:pPr>
              <w:pStyle w:val="20"/>
              <w:jc w:val="center"/>
              <w:rPr>
                <w:rFonts w:ascii="Times New Roman" w:hAnsi="Times New Roman" w:cs="Times New Roman"/>
                <w:w w:val="105"/>
                <w:sz w:val="18"/>
                <w:szCs w:val="18"/>
              </w:rPr>
            </w:pPr>
          </w:p>
        </w:tc>
        <w:tc>
          <w:tcPr>
            <w:tcW w:w="1764" w:type="dxa"/>
            <w:vAlign w:val="center"/>
          </w:tcPr>
          <w:p>
            <w:pPr>
              <w:pStyle w:val="20"/>
              <w:jc w:val="center"/>
              <w:rPr>
                <w:rFonts w:ascii="Times New Roman" w:hAnsi="Times New Roman" w:eastAsia="宋体" w:cs="Times New Roman"/>
                <w:w w:val="105"/>
                <w:sz w:val="18"/>
                <w:szCs w:val="18"/>
                <w:lang w:eastAsia="zh-CN"/>
              </w:rPr>
            </w:pPr>
            <w:r>
              <w:rPr>
                <w:rFonts w:ascii="Times New Roman" w:hAnsi="Times New Roman" w:eastAsia="宋体" w:cs="Times New Roman"/>
                <w:w w:val="105"/>
                <w:sz w:val="18"/>
                <w:szCs w:val="18"/>
                <w:lang w:eastAsia="zh-CN"/>
              </w:rPr>
              <w:t>C. vulgaris</w:t>
            </w:r>
          </w:p>
        </w:tc>
        <w:tc>
          <w:tcPr>
            <w:tcW w:w="1701" w:type="dxa"/>
            <w:vAlign w:val="center"/>
          </w:tcPr>
          <w:p>
            <w:pPr>
              <w:pStyle w:val="20"/>
              <w:jc w:val="center"/>
              <w:rPr>
                <w:rFonts w:ascii="Times New Roman" w:hAnsi="Times New Roman" w:eastAsia="宋体" w:cs="Times New Roman"/>
                <w:w w:val="105"/>
                <w:sz w:val="18"/>
                <w:szCs w:val="18"/>
                <w:lang w:eastAsia="zh-CN"/>
              </w:rPr>
            </w:pPr>
            <w:r>
              <w:rPr>
                <w:rFonts w:ascii="Times New Roman" w:hAnsi="Times New Roman" w:eastAsia="宋体" w:cs="Times New Roman"/>
                <w:w w:val="105"/>
                <w:sz w:val="18"/>
                <w:szCs w:val="18"/>
                <w:lang w:eastAsia="zh-CN"/>
              </w:rPr>
              <w:t>1.226</w:t>
            </w:r>
          </w:p>
        </w:tc>
        <w:tc>
          <w:tcPr>
            <w:tcW w:w="567" w:type="dxa"/>
            <w:vAlign w:val="center"/>
          </w:tcPr>
          <w:p>
            <w:pPr>
              <w:pStyle w:val="20"/>
              <w:jc w:val="center"/>
              <w:rPr>
                <w:rFonts w:ascii="Times New Roman" w:hAnsi="Times New Roman" w:eastAsia="宋体" w:cs="Times New Roman"/>
                <w:w w:val="105"/>
                <w:sz w:val="18"/>
                <w:szCs w:val="18"/>
                <w:lang w:eastAsia="zh-CN"/>
              </w:rPr>
            </w:pPr>
            <w:r>
              <w:rPr>
                <w:rFonts w:ascii="Times New Roman" w:hAnsi="Times New Roman" w:eastAsia="宋体" w:cs="Times New Roman"/>
                <w:w w:val="105"/>
                <w:sz w:val="18"/>
                <w:szCs w:val="18"/>
                <w:lang w:eastAsia="zh-CN"/>
              </w:rPr>
              <w:t>1000</w:t>
            </w:r>
          </w:p>
        </w:tc>
        <w:tc>
          <w:tcPr>
            <w:tcW w:w="1375" w:type="dxa"/>
            <w:vAlign w:val="center"/>
          </w:tcPr>
          <w:p>
            <w:pPr>
              <w:pStyle w:val="20"/>
              <w:jc w:val="center"/>
              <w:rPr>
                <w:rFonts w:ascii="Times New Roman" w:hAnsi="Times New Roman" w:eastAsia="宋体" w:cs="Times New Roman"/>
                <w:w w:val="105"/>
                <w:sz w:val="18"/>
                <w:szCs w:val="18"/>
                <w:lang w:eastAsia="zh-CN"/>
              </w:rPr>
            </w:pPr>
            <w:r>
              <w:rPr>
                <w:rFonts w:ascii="Times New Roman" w:hAnsi="Times New Roman" w:eastAsia="宋体" w:cs="Times New Roman"/>
                <w:w w:val="105"/>
                <w:sz w:val="18"/>
                <w:szCs w:val="18"/>
                <w:lang w:eastAsia="zh-CN"/>
              </w:rPr>
              <w:t>1226</w:t>
            </w:r>
          </w:p>
        </w:tc>
        <w:tc>
          <w:tcPr>
            <w:tcW w:w="2039" w:type="dxa"/>
            <w:vAlign w:val="center"/>
          </w:tcPr>
          <w:p>
            <w:pPr>
              <w:pStyle w:val="20"/>
              <w:jc w:val="center"/>
              <w:rPr>
                <w:rFonts w:ascii="Times New Roman" w:hAnsi="Times New Roman" w:eastAsia="宋体" w:cs="Times New Roman"/>
                <w:sz w:val="18"/>
                <w:szCs w:val="18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  <w:lang w:eastAsia="zh-CN"/>
              </w:rPr>
              <w:fldChar w:fldCharType="begin"/>
            </w:r>
            <w:r>
              <w:rPr>
                <w:rFonts w:ascii="Times New Roman" w:hAnsi="Times New Roman" w:eastAsia="宋体" w:cs="Times New Roman"/>
                <w:sz w:val="18"/>
                <w:szCs w:val="18"/>
                <w:lang w:eastAsia="zh-CN"/>
              </w:rPr>
              <w:instrText xml:space="preserve"> ADDIN EN.CITE &lt;EndNote&gt;&lt;Cite&gt;&lt;Author&gt;Tang&lt;/Author&gt;&lt;Year&gt;2015&lt;/Year&gt;&lt;RecNum&gt;590&lt;/RecNum&gt;&lt;DisplayText&gt;&lt;style font="Times New Roman" size="12"&gt;(Tang et al., 2015)&lt;/style&gt;&lt;/DisplayText&gt;&lt;record&gt;&lt;rec-number&gt;590&lt;/rec-number&gt;&lt;foreign-keys&gt;&lt;key app="EN" db-id="retxed2e7rptroex2fjxpv95vee0tdx99pxd" timestamp="1666622192"&gt;590&lt;/key&gt;&lt;/foreign-keys&gt;&lt;ref-type name="Journal Article"&gt;17&lt;/ref-type&gt;&lt;contributors&gt;&lt;authors&gt;&lt;author&gt;Jun Tang&lt;/author&gt;&lt;author&gt;Taozhong Shi&lt;/author&gt;&lt;author&gt;Xiangwei Wu&lt;/author&gt;&lt;author&gt;Haiqun Cao&lt;/author&gt;&lt;author&gt;Xuede Li&lt;/author&gt;&lt;author&gt;Rimao Hua&lt;/author&gt;&lt;author&gt;Feng Tang&lt;/author&gt;&lt;author&gt;Yongde Yue&lt;/author&gt;&lt;/authors&gt;&lt;/contributors&gt;&lt;auth-address&gt;School of Resource and Environment, Anhui Agricultural University, Hefei 230036, China;;International Center for Bamboo and Rattan, Beijing 100102, China&lt;/auth-address&gt;&lt;titles&gt;&lt;title&gt;The occurrence and distribution of antibiotics in Lake Chaohu, China: Seasonal variation, potential source and risk assessment&lt;/title&gt;&lt;secondary-title&gt;Chemosphere&lt;/secondary-title&gt;&lt;/titles&gt;&lt;periodical&gt;&lt;full-title&gt;Chemosphere&lt;/full-title&gt;&lt;/periodical&gt;&lt;volume&gt;122&lt;/volume&gt;&lt;keywords&gt;&lt;keyword&gt;Antibiotics&lt;/keyword&gt;&lt;keyword&gt;Lake Chaohu&lt;/keyword&gt;&lt;keyword&gt;Rivers&lt;/keyword&gt;&lt;keyword&gt;STPs effluent&lt;/keyword&gt;&lt;keyword&gt;Occurrence&lt;/keyword&gt;&lt;keyword&gt;Risk assessment&lt;/keyword&gt;&lt;/keywords&gt;&lt;dates&gt;&lt;year&gt;2015&lt;/year&gt;&lt;/dates&gt;&lt;isbn&gt;0045-6535&lt;/isbn&gt;&lt;urls&gt;&lt;/urls&gt;&lt;remote-database-provider&gt;Cnki&lt;/remote-database-provider&gt;&lt;/record&gt;&lt;/Cite&gt;&lt;/EndNote&gt;</w:instrText>
            </w:r>
            <w:r>
              <w:rPr>
                <w:rFonts w:ascii="Times New Roman" w:hAnsi="Times New Roman" w:eastAsia="宋体" w:cs="Times New Roman"/>
                <w:sz w:val="18"/>
                <w:szCs w:val="18"/>
                <w:lang w:eastAsia="zh-CN"/>
              </w:rPr>
              <w:fldChar w:fldCharType="separate"/>
            </w:r>
            <w:r>
              <w:rPr>
                <w:rFonts w:ascii="Times New Roman" w:hAnsi="Times New Roman" w:eastAsia="宋体" w:cs="Times New Roman"/>
                <w:sz w:val="18"/>
                <w:szCs w:val="18"/>
                <w:lang w:eastAsia="zh-CN"/>
              </w:rPr>
              <w:t>(Tang et al., 2015)</w:t>
            </w:r>
            <w:r>
              <w:rPr>
                <w:rFonts w:ascii="Times New Roman" w:hAnsi="Times New Roman" w:eastAsia="宋体" w:cs="Times New Roman"/>
                <w:sz w:val="18"/>
                <w:szCs w:val="18"/>
                <w:lang w:eastAsia="zh-CN"/>
              </w:rPr>
              <w:fldChar w:fldCharType="end"/>
            </w:r>
          </w:p>
        </w:tc>
      </w:tr>
      <w:tr>
        <w:trPr>
          <w:trHeight w:val="209" w:hRule="atLeast"/>
          <w:jc w:val="center"/>
        </w:trPr>
        <w:tc>
          <w:tcPr>
            <w:tcW w:w="1678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Sulfamethoxazole</w:t>
            </w:r>
          </w:p>
        </w:tc>
        <w:tc>
          <w:tcPr>
            <w:tcW w:w="756" w:type="dxa"/>
            <w:vAlign w:val="center"/>
          </w:tcPr>
          <w:p>
            <w:pPr>
              <w:pStyle w:val="20"/>
              <w:jc w:val="center"/>
              <w:rPr>
                <w:rFonts w:ascii="Times New Roman" w:hAnsi="Times New Roman" w:cs="Times New Roman"/>
                <w:w w:val="105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w w:val="105"/>
                <w:sz w:val="18"/>
                <w:szCs w:val="18"/>
              </w:rPr>
              <w:t>SMX</w:t>
            </w:r>
          </w:p>
        </w:tc>
        <w:tc>
          <w:tcPr>
            <w:tcW w:w="1764" w:type="dxa"/>
            <w:vAlign w:val="center"/>
          </w:tcPr>
          <w:p>
            <w:pPr>
              <w:pStyle w:val="20"/>
              <w:jc w:val="center"/>
              <w:rPr>
                <w:rFonts w:ascii="Times New Roman" w:hAnsi="Times New Roman" w:eastAsia="宋体" w:cs="Times New Roman"/>
                <w:w w:val="105"/>
                <w:sz w:val="18"/>
                <w:szCs w:val="18"/>
                <w:lang w:eastAsia="zh-CN"/>
              </w:rPr>
            </w:pPr>
            <w:r>
              <w:rPr>
                <w:rFonts w:ascii="Times New Roman" w:hAnsi="Times New Roman" w:eastAsia="宋体" w:cs="Times New Roman"/>
                <w:w w:val="105"/>
                <w:sz w:val="18"/>
                <w:szCs w:val="18"/>
                <w:lang w:eastAsia="zh-CN"/>
              </w:rPr>
              <w:t>S. capricornutum</w:t>
            </w:r>
          </w:p>
        </w:tc>
        <w:tc>
          <w:tcPr>
            <w:tcW w:w="1701" w:type="dxa"/>
            <w:vAlign w:val="center"/>
          </w:tcPr>
          <w:p>
            <w:pPr>
              <w:pStyle w:val="20"/>
              <w:jc w:val="center"/>
              <w:rPr>
                <w:rFonts w:ascii="Times New Roman" w:hAnsi="Times New Roman" w:eastAsia="宋体" w:cs="Times New Roman"/>
                <w:w w:val="105"/>
                <w:sz w:val="18"/>
                <w:szCs w:val="18"/>
                <w:lang w:eastAsia="zh-CN"/>
              </w:rPr>
            </w:pPr>
            <w:r>
              <w:rPr>
                <w:rFonts w:ascii="Times New Roman" w:hAnsi="Times New Roman" w:eastAsia="宋体" w:cs="Times New Roman"/>
                <w:w w:val="105"/>
                <w:sz w:val="18"/>
                <w:szCs w:val="18"/>
                <w:lang w:eastAsia="zh-CN"/>
              </w:rPr>
              <w:t>1.53(72 h)</w:t>
            </w:r>
          </w:p>
        </w:tc>
        <w:tc>
          <w:tcPr>
            <w:tcW w:w="567" w:type="dxa"/>
            <w:vAlign w:val="center"/>
          </w:tcPr>
          <w:p>
            <w:pPr>
              <w:pStyle w:val="20"/>
              <w:jc w:val="center"/>
              <w:rPr>
                <w:rFonts w:ascii="Times New Roman" w:hAnsi="Times New Roman" w:eastAsia="宋体" w:cs="Times New Roman"/>
                <w:w w:val="105"/>
                <w:sz w:val="18"/>
                <w:szCs w:val="18"/>
                <w:lang w:eastAsia="zh-CN"/>
              </w:rPr>
            </w:pPr>
            <w:r>
              <w:rPr>
                <w:rFonts w:ascii="Times New Roman" w:hAnsi="Times New Roman" w:eastAsia="宋体" w:cs="Times New Roman"/>
                <w:w w:val="105"/>
                <w:sz w:val="18"/>
                <w:szCs w:val="18"/>
                <w:lang w:eastAsia="zh-CN"/>
              </w:rPr>
              <w:t>100</w:t>
            </w:r>
          </w:p>
        </w:tc>
        <w:tc>
          <w:tcPr>
            <w:tcW w:w="1375" w:type="dxa"/>
            <w:vAlign w:val="center"/>
          </w:tcPr>
          <w:p>
            <w:pPr>
              <w:pStyle w:val="20"/>
              <w:jc w:val="center"/>
              <w:rPr>
                <w:rFonts w:ascii="Times New Roman" w:hAnsi="Times New Roman" w:eastAsia="宋体" w:cs="Times New Roman"/>
                <w:w w:val="105"/>
                <w:sz w:val="18"/>
                <w:szCs w:val="18"/>
                <w:lang w:eastAsia="zh-CN"/>
              </w:rPr>
            </w:pPr>
            <w:r>
              <w:rPr>
                <w:rFonts w:ascii="Times New Roman" w:hAnsi="Times New Roman" w:eastAsia="宋体" w:cs="Times New Roman"/>
                <w:w w:val="105"/>
                <w:sz w:val="18"/>
                <w:szCs w:val="18"/>
                <w:lang w:eastAsia="zh-CN"/>
              </w:rPr>
              <w:t>15300</w:t>
            </w:r>
          </w:p>
        </w:tc>
        <w:tc>
          <w:tcPr>
            <w:tcW w:w="2039" w:type="dxa"/>
            <w:vAlign w:val="center"/>
          </w:tcPr>
          <w:p>
            <w:pPr>
              <w:pStyle w:val="20"/>
              <w:jc w:val="center"/>
              <w:rPr>
                <w:rFonts w:ascii="Times New Roman" w:hAnsi="Times New Roman" w:eastAsia="宋体" w:cs="Times New Roman"/>
                <w:sz w:val="18"/>
                <w:szCs w:val="18"/>
                <w:lang w:eastAsia="zh-CN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fldChar w:fldCharType="begin"/>
            </w:r>
            <w:r>
              <w:rPr>
                <w:rFonts w:ascii="Times New Roman" w:hAnsi="Times New Roman" w:cs="Times New Roman"/>
                <w:sz w:val="18"/>
                <w:szCs w:val="18"/>
              </w:rPr>
              <w:instrText xml:space="preserve"> ADDIN EN.CITE &lt;EndNote&gt;&lt;Cite&gt;&lt;Author&gt;Sujung&lt;/Author&gt;&lt;Year&gt;2008&lt;/Year&gt;&lt;RecNum&gt;591&lt;/RecNum&gt;&lt;DisplayText&gt;&lt;style font="Times New Roman" size="12"&gt;(Sujung et al., 2008)&lt;/style&gt;&lt;/DisplayText&gt;&lt;record&gt;&lt;rec-number&gt;591&lt;/rec-number&gt;&lt;foreign-keys&gt;&lt;key app="EN" db-id="retxed2e7rptroex2fjxpv95vee0tdx99pxd" timestamp="1666622192"&gt;591&lt;/key&gt;&lt;/foreign-keys&gt;&lt;ref-type name="Journal Article"&gt;17&lt;/ref-type&gt;&lt;contributors&gt;&lt;authors&gt;&lt;author&gt;Park Sujung&lt;/author&gt;&lt;author&gt;Choi Kyungho&lt;/author&gt;&lt;/authors&gt;&lt;/contributors&gt;&lt;auth-address&gt;School of Public Health, Seoul National University, Seoul, Korea.&lt;/auth-address&gt;&lt;titles&gt;&lt;title&gt;Hazard assessment of commonly used agricultural antibiotics on aquatic ecosystems&lt;/title&gt;&lt;secondary-title&gt;Ecotoxicology (London, England)&lt;/secondary-title&gt;&lt;/titles&gt;&lt;periodical&gt;&lt;full-title&gt;Ecotoxicology (London, England)&lt;/full-title&gt;&lt;/periodical&gt;&lt;volume&gt;17&lt;/volume&gt;&lt;number&gt;6&lt;/number&gt;&lt;keywords&gt;&lt;keyword&gt;Veterinary antibiotics&lt;/keyword&gt;&lt;keyword&gt;Hazard assessment&lt;/keyword&gt;&lt;keyword&gt;Acute toxicity test&lt;/keyword&gt;&lt;keyword&gt;Chronic toxicity tests&lt;/keyword&gt;&lt;keyword&gt;Predicted no effect concentration&lt;/keyword&gt;&lt;/keywords&gt;&lt;dates&gt;&lt;year&gt;2008&lt;/year&gt;&lt;/dates&gt;&lt;isbn&gt;0963-9292&lt;/isbn&gt;&lt;urls&gt;&lt;/urls&gt;&lt;remote-database-provider&gt;Cnki&lt;/remote-database-provider&gt;&lt;/record&gt;&lt;/Cite&gt;&lt;/EndNote&gt;</w:instrText>
            </w:r>
            <w:r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>
              <w:rPr>
                <w:rFonts w:ascii="Times New Roman" w:hAnsi="Times New Roman" w:cs="Times New Roman"/>
                <w:sz w:val="18"/>
                <w:szCs w:val="18"/>
              </w:rPr>
              <w:t>(Sujung et al., 2008)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9" w:hRule="atLeast"/>
          <w:jc w:val="center"/>
        </w:trPr>
        <w:tc>
          <w:tcPr>
            <w:tcW w:w="1678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56" w:type="dxa"/>
            <w:vAlign w:val="center"/>
          </w:tcPr>
          <w:p>
            <w:pPr>
              <w:pStyle w:val="20"/>
              <w:jc w:val="center"/>
              <w:rPr>
                <w:rFonts w:ascii="Times New Roman" w:hAnsi="Times New Roman" w:cs="Times New Roman"/>
                <w:w w:val="105"/>
                <w:sz w:val="18"/>
                <w:szCs w:val="18"/>
              </w:rPr>
            </w:pPr>
          </w:p>
        </w:tc>
        <w:tc>
          <w:tcPr>
            <w:tcW w:w="1764" w:type="dxa"/>
            <w:vAlign w:val="center"/>
          </w:tcPr>
          <w:p>
            <w:pPr>
              <w:pStyle w:val="20"/>
              <w:jc w:val="center"/>
              <w:rPr>
                <w:rFonts w:ascii="Times New Roman" w:hAnsi="Times New Roman" w:eastAsia="宋体" w:cs="Times New Roman"/>
                <w:w w:val="105"/>
                <w:sz w:val="18"/>
                <w:szCs w:val="18"/>
                <w:lang w:eastAsia="zh-CN"/>
              </w:rPr>
            </w:pPr>
            <w:r>
              <w:rPr>
                <w:rFonts w:ascii="Times New Roman" w:hAnsi="Times New Roman" w:eastAsia="宋体" w:cs="Times New Roman"/>
                <w:w w:val="105"/>
                <w:sz w:val="18"/>
                <w:szCs w:val="18"/>
                <w:lang w:eastAsia="zh-CN"/>
              </w:rPr>
              <w:t>P. subcapitata</w:t>
            </w:r>
          </w:p>
        </w:tc>
        <w:tc>
          <w:tcPr>
            <w:tcW w:w="1701" w:type="dxa"/>
            <w:vAlign w:val="center"/>
          </w:tcPr>
          <w:p>
            <w:pPr>
              <w:pStyle w:val="20"/>
              <w:jc w:val="center"/>
              <w:rPr>
                <w:rFonts w:ascii="Times New Roman" w:hAnsi="Times New Roman" w:eastAsia="宋体" w:cs="Times New Roman"/>
                <w:w w:val="105"/>
                <w:sz w:val="18"/>
                <w:szCs w:val="18"/>
                <w:lang w:eastAsia="zh-CN"/>
              </w:rPr>
            </w:pPr>
            <w:r>
              <w:rPr>
                <w:rFonts w:ascii="Times New Roman" w:hAnsi="Times New Roman" w:eastAsia="宋体" w:cs="Times New Roman"/>
                <w:w w:val="105"/>
                <w:sz w:val="18"/>
                <w:szCs w:val="18"/>
                <w:lang w:eastAsia="zh-CN"/>
              </w:rPr>
              <w:t>0.146(96 h)</w:t>
            </w:r>
          </w:p>
        </w:tc>
        <w:tc>
          <w:tcPr>
            <w:tcW w:w="567" w:type="dxa"/>
            <w:vAlign w:val="center"/>
          </w:tcPr>
          <w:p>
            <w:pPr>
              <w:pStyle w:val="20"/>
              <w:jc w:val="center"/>
              <w:rPr>
                <w:rFonts w:ascii="Times New Roman" w:hAnsi="Times New Roman" w:eastAsia="宋体" w:cs="Times New Roman"/>
                <w:w w:val="105"/>
                <w:sz w:val="18"/>
                <w:szCs w:val="18"/>
                <w:lang w:eastAsia="zh-CN"/>
              </w:rPr>
            </w:pPr>
            <w:r>
              <w:rPr>
                <w:rFonts w:ascii="Times New Roman" w:hAnsi="Times New Roman" w:eastAsia="宋体" w:cs="Times New Roman"/>
                <w:w w:val="105"/>
                <w:sz w:val="18"/>
                <w:szCs w:val="18"/>
                <w:lang w:eastAsia="zh-CN"/>
              </w:rPr>
              <w:t>1000</w:t>
            </w:r>
          </w:p>
        </w:tc>
        <w:tc>
          <w:tcPr>
            <w:tcW w:w="1375" w:type="dxa"/>
            <w:vAlign w:val="center"/>
          </w:tcPr>
          <w:p>
            <w:pPr>
              <w:pStyle w:val="20"/>
              <w:jc w:val="center"/>
              <w:rPr>
                <w:rFonts w:ascii="Times New Roman" w:hAnsi="Times New Roman" w:eastAsia="宋体" w:cs="Times New Roman"/>
                <w:w w:val="105"/>
                <w:sz w:val="18"/>
                <w:szCs w:val="18"/>
                <w:lang w:eastAsia="zh-CN"/>
              </w:rPr>
            </w:pPr>
            <w:r>
              <w:rPr>
                <w:rFonts w:ascii="Times New Roman" w:hAnsi="Times New Roman" w:eastAsia="宋体" w:cs="Times New Roman"/>
                <w:w w:val="105"/>
                <w:sz w:val="18"/>
                <w:szCs w:val="18"/>
                <w:lang w:eastAsia="zh-CN"/>
              </w:rPr>
              <w:t>146</w:t>
            </w:r>
          </w:p>
        </w:tc>
        <w:tc>
          <w:tcPr>
            <w:tcW w:w="2039" w:type="dxa"/>
            <w:vAlign w:val="center"/>
          </w:tcPr>
          <w:p>
            <w:pPr>
              <w:pStyle w:val="2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fldChar w:fldCharType="begin"/>
            </w:r>
            <w:r>
              <w:rPr>
                <w:rFonts w:ascii="Times New Roman" w:hAnsi="Times New Roman" w:cs="Times New Roman"/>
                <w:sz w:val="18"/>
                <w:szCs w:val="18"/>
              </w:rPr>
              <w:instrText xml:space="preserve"> ADDIN EN.CITE &lt;EndNote&gt;&lt;Cite&gt;&lt;Author&gt;Sujung&lt;/Author&gt;&lt;Year&gt;2008&lt;/Year&gt;&lt;RecNum&gt;591&lt;/RecNum&gt;&lt;DisplayText&gt;&lt;style font="Times New Roman" size="12"&gt;(Sujung et al., 2008)&lt;/style&gt;&lt;/DisplayText&gt;&lt;record&gt;&lt;rec-number&gt;591&lt;/rec-number&gt;&lt;foreign-keys&gt;&lt;key app="EN" db-id="retxed2e7rptroex2fjxpv95vee0tdx99pxd" timestamp="1666622192"&gt;591&lt;/key&gt;&lt;/foreign-keys&gt;&lt;ref-type name="Journal Article"&gt;17&lt;/ref-type&gt;&lt;contributors&gt;&lt;authors&gt;&lt;author&gt;Park Sujung&lt;/author&gt;&lt;author&gt;Choi Kyungho&lt;/author&gt;&lt;/authors&gt;&lt;/contributors&gt;&lt;auth-address&gt;School of Public Health, Seoul National University, Seoul, Korea.&lt;/auth-address&gt;&lt;titles&gt;&lt;title&gt;Hazard assessment of commonly used agricultural antibiotics on aquatic ecosystems&lt;/title&gt;&lt;secondary-title&gt;Ecotoxicology (London, England)&lt;/secondary-title&gt;&lt;/titles&gt;&lt;periodical&gt;&lt;full-title&gt;Ecotoxicology (London, England)&lt;/full-title&gt;&lt;/periodical&gt;&lt;volume&gt;17&lt;/volume&gt;&lt;number&gt;6&lt;/number&gt;&lt;keywords&gt;&lt;keyword&gt;Veterinary antibiotics&lt;/keyword&gt;&lt;keyword&gt;Hazard assessment&lt;/keyword&gt;&lt;keyword&gt;Acute toxicity test&lt;/keyword&gt;&lt;keyword&gt;Chronic toxicity tests&lt;/keyword&gt;&lt;keyword&gt;Predicted no effect concentration&lt;/keyword&gt;&lt;/keywords&gt;&lt;dates&gt;&lt;year&gt;2008&lt;/year&gt;&lt;/dates&gt;&lt;isbn&gt;0963-9292&lt;/isbn&gt;&lt;urls&gt;&lt;/urls&gt;&lt;remote-database-provider&gt;Cnki&lt;/remote-database-provider&gt;&lt;/record&gt;&lt;/Cite&gt;&lt;/EndNote&gt;</w:instrText>
            </w:r>
            <w:r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>
              <w:rPr>
                <w:rFonts w:ascii="Times New Roman" w:hAnsi="Times New Roman" w:cs="Times New Roman"/>
                <w:sz w:val="18"/>
                <w:szCs w:val="18"/>
              </w:rPr>
              <w:t>(Sujung et al., 2008)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6" w:hRule="atLeast"/>
          <w:jc w:val="center"/>
        </w:trPr>
        <w:tc>
          <w:tcPr>
            <w:tcW w:w="1678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Sulfapyridine</w:t>
            </w:r>
          </w:p>
        </w:tc>
        <w:tc>
          <w:tcPr>
            <w:tcW w:w="756" w:type="dxa"/>
            <w:vAlign w:val="center"/>
          </w:tcPr>
          <w:p>
            <w:pPr>
              <w:pStyle w:val="20"/>
              <w:jc w:val="center"/>
              <w:rPr>
                <w:rFonts w:ascii="Times New Roman" w:hAnsi="Times New Roman" w:cs="Times New Roman"/>
                <w:w w:val="105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w w:val="105"/>
                <w:sz w:val="18"/>
                <w:szCs w:val="18"/>
                <w:lang w:eastAsia="zh-CN"/>
              </w:rPr>
              <w:t>SPD</w:t>
            </w:r>
          </w:p>
        </w:tc>
        <w:tc>
          <w:tcPr>
            <w:tcW w:w="1764" w:type="dxa"/>
            <w:vAlign w:val="center"/>
          </w:tcPr>
          <w:p>
            <w:pPr>
              <w:pStyle w:val="20"/>
              <w:jc w:val="center"/>
              <w:rPr>
                <w:rFonts w:ascii="Times New Roman" w:hAnsi="Times New Roman" w:eastAsia="宋体" w:cs="Times New Roman"/>
                <w:w w:val="105"/>
                <w:sz w:val="18"/>
                <w:szCs w:val="18"/>
                <w:lang w:eastAsia="zh-CN"/>
              </w:rPr>
            </w:pPr>
            <w:r>
              <w:rPr>
                <w:rFonts w:ascii="Times New Roman" w:hAnsi="Times New Roman" w:eastAsia="宋体" w:cs="Times New Roman"/>
                <w:w w:val="105"/>
                <w:sz w:val="18"/>
                <w:szCs w:val="18"/>
                <w:lang w:eastAsia="zh-CN"/>
              </w:rPr>
              <w:t>H. attenuata</w:t>
            </w:r>
          </w:p>
        </w:tc>
        <w:tc>
          <w:tcPr>
            <w:tcW w:w="1701" w:type="dxa"/>
            <w:vAlign w:val="center"/>
          </w:tcPr>
          <w:p>
            <w:pPr>
              <w:pStyle w:val="20"/>
              <w:jc w:val="center"/>
              <w:rPr>
                <w:rFonts w:ascii="Times New Roman" w:hAnsi="Times New Roman" w:eastAsia="宋体" w:cs="Times New Roman"/>
                <w:w w:val="105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w w:val="105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567" w:type="dxa"/>
            <w:vAlign w:val="center"/>
          </w:tcPr>
          <w:p>
            <w:pPr>
              <w:pStyle w:val="20"/>
              <w:jc w:val="center"/>
              <w:rPr>
                <w:rFonts w:ascii="Times New Roman" w:hAnsi="Times New Roman" w:eastAsia="宋体" w:cs="Times New Roman"/>
                <w:w w:val="105"/>
                <w:sz w:val="18"/>
                <w:szCs w:val="18"/>
                <w:lang w:eastAsia="zh-CN"/>
              </w:rPr>
            </w:pPr>
            <w:r>
              <w:rPr>
                <w:rFonts w:ascii="Times New Roman" w:hAnsi="Times New Roman" w:eastAsia="宋体" w:cs="Times New Roman"/>
                <w:w w:val="105"/>
                <w:sz w:val="18"/>
                <w:szCs w:val="18"/>
                <w:lang w:eastAsia="zh-CN"/>
              </w:rPr>
              <w:t>1000</w:t>
            </w:r>
          </w:p>
        </w:tc>
        <w:tc>
          <w:tcPr>
            <w:tcW w:w="1375" w:type="dxa"/>
            <w:vAlign w:val="center"/>
          </w:tcPr>
          <w:p>
            <w:pPr>
              <w:pStyle w:val="20"/>
              <w:jc w:val="center"/>
              <w:rPr>
                <w:rFonts w:ascii="Times New Roman" w:hAnsi="Times New Roman" w:eastAsia="宋体" w:cs="Times New Roman"/>
                <w:w w:val="105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w w:val="105"/>
                <w:sz w:val="18"/>
                <w:szCs w:val="18"/>
                <w:lang w:eastAsia="zh-CN"/>
              </w:rPr>
              <w:t>10 00</w:t>
            </w:r>
          </w:p>
        </w:tc>
        <w:tc>
          <w:tcPr>
            <w:tcW w:w="2039" w:type="dxa"/>
            <w:vAlign w:val="center"/>
          </w:tcPr>
          <w:p>
            <w:pPr>
              <w:pStyle w:val="2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w w:val="105"/>
                <w:sz w:val="18"/>
                <w:szCs w:val="18"/>
                <w:lang w:eastAsia="zh-CN"/>
              </w:rPr>
              <w:fldChar w:fldCharType="begin"/>
            </w:r>
            <w:r>
              <w:rPr>
                <w:rFonts w:ascii="Times New Roman" w:hAnsi="Times New Roman" w:cs="Times New Roman"/>
                <w:w w:val="105"/>
                <w:sz w:val="18"/>
                <w:szCs w:val="18"/>
                <w:lang w:eastAsia="zh-CN"/>
              </w:rPr>
              <w:instrText xml:space="preserve"> ADDIN EN.CITE &lt;EndNote&gt;&lt;Cite&gt;&lt;Author&gt;Li-Jun&lt;/Author&gt;&lt;Year&gt;2016&lt;/Year&gt;&lt;RecNum&gt;589&lt;/RecNum&gt;&lt;DisplayText&gt;&lt;style font="Times New Roman" size="12"&gt;(Li-Jun et al., 2016)&lt;/style&gt;&lt;/DisplayText&gt;&lt;record&gt;&lt;rec-number&gt;589&lt;/rec-number&gt;&lt;foreign-keys&gt;&lt;key app="EN" db-id="retxed2e7rptroex2fjxpv95vee0tdx99pxd" timestamp="1666622192"&gt;589&lt;/key&gt;&lt;/foreign-keys&gt;&lt;ref-type name="Journal Article"&gt;17&lt;/ref-type&gt;&lt;contributors&gt;&lt;authors&gt;&lt;author&gt;Zhou Li-Jun&lt;/author&gt;&lt;author&gt;Wu Qinglong L&lt;/author&gt;&lt;author&gt;Zhang Bei-Bei&lt;/author&gt;&lt;author&gt;Zhao Yong-Gang&lt;/author&gt;&lt;author&gt;Zhao Bi-Ying&lt;/author&gt;&lt;/authors&gt;&lt;/contributors&gt;&lt;auth-address&gt;State Key Laboratory of Lake Science and Environment, Nanjing Institute of Geography and Limnology, Chinese Academy of Sciences, Nanjing, China. qlwu@niglas.ac.cn ljzhou@niglas.ac.cn.&lt;/auth-address&gt;&lt;titles&gt;&lt;title&gt;Occurrence, spatiotemporal distribution, mass balance and ecological risks of antibiotics in subtropical shallow Lake Taihu, China&lt;/title&gt;&lt;secondary-title&gt;Environmental science. Processes &amp;amp; impacts&lt;/secondary-title&gt;&lt;/titles&gt;&lt;periodical&gt;&lt;full-title&gt;Environmental science. Processes &amp;amp; impacts&lt;/full-title&gt;&lt;/periodical&gt;&lt;volume&gt;18&lt;/volume&gt;&lt;number&gt;4&lt;/number&gt;&lt;dates&gt;&lt;year&gt;2016&lt;/year&gt;&lt;/dates&gt;&lt;isbn&gt;2050-7887&lt;/isbn&gt;&lt;urls&gt;&lt;/urls&gt;&lt;remote-database-provider&gt;Cnki&lt;/remote-database-provider&gt;&lt;/record&gt;&lt;/Cite&gt;&lt;/EndNote&gt;</w:instrText>
            </w:r>
            <w:r>
              <w:rPr>
                <w:rFonts w:ascii="Times New Roman" w:hAnsi="Times New Roman" w:cs="Times New Roman"/>
                <w:w w:val="105"/>
                <w:sz w:val="18"/>
                <w:szCs w:val="18"/>
                <w:lang w:eastAsia="zh-CN"/>
              </w:rPr>
              <w:fldChar w:fldCharType="separate"/>
            </w:r>
            <w:r>
              <w:rPr>
                <w:rFonts w:ascii="Times New Roman" w:hAnsi="Times New Roman" w:cs="Times New Roman"/>
                <w:w w:val="105"/>
                <w:sz w:val="18"/>
                <w:szCs w:val="18"/>
                <w:lang w:eastAsia="zh-CN"/>
              </w:rPr>
              <w:t>(Li-Jun et al., 2016)</w:t>
            </w:r>
            <w:r>
              <w:rPr>
                <w:rFonts w:ascii="Times New Roman" w:hAnsi="Times New Roman" w:cs="Times New Roman"/>
                <w:w w:val="105"/>
                <w:sz w:val="18"/>
                <w:szCs w:val="18"/>
                <w:lang w:eastAsia="zh-CN"/>
              </w:rPr>
              <w:fldChar w:fldCharType="end"/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" w:hRule="atLeast"/>
          <w:jc w:val="center"/>
        </w:trPr>
        <w:tc>
          <w:tcPr>
            <w:tcW w:w="1678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Ofloxacin</w:t>
            </w:r>
          </w:p>
        </w:tc>
        <w:tc>
          <w:tcPr>
            <w:tcW w:w="756" w:type="dxa"/>
            <w:vAlign w:val="center"/>
          </w:tcPr>
          <w:p>
            <w:pPr>
              <w:pStyle w:val="20"/>
              <w:jc w:val="center"/>
              <w:rPr>
                <w:rFonts w:ascii="Times New Roman" w:hAnsi="Times New Roman" w:cs="Times New Roman"/>
                <w:w w:val="105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w w:val="105"/>
                <w:sz w:val="18"/>
                <w:szCs w:val="18"/>
              </w:rPr>
              <w:t>OF</w:t>
            </w:r>
            <w:r>
              <w:rPr>
                <w:rFonts w:ascii="Times New Roman" w:hAnsi="Times New Roman" w:cs="Times New Roman"/>
                <w:w w:val="105"/>
                <w:sz w:val="18"/>
                <w:szCs w:val="18"/>
                <w:lang w:eastAsia="zh-CN"/>
              </w:rPr>
              <w:t>X</w:t>
            </w:r>
          </w:p>
        </w:tc>
        <w:tc>
          <w:tcPr>
            <w:tcW w:w="1764" w:type="dxa"/>
            <w:vAlign w:val="center"/>
          </w:tcPr>
          <w:p>
            <w:pPr>
              <w:pStyle w:val="20"/>
              <w:jc w:val="center"/>
              <w:rPr>
                <w:rFonts w:ascii="Times New Roman" w:hAnsi="Times New Roman" w:eastAsia="宋体" w:cs="Times New Roman"/>
                <w:w w:val="105"/>
                <w:sz w:val="18"/>
                <w:szCs w:val="18"/>
                <w:lang w:eastAsia="zh-CN"/>
              </w:rPr>
            </w:pPr>
            <w:r>
              <w:rPr>
                <w:rFonts w:ascii="Times New Roman" w:hAnsi="Times New Roman" w:eastAsia="宋体" w:cs="Times New Roman"/>
                <w:w w:val="105"/>
                <w:sz w:val="18"/>
                <w:szCs w:val="18"/>
                <w:lang w:eastAsia="zh-CN"/>
              </w:rPr>
              <w:t>M. aeruginosa</w:t>
            </w:r>
          </w:p>
        </w:tc>
        <w:tc>
          <w:tcPr>
            <w:tcW w:w="1701" w:type="dxa"/>
            <w:vAlign w:val="center"/>
          </w:tcPr>
          <w:p>
            <w:pPr>
              <w:pStyle w:val="20"/>
              <w:jc w:val="center"/>
              <w:rPr>
                <w:rFonts w:ascii="Times New Roman" w:hAnsi="Times New Roman" w:eastAsia="宋体" w:cs="Times New Roman"/>
                <w:w w:val="105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w w:val="105"/>
                <w:sz w:val="18"/>
                <w:szCs w:val="18"/>
                <w:lang w:eastAsia="zh-CN"/>
              </w:rPr>
              <w:t>0.021(24 h)</w:t>
            </w:r>
          </w:p>
        </w:tc>
        <w:tc>
          <w:tcPr>
            <w:tcW w:w="567" w:type="dxa"/>
            <w:vAlign w:val="center"/>
          </w:tcPr>
          <w:p>
            <w:pPr>
              <w:pStyle w:val="20"/>
              <w:jc w:val="center"/>
              <w:rPr>
                <w:rFonts w:ascii="Times New Roman" w:hAnsi="Times New Roman" w:eastAsia="宋体" w:cs="Times New Roman"/>
                <w:w w:val="105"/>
                <w:sz w:val="18"/>
                <w:szCs w:val="18"/>
                <w:lang w:eastAsia="zh-CN"/>
              </w:rPr>
            </w:pPr>
            <w:r>
              <w:rPr>
                <w:rFonts w:ascii="Times New Roman" w:hAnsi="Times New Roman" w:eastAsia="宋体" w:cs="Times New Roman"/>
                <w:w w:val="105"/>
                <w:sz w:val="18"/>
                <w:szCs w:val="18"/>
                <w:lang w:eastAsia="zh-CN"/>
              </w:rPr>
              <w:t>1000</w:t>
            </w:r>
          </w:p>
        </w:tc>
        <w:tc>
          <w:tcPr>
            <w:tcW w:w="1375" w:type="dxa"/>
            <w:vAlign w:val="center"/>
          </w:tcPr>
          <w:p>
            <w:pPr>
              <w:pStyle w:val="20"/>
              <w:jc w:val="center"/>
              <w:rPr>
                <w:rFonts w:ascii="Times New Roman" w:hAnsi="Times New Roman" w:eastAsia="宋体" w:cs="Times New Roman"/>
                <w:w w:val="105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w w:val="105"/>
                <w:sz w:val="18"/>
                <w:szCs w:val="18"/>
                <w:lang w:eastAsia="zh-CN"/>
              </w:rPr>
              <w:t>21</w:t>
            </w:r>
          </w:p>
        </w:tc>
        <w:tc>
          <w:tcPr>
            <w:tcW w:w="2039" w:type="dxa"/>
            <w:vAlign w:val="center"/>
          </w:tcPr>
          <w:p>
            <w:pPr>
              <w:pStyle w:val="20"/>
              <w:jc w:val="center"/>
              <w:rPr>
                <w:rFonts w:ascii="Times New Roman" w:hAnsi="Times New Roman" w:eastAsia="宋体" w:cs="Times New Roman"/>
                <w:sz w:val="18"/>
                <w:szCs w:val="18"/>
                <w:lang w:eastAsia="zh-CN"/>
              </w:rPr>
            </w:pPr>
            <w:r>
              <w:rPr>
                <w:rFonts w:ascii="Times New Roman" w:hAnsi="Times New Roman" w:cs="Times New Roman"/>
                <w:w w:val="105"/>
                <w:sz w:val="18"/>
                <w:szCs w:val="18"/>
                <w:lang w:eastAsia="zh-CN"/>
              </w:rPr>
              <w:fldChar w:fldCharType="begin"/>
            </w:r>
            <w:r>
              <w:rPr>
                <w:rFonts w:ascii="Times New Roman" w:hAnsi="Times New Roman" w:cs="Times New Roman"/>
                <w:w w:val="105"/>
                <w:sz w:val="18"/>
                <w:szCs w:val="18"/>
                <w:lang w:eastAsia="zh-CN"/>
              </w:rPr>
              <w:instrText xml:space="preserve"> ADDIN EN.CITE &lt;EndNote&gt;&lt;Cite&gt;&lt;Author&gt;Li-Jun&lt;/Author&gt;&lt;Year&gt;2016&lt;/Year&gt;&lt;RecNum&gt;589&lt;/RecNum&gt;&lt;DisplayText&gt;&lt;style font="Times New Roman" size="12"&gt;(Li-Jun et al., 2016)&lt;/style&gt;&lt;/DisplayText&gt;&lt;record&gt;&lt;rec-number&gt;589&lt;/rec-number&gt;&lt;foreign-keys&gt;&lt;key app="EN" db-id="retxed2e7rptroex2fjxpv95vee0tdx99pxd" timestamp="1666622192"&gt;589&lt;/key&gt;&lt;/foreign-keys&gt;&lt;ref-type name="Journal Article"&gt;17&lt;/ref-type&gt;&lt;contributors&gt;&lt;authors&gt;&lt;author&gt;Zhou Li-Jun&lt;/author&gt;&lt;author&gt;Wu Qinglong L&lt;/author&gt;&lt;author&gt;Zhang Bei-Bei&lt;/author&gt;&lt;author&gt;Zhao Yong-Gang&lt;/author&gt;&lt;author&gt;Zhao Bi-Ying&lt;/author&gt;&lt;/authors&gt;&lt;/contributors&gt;&lt;auth-address&gt;State Key Laboratory of Lake Science and Environment, Nanjing Institute of Geography and Limnology, Chinese Academy of Sciences, Nanjing, China. qlwu@niglas.ac.cn ljzhou@niglas.ac.cn.&lt;/auth-address&gt;&lt;titles&gt;&lt;title&gt;Occurrence, spatiotemporal distribution, mass balance and ecological risks of antibiotics in subtropical shallow Lake Taihu, China&lt;/title&gt;&lt;secondary-title&gt;Environmental science. Processes &amp;amp; impacts&lt;/secondary-title&gt;&lt;/titles&gt;&lt;periodical&gt;&lt;full-title&gt;Environmental science. Processes &amp;amp; impacts&lt;/full-title&gt;&lt;/periodical&gt;&lt;volume&gt;18&lt;/volume&gt;&lt;number&gt;4&lt;/number&gt;&lt;dates&gt;&lt;year&gt;2016&lt;/year&gt;&lt;/dates&gt;&lt;isbn&gt;2050-7887&lt;/isbn&gt;&lt;urls&gt;&lt;/urls&gt;&lt;remote-database-provider&gt;Cnki&lt;/remote-database-provider&gt;&lt;/record&gt;&lt;/Cite&gt;&lt;/EndNote&gt;</w:instrText>
            </w:r>
            <w:r>
              <w:rPr>
                <w:rFonts w:ascii="Times New Roman" w:hAnsi="Times New Roman" w:cs="Times New Roman"/>
                <w:w w:val="105"/>
                <w:sz w:val="18"/>
                <w:szCs w:val="18"/>
                <w:lang w:eastAsia="zh-CN"/>
              </w:rPr>
              <w:fldChar w:fldCharType="separate"/>
            </w:r>
            <w:r>
              <w:rPr>
                <w:rFonts w:ascii="Times New Roman" w:hAnsi="Times New Roman" w:cs="Times New Roman"/>
                <w:w w:val="105"/>
                <w:sz w:val="18"/>
                <w:szCs w:val="18"/>
                <w:lang w:eastAsia="zh-CN"/>
              </w:rPr>
              <w:t>(Li-Jun et al., 2016)</w:t>
            </w:r>
            <w:r>
              <w:rPr>
                <w:rFonts w:ascii="Times New Roman" w:hAnsi="Times New Roman" w:cs="Times New Roman"/>
                <w:w w:val="105"/>
                <w:sz w:val="18"/>
                <w:szCs w:val="18"/>
                <w:lang w:eastAsia="zh-CN"/>
              </w:rPr>
              <w:fldChar w:fldCharType="end"/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" w:hRule="atLeast"/>
          <w:jc w:val="center"/>
        </w:trPr>
        <w:tc>
          <w:tcPr>
            <w:tcW w:w="1678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56" w:type="dxa"/>
            <w:vAlign w:val="center"/>
          </w:tcPr>
          <w:p>
            <w:pPr>
              <w:pStyle w:val="20"/>
              <w:jc w:val="center"/>
              <w:rPr>
                <w:rFonts w:ascii="Times New Roman" w:hAnsi="Times New Roman" w:cs="Times New Roman"/>
                <w:w w:val="105"/>
                <w:sz w:val="18"/>
                <w:szCs w:val="18"/>
              </w:rPr>
            </w:pPr>
          </w:p>
        </w:tc>
        <w:tc>
          <w:tcPr>
            <w:tcW w:w="1764" w:type="dxa"/>
            <w:vAlign w:val="center"/>
          </w:tcPr>
          <w:p>
            <w:pPr>
              <w:pStyle w:val="20"/>
              <w:jc w:val="center"/>
              <w:rPr>
                <w:rFonts w:ascii="Times New Roman" w:hAnsi="Times New Roman" w:eastAsia="宋体" w:cs="Times New Roman"/>
                <w:w w:val="105"/>
                <w:sz w:val="18"/>
                <w:szCs w:val="18"/>
                <w:lang w:eastAsia="zh-CN"/>
              </w:rPr>
            </w:pPr>
            <w:r>
              <w:rPr>
                <w:rFonts w:ascii="Times New Roman" w:hAnsi="Times New Roman" w:eastAsia="宋体" w:cs="Times New Roman"/>
                <w:w w:val="105"/>
                <w:sz w:val="18"/>
                <w:szCs w:val="18"/>
                <w:lang w:eastAsia="zh-CN"/>
              </w:rPr>
              <w:t>S. leopoliensis</w:t>
            </w:r>
          </w:p>
        </w:tc>
        <w:tc>
          <w:tcPr>
            <w:tcW w:w="1701" w:type="dxa"/>
            <w:vAlign w:val="center"/>
          </w:tcPr>
          <w:p>
            <w:pPr>
              <w:pStyle w:val="20"/>
              <w:jc w:val="center"/>
              <w:rPr>
                <w:rFonts w:ascii="Times New Roman" w:hAnsi="Times New Roman" w:eastAsia="宋体" w:cs="Times New Roman"/>
                <w:w w:val="105"/>
                <w:sz w:val="18"/>
                <w:szCs w:val="18"/>
                <w:lang w:eastAsia="zh-CN"/>
              </w:rPr>
            </w:pPr>
            <w:r>
              <w:rPr>
                <w:rFonts w:ascii="Times New Roman" w:hAnsi="Times New Roman" w:eastAsia="宋体" w:cs="Times New Roman"/>
                <w:w w:val="105"/>
                <w:sz w:val="18"/>
                <w:szCs w:val="18"/>
                <w:lang w:eastAsia="zh-CN"/>
              </w:rPr>
              <w:t>0.016</w:t>
            </w:r>
          </w:p>
        </w:tc>
        <w:tc>
          <w:tcPr>
            <w:tcW w:w="567" w:type="dxa"/>
            <w:vAlign w:val="center"/>
          </w:tcPr>
          <w:p>
            <w:pPr>
              <w:pStyle w:val="20"/>
              <w:jc w:val="center"/>
              <w:rPr>
                <w:rFonts w:ascii="Times New Roman" w:hAnsi="Times New Roman" w:eastAsia="宋体" w:cs="Times New Roman"/>
                <w:w w:val="105"/>
                <w:sz w:val="18"/>
                <w:szCs w:val="18"/>
                <w:lang w:eastAsia="zh-CN"/>
              </w:rPr>
            </w:pPr>
            <w:r>
              <w:rPr>
                <w:rFonts w:ascii="Times New Roman" w:hAnsi="Times New Roman" w:eastAsia="宋体" w:cs="Times New Roman"/>
                <w:w w:val="105"/>
                <w:sz w:val="18"/>
                <w:szCs w:val="18"/>
                <w:lang w:eastAsia="zh-CN"/>
              </w:rPr>
              <w:t>1000</w:t>
            </w:r>
          </w:p>
        </w:tc>
        <w:tc>
          <w:tcPr>
            <w:tcW w:w="1375" w:type="dxa"/>
            <w:vAlign w:val="center"/>
          </w:tcPr>
          <w:p>
            <w:pPr>
              <w:pStyle w:val="20"/>
              <w:jc w:val="center"/>
              <w:rPr>
                <w:rFonts w:ascii="Times New Roman" w:hAnsi="Times New Roman" w:eastAsia="宋体" w:cs="Times New Roman"/>
                <w:w w:val="105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w w:val="105"/>
                <w:sz w:val="18"/>
                <w:szCs w:val="18"/>
                <w:lang w:eastAsia="zh-CN"/>
              </w:rPr>
              <w:t>16</w:t>
            </w:r>
          </w:p>
        </w:tc>
        <w:tc>
          <w:tcPr>
            <w:tcW w:w="2039" w:type="dxa"/>
            <w:vAlign w:val="center"/>
          </w:tcPr>
          <w:p>
            <w:pPr>
              <w:pStyle w:val="20"/>
              <w:jc w:val="center"/>
              <w:rPr>
                <w:rFonts w:ascii="Times New Roman" w:hAnsi="Times New Roman" w:eastAsia="宋体" w:cs="Times New Roman"/>
                <w:sz w:val="18"/>
                <w:szCs w:val="18"/>
                <w:lang w:eastAsia="zh-CN"/>
              </w:rPr>
            </w:pPr>
            <w:r>
              <w:rPr>
                <w:rFonts w:ascii="Times New Roman" w:hAnsi="Times New Roman" w:cs="Times New Roman"/>
                <w:w w:val="105"/>
                <w:sz w:val="18"/>
                <w:szCs w:val="18"/>
                <w:lang w:eastAsia="zh-CN"/>
              </w:rPr>
              <w:fldChar w:fldCharType="begin"/>
            </w:r>
            <w:r>
              <w:rPr>
                <w:rFonts w:ascii="Times New Roman" w:hAnsi="Times New Roman" w:cs="Times New Roman"/>
                <w:w w:val="105"/>
                <w:sz w:val="18"/>
                <w:szCs w:val="18"/>
                <w:lang w:eastAsia="zh-CN"/>
              </w:rPr>
              <w:instrText xml:space="preserve"> ADDIN EN.CITE &lt;EndNote&gt;&lt;Cite&gt;&lt;Author&gt;Li-Jun&lt;/Author&gt;&lt;Year&gt;2016&lt;/Year&gt;&lt;RecNum&gt;589&lt;/RecNum&gt;&lt;DisplayText&gt;&lt;style font="Times New Roman" size="12"&gt;(Li-Jun et al., 2016)&lt;/style&gt;&lt;/DisplayText&gt;&lt;record&gt;&lt;rec-number&gt;589&lt;/rec-number&gt;&lt;foreign-keys&gt;&lt;key app="EN" db-id="retxed2e7rptroex2fjxpv95vee0tdx99pxd" timestamp="1666622192"&gt;589&lt;/key&gt;&lt;/foreign-keys&gt;&lt;ref-type name="Journal Article"&gt;17&lt;/ref-type&gt;&lt;contributors&gt;&lt;authors&gt;&lt;author&gt;Zhou Li-Jun&lt;/author&gt;&lt;author&gt;Wu Qinglong L&lt;/author&gt;&lt;author&gt;Zhang Bei-Bei&lt;/author&gt;&lt;author&gt;Zhao Yong-Gang&lt;/author&gt;&lt;author&gt;Zhao Bi-Ying&lt;/author&gt;&lt;/authors&gt;&lt;/contributors&gt;&lt;auth-address&gt;State Key Laboratory of Lake Science and Environment, Nanjing Institute of Geography and Limnology, Chinese Academy of Sciences, Nanjing, China. qlwu@niglas.ac.cn ljzhou@niglas.ac.cn.&lt;/auth-address&gt;&lt;titles&gt;&lt;title&gt;Occurrence, spatiotemporal distribution, mass balance and ecological risks of antibiotics in subtropical shallow Lake Taihu, China&lt;/title&gt;&lt;secondary-title&gt;Environmental science. Processes &amp;amp; impacts&lt;/secondary-title&gt;&lt;/titles&gt;&lt;periodical&gt;&lt;full-title&gt;Environmental science. Processes &amp;amp; impacts&lt;/full-title&gt;&lt;/periodical&gt;&lt;volume&gt;18&lt;/volume&gt;&lt;number&gt;4&lt;/number&gt;&lt;dates&gt;&lt;year&gt;2016&lt;/year&gt;&lt;/dates&gt;&lt;isbn&gt;2050-7887&lt;/isbn&gt;&lt;urls&gt;&lt;/urls&gt;&lt;remote-database-provider&gt;Cnki&lt;/remote-database-provider&gt;&lt;/record&gt;&lt;/Cite&gt;&lt;/EndNote&gt;</w:instrText>
            </w:r>
            <w:r>
              <w:rPr>
                <w:rFonts w:ascii="Times New Roman" w:hAnsi="Times New Roman" w:cs="Times New Roman"/>
                <w:w w:val="105"/>
                <w:sz w:val="18"/>
                <w:szCs w:val="18"/>
                <w:lang w:eastAsia="zh-CN"/>
              </w:rPr>
              <w:fldChar w:fldCharType="separate"/>
            </w:r>
            <w:r>
              <w:rPr>
                <w:rFonts w:ascii="Times New Roman" w:hAnsi="Times New Roman" w:cs="Times New Roman"/>
                <w:w w:val="105"/>
                <w:sz w:val="18"/>
                <w:szCs w:val="18"/>
                <w:lang w:eastAsia="zh-CN"/>
              </w:rPr>
              <w:t>(Li-Jun et al., 2016)</w:t>
            </w:r>
            <w:r>
              <w:rPr>
                <w:rFonts w:ascii="Times New Roman" w:hAnsi="Times New Roman" w:cs="Times New Roman"/>
                <w:w w:val="105"/>
                <w:sz w:val="18"/>
                <w:szCs w:val="18"/>
                <w:lang w:eastAsia="zh-CN"/>
              </w:rPr>
              <w:fldChar w:fldCharType="end"/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6" w:hRule="atLeast"/>
          <w:jc w:val="center"/>
        </w:trPr>
        <w:tc>
          <w:tcPr>
            <w:tcW w:w="1678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Tylosin</w:t>
            </w:r>
          </w:p>
        </w:tc>
        <w:tc>
          <w:tcPr>
            <w:tcW w:w="756" w:type="dxa"/>
            <w:vAlign w:val="center"/>
          </w:tcPr>
          <w:p>
            <w:pPr>
              <w:pStyle w:val="20"/>
              <w:jc w:val="center"/>
              <w:rPr>
                <w:rFonts w:ascii="Times New Roman" w:hAnsi="Times New Roman" w:cs="Times New Roman"/>
                <w:w w:val="105"/>
                <w:sz w:val="18"/>
                <w:szCs w:val="18"/>
                <w:lang w:eastAsia="zh-CN"/>
              </w:rPr>
            </w:pPr>
            <w:r>
              <w:rPr>
                <w:rFonts w:ascii="Times New Roman" w:hAnsi="Times New Roman" w:cs="Times New Roman"/>
                <w:w w:val="105"/>
                <w:sz w:val="18"/>
                <w:szCs w:val="18"/>
                <w:lang w:eastAsia="zh-CN"/>
              </w:rPr>
              <w:t>TYL</w:t>
            </w:r>
          </w:p>
        </w:tc>
        <w:tc>
          <w:tcPr>
            <w:tcW w:w="1764" w:type="dxa"/>
            <w:vAlign w:val="center"/>
          </w:tcPr>
          <w:p>
            <w:pPr>
              <w:pStyle w:val="20"/>
              <w:jc w:val="center"/>
              <w:rPr>
                <w:rFonts w:ascii="Times New Roman" w:hAnsi="Times New Roman" w:eastAsia="宋体" w:cs="Times New Roman"/>
                <w:w w:val="105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w w:val="105"/>
                <w:sz w:val="18"/>
                <w:szCs w:val="18"/>
              </w:rPr>
              <w:t>M. aeruginosa</w:t>
            </w:r>
          </w:p>
        </w:tc>
        <w:tc>
          <w:tcPr>
            <w:tcW w:w="1701" w:type="dxa"/>
            <w:vAlign w:val="center"/>
          </w:tcPr>
          <w:p>
            <w:pPr>
              <w:pStyle w:val="20"/>
              <w:jc w:val="center"/>
              <w:rPr>
                <w:rFonts w:ascii="Times New Roman" w:hAnsi="Times New Roman" w:eastAsia="宋体" w:cs="Times New Roman"/>
                <w:w w:val="105"/>
                <w:sz w:val="18"/>
                <w:szCs w:val="18"/>
                <w:lang w:eastAsia="zh-CN"/>
              </w:rPr>
            </w:pPr>
            <w:r>
              <w:rPr>
                <w:rFonts w:ascii="Times New Roman" w:hAnsi="Times New Roman" w:eastAsia="宋体" w:cs="Times New Roman"/>
                <w:w w:val="105"/>
                <w:sz w:val="18"/>
                <w:szCs w:val="18"/>
                <w:lang w:eastAsia="zh-CN"/>
              </w:rPr>
              <w:t>0.034</w:t>
            </w:r>
          </w:p>
        </w:tc>
        <w:tc>
          <w:tcPr>
            <w:tcW w:w="567" w:type="dxa"/>
            <w:vAlign w:val="center"/>
          </w:tcPr>
          <w:p>
            <w:pPr>
              <w:pStyle w:val="20"/>
              <w:jc w:val="center"/>
              <w:rPr>
                <w:rFonts w:ascii="Times New Roman" w:hAnsi="Times New Roman" w:eastAsia="宋体" w:cs="Times New Roman"/>
                <w:w w:val="105"/>
                <w:sz w:val="18"/>
                <w:szCs w:val="18"/>
                <w:lang w:eastAsia="zh-CN"/>
              </w:rPr>
            </w:pPr>
            <w:r>
              <w:rPr>
                <w:rFonts w:ascii="Times New Roman" w:hAnsi="Times New Roman" w:eastAsia="宋体" w:cs="Times New Roman"/>
                <w:w w:val="105"/>
                <w:sz w:val="18"/>
                <w:szCs w:val="18"/>
                <w:lang w:eastAsia="zh-CN"/>
              </w:rPr>
              <w:t>100</w:t>
            </w:r>
          </w:p>
        </w:tc>
        <w:tc>
          <w:tcPr>
            <w:tcW w:w="1375" w:type="dxa"/>
            <w:vAlign w:val="center"/>
          </w:tcPr>
          <w:p>
            <w:pPr>
              <w:pStyle w:val="20"/>
              <w:jc w:val="center"/>
              <w:rPr>
                <w:rFonts w:ascii="Times New Roman" w:hAnsi="Times New Roman" w:eastAsia="宋体" w:cs="Times New Roman"/>
                <w:w w:val="105"/>
                <w:sz w:val="18"/>
                <w:szCs w:val="18"/>
                <w:lang w:eastAsia="zh-CN"/>
              </w:rPr>
            </w:pPr>
            <w:r>
              <w:rPr>
                <w:rFonts w:ascii="Times New Roman" w:hAnsi="Times New Roman" w:eastAsia="宋体" w:cs="Times New Roman"/>
                <w:w w:val="105"/>
                <w:sz w:val="18"/>
                <w:szCs w:val="18"/>
                <w:lang w:eastAsia="zh-CN"/>
              </w:rPr>
              <w:t>340</w:t>
            </w:r>
          </w:p>
        </w:tc>
        <w:tc>
          <w:tcPr>
            <w:tcW w:w="2039" w:type="dxa"/>
            <w:vAlign w:val="center"/>
          </w:tcPr>
          <w:p>
            <w:pPr>
              <w:pStyle w:val="2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fldChar w:fldCharType="begin"/>
            </w:r>
            <w:r>
              <w:rPr>
                <w:rFonts w:ascii="Times New Roman" w:hAnsi="Times New Roman" w:cs="Times New Roman"/>
                <w:sz w:val="18"/>
                <w:szCs w:val="18"/>
              </w:rPr>
              <w:instrText xml:space="preserve"> ADDIN EN.CITE &lt;EndNote&gt;&lt;Cite&gt;&lt;Author&gt;Halling-Sørensen&lt;/Author&gt;&lt;Year&gt;2000&lt;/Year&gt;&lt;RecNum&gt;592&lt;/RecNum&gt;&lt;DisplayText&gt;&lt;style font="Times New Roman" size="12"&gt;(Halling-Sørensen 2000)&lt;/style&gt;&lt;/DisplayText&gt;&lt;record&gt;&lt;rec-number&gt;592&lt;/rec-number&gt;&lt;foreign-keys&gt;&lt;key app="EN" db-id="retxed2e7rptroex2fjxpv95vee0tdx99pxd" timestamp="1666622192"&gt;592&lt;/key&gt;&lt;/foreign-keys&gt;&lt;ref-type name="Journal Article"&gt;17&lt;/ref-type&gt;&lt;contributors&gt;&lt;authors&gt;&lt;author&gt;B Halling-Sørensen&lt;/author&gt;&lt;/authors&gt;&lt;/contributors&gt;&lt;auth-address&gt;Department of Analytical and Pharmaceutical Chemistry, Section of Environmental Chemistry, The Royal Danish School of Pharmacy, Universitetsparken 2, DK-2100 Copenhagen, Denmark&lt;/auth-address&gt;&lt;titles&gt;&lt;title&gt;Algal toxicity of antibacterial agents used in intensive farming&lt;/title&gt;&lt;secondary-title&gt;Chemosphere&lt;/secondary-title&gt;&lt;/titles&gt;&lt;periodical&gt;&lt;full-title&gt;Chemosphere&lt;/full-title&gt;&lt;/periodical&gt;&lt;volume&gt;40&lt;/volume&gt;&lt;number&gt;7&lt;/number&gt;&lt;keywords&gt;&lt;keyword&gt;Algal toxicity&lt;/keyword&gt;&lt;keyword&gt;Antibiotics&lt;/keyword&gt;&lt;keyword&gt;Leaching&lt;/keyword&gt;&lt;keyword&gt;S. capricornutum&lt;/keyword&gt;&lt;keyword&gt;M. aeruginosa&lt;/keyword&gt;&lt;/keywords&gt;&lt;dates&gt;&lt;year&gt;2000&lt;/year&gt;&lt;/dates&gt;&lt;isbn&gt;0045-6535&lt;/isbn&gt;&lt;urls&gt;&lt;/urls&gt;&lt;remote-database-provider&gt;Cnki&lt;/remote-database-provider&gt;&lt;/record&gt;&lt;/Cite&gt;&lt;/EndNote&gt;</w:instrText>
            </w:r>
            <w:r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>
              <w:rPr>
                <w:rFonts w:ascii="Times New Roman" w:hAnsi="Times New Roman" w:cs="Times New Roman"/>
                <w:sz w:val="18"/>
                <w:szCs w:val="18"/>
              </w:rPr>
              <w:t>(Halling-Sørensen 2000)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6" w:hRule="atLeast"/>
          <w:jc w:val="center"/>
        </w:trPr>
        <w:tc>
          <w:tcPr>
            <w:tcW w:w="1678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56" w:type="dxa"/>
            <w:vAlign w:val="center"/>
          </w:tcPr>
          <w:p>
            <w:pPr>
              <w:pStyle w:val="20"/>
              <w:jc w:val="center"/>
              <w:rPr>
                <w:rFonts w:ascii="Times New Roman" w:hAnsi="Times New Roman" w:cs="Times New Roman"/>
                <w:w w:val="105"/>
                <w:sz w:val="18"/>
                <w:szCs w:val="18"/>
                <w:lang w:eastAsia="zh-CN"/>
              </w:rPr>
            </w:pPr>
          </w:p>
        </w:tc>
        <w:tc>
          <w:tcPr>
            <w:tcW w:w="1764" w:type="dxa"/>
            <w:vAlign w:val="center"/>
          </w:tcPr>
          <w:p>
            <w:pPr>
              <w:pStyle w:val="20"/>
              <w:jc w:val="center"/>
              <w:rPr>
                <w:rFonts w:ascii="Times New Roman" w:hAnsi="Times New Roman" w:eastAsia="宋体" w:cs="Times New Roman"/>
                <w:w w:val="105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w w:val="105"/>
                <w:sz w:val="18"/>
                <w:szCs w:val="18"/>
              </w:rPr>
              <w:t>S. capricornutum</w:t>
            </w:r>
          </w:p>
        </w:tc>
        <w:tc>
          <w:tcPr>
            <w:tcW w:w="1701" w:type="dxa"/>
            <w:vAlign w:val="center"/>
          </w:tcPr>
          <w:p>
            <w:pPr>
              <w:pStyle w:val="20"/>
              <w:jc w:val="center"/>
              <w:rPr>
                <w:rFonts w:ascii="Times New Roman" w:hAnsi="Times New Roman" w:eastAsia="宋体" w:cs="Times New Roman"/>
                <w:w w:val="105"/>
                <w:sz w:val="18"/>
                <w:szCs w:val="18"/>
                <w:lang w:eastAsia="zh-CN"/>
              </w:rPr>
            </w:pPr>
            <w:r>
              <w:rPr>
                <w:rFonts w:ascii="Times New Roman" w:hAnsi="Times New Roman" w:eastAsia="宋体" w:cs="Times New Roman"/>
                <w:w w:val="105"/>
                <w:sz w:val="18"/>
                <w:szCs w:val="18"/>
                <w:lang w:eastAsia="zh-CN"/>
              </w:rPr>
              <w:t>1.38</w:t>
            </w:r>
          </w:p>
        </w:tc>
        <w:tc>
          <w:tcPr>
            <w:tcW w:w="567" w:type="dxa"/>
            <w:vAlign w:val="center"/>
          </w:tcPr>
          <w:p>
            <w:pPr>
              <w:pStyle w:val="20"/>
              <w:jc w:val="center"/>
              <w:rPr>
                <w:rFonts w:ascii="Times New Roman" w:hAnsi="Times New Roman" w:eastAsia="宋体" w:cs="Times New Roman"/>
                <w:w w:val="105"/>
                <w:sz w:val="18"/>
                <w:szCs w:val="18"/>
                <w:lang w:eastAsia="zh-CN"/>
              </w:rPr>
            </w:pPr>
            <w:r>
              <w:rPr>
                <w:rFonts w:ascii="Times New Roman" w:hAnsi="Times New Roman" w:eastAsia="宋体" w:cs="Times New Roman"/>
                <w:w w:val="105"/>
                <w:sz w:val="18"/>
                <w:szCs w:val="18"/>
                <w:lang w:eastAsia="zh-CN"/>
              </w:rPr>
              <w:t>100</w:t>
            </w:r>
          </w:p>
        </w:tc>
        <w:tc>
          <w:tcPr>
            <w:tcW w:w="1375" w:type="dxa"/>
            <w:vAlign w:val="center"/>
          </w:tcPr>
          <w:p>
            <w:pPr>
              <w:pStyle w:val="20"/>
              <w:jc w:val="center"/>
              <w:rPr>
                <w:rFonts w:ascii="Times New Roman" w:hAnsi="Times New Roman" w:eastAsia="宋体" w:cs="Times New Roman"/>
                <w:w w:val="105"/>
                <w:sz w:val="18"/>
                <w:szCs w:val="18"/>
                <w:lang w:eastAsia="zh-CN"/>
              </w:rPr>
            </w:pPr>
            <w:r>
              <w:rPr>
                <w:rFonts w:ascii="Times New Roman" w:hAnsi="Times New Roman" w:eastAsia="宋体" w:cs="Times New Roman"/>
                <w:w w:val="105"/>
                <w:sz w:val="18"/>
                <w:szCs w:val="18"/>
                <w:lang w:eastAsia="zh-CN"/>
              </w:rPr>
              <w:t>13800</w:t>
            </w:r>
          </w:p>
        </w:tc>
        <w:tc>
          <w:tcPr>
            <w:tcW w:w="2039" w:type="dxa"/>
            <w:vAlign w:val="center"/>
          </w:tcPr>
          <w:p>
            <w:pPr>
              <w:pStyle w:val="2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fldChar w:fldCharType="begin"/>
            </w:r>
            <w:r>
              <w:rPr>
                <w:rFonts w:ascii="Times New Roman" w:hAnsi="Times New Roman" w:cs="Times New Roman"/>
                <w:sz w:val="18"/>
                <w:szCs w:val="18"/>
              </w:rPr>
              <w:instrText xml:space="preserve"> ADDIN EN.CITE &lt;EndNote&gt;&lt;Cite&gt;&lt;Author&gt;Halling-Sørensen&lt;/Author&gt;&lt;Year&gt;2000&lt;/Year&gt;&lt;RecNum&gt;592&lt;/RecNum&gt;&lt;DisplayText&gt;&lt;style font="Times New Roman" size="12"&gt;(Halling-Sørensen 2000)&lt;/style&gt;&lt;/DisplayText&gt;&lt;record&gt;&lt;rec-number&gt;592&lt;/rec-number&gt;&lt;foreign-keys&gt;&lt;key app="EN" db-id="retxed2e7rptroex2fjxpv95vee0tdx99pxd" timestamp="1666622192"&gt;592&lt;/key&gt;&lt;/foreign-keys&gt;&lt;ref-type name="Journal Article"&gt;17&lt;/ref-type&gt;&lt;contributors&gt;&lt;authors&gt;&lt;author&gt;B Halling-Sørensen&lt;/author&gt;&lt;/authors&gt;&lt;/contributors&gt;&lt;auth-address&gt;Department of Analytical and Pharmaceutical Chemistry, Section of Environmental Chemistry, The Royal Danish School of Pharmacy, Universitetsparken 2, DK-2100 Copenhagen, Denmark&lt;/auth-address&gt;&lt;titles&gt;&lt;title&gt;Algal toxicity of antibacterial agents used in intensive farming&lt;/title&gt;&lt;secondary-title&gt;Chemosphere&lt;/secondary-title&gt;&lt;/titles&gt;&lt;periodical&gt;&lt;full-title&gt;Chemosphere&lt;/full-title&gt;&lt;/periodical&gt;&lt;volume&gt;40&lt;/volume&gt;&lt;number&gt;7&lt;/number&gt;&lt;keywords&gt;&lt;keyword&gt;Algal toxicity&lt;/keyword&gt;&lt;keyword&gt;Antibiotics&lt;/keyword&gt;&lt;keyword&gt;Leaching&lt;/keyword&gt;&lt;keyword&gt;S. capricornutum&lt;/keyword&gt;&lt;keyword&gt;M. aeruginosa&lt;/keyword&gt;&lt;/keywords&gt;&lt;dates&gt;&lt;year&gt;2000&lt;/year&gt;&lt;/dates&gt;&lt;isbn&gt;0045-6535&lt;/isbn&gt;&lt;urls&gt;&lt;/urls&gt;&lt;remote-database-provider&gt;Cnki&lt;/remote-database-provider&gt;&lt;/record&gt;&lt;/Cite&gt;&lt;/EndNote&gt;</w:instrText>
            </w:r>
            <w:r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>
              <w:rPr>
                <w:rFonts w:ascii="Times New Roman" w:hAnsi="Times New Roman" w:cs="Times New Roman"/>
                <w:sz w:val="18"/>
                <w:szCs w:val="18"/>
              </w:rPr>
              <w:t>(Halling-Sørensen 2000)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6" w:hRule="atLeast"/>
          <w:jc w:val="center"/>
        </w:trPr>
        <w:tc>
          <w:tcPr>
            <w:tcW w:w="1678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Spiramycin</w:t>
            </w:r>
          </w:p>
        </w:tc>
        <w:tc>
          <w:tcPr>
            <w:tcW w:w="756" w:type="dxa"/>
            <w:vAlign w:val="center"/>
          </w:tcPr>
          <w:p>
            <w:pPr>
              <w:pStyle w:val="20"/>
              <w:jc w:val="center"/>
              <w:rPr>
                <w:rFonts w:ascii="Times New Roman" w:hAnsi="Times New Roman" w:cs="Times New Roman"/>
                <w:w w:val="105"/>
                <w:sz w:val="18"/>
                <w:szCs w:val="18"/>
                <w:lang w:eastAsia="zh-CN"/>
              </w:rPr>
            </w:pPr>
            <w:r>
              <w:rPr>
                <w:rFonts w:ascii="Times New Roman" w:hAnsi="Times New Roman" w:cs="Times New Roman"/>
                <w:w w:val="105"/>
                <w:sz w:val="18"/>
                <w:szCs w:val="18"/>
                <w:lang w:eastAsia="zh-CN"/>
              </w:rPr>
              <w:t>SPI</w:t>
            </w:r>
          </w:p>
        </w:tc>
        <w:tc>
          <w:tcPr>
            <w:tcW w:w="1764" w:type="dxa"/>
            <w:vAlign w:val="center"/>
          </w:tcPr>
          <w:p>
            <w:pPr>
              <w:pStyle w:val="20"/>
              <w:jc w:val="center"/>
              <w:rPr>
                <w:rFonts w:ascii="Times New Roman" w:hAnsi="Times New Roman" w:eastAsia="宋体" w:cs="Times New Roman"/>
                <w:w w:val="105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w w:val="105"/>
                <w:sz w:val="18"/>
                <w:szCs w:val="18"/>
              </w:rPr>
              <w:t>M. aeruginosa</w:t>
            </w:r>
          </w:p>
        </w:tc>
        <w:tc>
          <w:tcPr>
            <w:tcW w:w="1701" w:type="dxa"/>
            <w:vAlign w:val="center"/>
          </w:tcPr>
          <w:p>
            <w:pPr>
              <w:pStyle w:val="20"/>
              <w:jc w:val="center"/>
              <w:rPr>
                <w:rFonts w:ascii="Times New Roman" w:hAnsi="Times New Roman" w:eastAsia="宋体" w:cs="Times New Roman"/>
                <w:w w:val="105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w w:val="105"/>
                <w:sz w:val="18"/>
                <w:szCs w:val="18"/>
              </w:rPr>
              <w:t>0.005</w:t>
            </w:r>
            <w:r>
              <w:rPr>
                <w:rFonts w:ascii="Times New Roman" w:hAnsi="Times New Roman" w:eastAsia="宋体" w:cs="Times New Roman"/>
                <w:w w:val="105"/>
                <w:sz w:val="18"/>
                <w:szCs w:val="18"/>
                <w:lang w:eastAsia="zh-CN"/>
              </w:rPr>
              <w:t>(7d)</w:t>
            </w:r>
          </w:p>
        </w:tc>
        <w:tc>
          <w:tcPr>
            <w:tcW w:w="567" w:type="dxa"/>
            <w:vAlign w:val="center"/>
          </w:tcPr>
          <w:p>
            <w:pPr>
              <w:pStyle w:val="20"/>
              <w:jc w:val="center"/>
              <w:rPr>
                <w:rFonts w:ascii="Times New Roman" w:hAnsi="Times New Roman" w:eastAsia="宋体" w:cs="Times New Roman"/>
                <w:w w:val="105"/>
                <w:sz w:val="18"/>
                <w:szCs w:val="18"/>
                <w:lang w:eastAsia="zh-CN"/>
              </w:rPr>
            </w:pPr>
            <w:r>
              <w:rPr>
                <w:rFonts w:ascii="Times New Roman" w:hAnsi="Times New Roman" w:eastAsia="宋体" w:cs="Times New Roman"/>
                <w:w w:val="105"/>
                <w:sz w:val="18"/>
                <w:szCs w:val="18"/>
                <w:lang w:eastAsia="zh-CN"/>
              </w:rPr>
              <w:t>100</w:t>
            </w:r>
          </w:p>
        </w:tc>
        <w:tc>
          <w:tcPr>
            <w:tcW w:w="1375" w:type="dxa"/>
            <w:vAlign w:val="center"/>
          </w:tcPr>
          <w:p>
            <w:pPr>
              <w:pStyle w:val="20"/>
              <w:jc w:val="center"/>
              <w:rPr>
                <w:rFonts w:ascii="Times New Roman" w:hAnsi="Times New Roman" w:eastAsia="宋体" w:cs="Times New Roman"/>
                <w:w w:val="105"/>
                <w:sz w:val="18"/>
                <w:szCs w:val="18"/>
                <w:lang w:eastAsia="zh-CN"/>
              </w:rPr>
            </w:pPr>
            <w:r>
              <w:rPr>
                <w:rFonts w:ascii="Times New Roman" w:hAnsi="Times New Roman" w:eastAsia="宋体" w:cs="Times New Roman"/>
                <w:w w:val="105"/>
                <w:sz w:val="18"/>
                <w:szCs w:val="18"/>
                <w:lang w:eastAsia="zh-CN"/>
              </w:rPr>
              <w:t>50</w:t>
            </w:r>
          </w:p>
        </w:tc>
        <w:tc>
          <w:tcPr>
            <w:tcW w:w="2039" w:type="dxa"/>
            <w:vAlign w:val="center"/>
          </w:tcPr>
          <w:p>
            <w:pPr>
              <w:pStyle w:val="2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fldChar w:fldCharType="begin"/>
            </w:r>
            <w:r>
              <w:rPr>
                <w:rFonts w:ascii="Times New Roman" w:hAnsi="Times New Roman" w:cs="Times New Roman"/>
                <w:sz w:val="18"/>
                <w:szCs w:val="18"/>
              </w:rPr>
              <w:instrText xml:space="preserve"> ADDIN EN.CITE &lt;EndNote&gt;&lt;Cite&gt;&lt;Author&gt;Halling-Sørensen&lt;/Author&gt;&lt;Year&gt;2000&lt;/Year&gt;&lt;RecNum&gt;592&lt;/RecNum&gt;&lt;DisplayText&gt;&lt;style font="Times New Roman" size="12"&gt;(Halling-Sørensen 2000)&lt;/style&gt;&lt;/DisplayText&gt;&lt;record&gt;&lt;rec-number&gt;592&lt;/rec-number&gt;&lt;foreign-keys&gt;&lt;key app="EN" db-id="retxed2e7rptroex2fjxpv95vee0tdx99pxd" timestamp="1666622192"&gt;592&lt;/key&gt;&lt;/foreign-keys&gt;&lt;ref-type name="Journal Article"&gt;17&lt;/ref-type&gt;&lt;contributors&gt;&lt;authors&gt;&lt;author&gt;B Halling-Sørensen&lt;/author&gt;&lt;/authors&gt;&lt;/contributors&gt;&lt;auth-address&gt;Department of Analytical and Pharmaceutical Chemistry, Section of Environmental Chemistry, The Royal Danish School of Pharmacy, Universitetsparken 2, DK-2100 Copenhagen, Denmark&lt;/auth-address&gt;&lt;titles&gt;&lt;title&gt;Algal toxicity of antibacterial agents used in intensive farming&lt;/title&gt;&lt;secondary-title&gt;Chemosphere&lt;/secondary-title&gt;&lt;/titles&gt;&lt;periodical&gt;&lt;full-title&gt;Chemosphere&lt;/full-title&gt;&lt;/periodical&gt;&lt;volume&gt;40&lt;/volume&gt;&lt;number&gt;7&lt;/number&gt;&lt;keywords&gt;&lt;keyword&gt;Algal toxicity&lt;/keyword&gt;&lt;keyword&gt;Antibiotics&lt;/keyword&gt;&lt;keyword&gt;Leaching&lt;/keyword&gt;&lt;keyword&gt;S. capricornutum&lt;/keyword&gt;&lt;keyword&gt;M. aeruginosa&lt;/keyword&gt;&lt;/keywords&gt;&lt;dates&gt;&lt;year&gt;2000&lt;/year&gt;&lt;/dates&gt;&lt;isbn&gt;0045-6535&lt;/isbn&gt;&lt;urls&gt;&lt;/urls&gt;&lt;remote-database-provider&gt;Cnki&lt;/remote-database-provider&gt;&lt;/record&gt;&lt;/Cite&gt;&lt;/EndNote&gt;</w:instrText>
            </w:r>
            <w:r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>
              <w:rPr>
                <w:rFonts w:ascii="Times New Roman" w:hAnsi="Times New Roman" w:cs="Times New Roman"/>
                <w:sz w:val="18"/>
                <w:szCs w:val="18"/>
              </w:rPr>
              <w:t>(Halling-Sørensen 2000)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6" w:hRule="atLeast"/>
          <w:jc w:val="center"/>
        </w:trPr>
        <w:tc>
          <w:tcPr>
            <w:tcW w:w="1678" w:type="dxa"/>
            <w:tcBorders>
              <w:bottom w:val="single" w:color="auto" w:sz="12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56" w:type="dxa"/>
            <w:tcBorders>
              <w:bottom w:val="single" w:color="auto" w:sz="12" w:space="0"/>
            </w:tcBorders>
            <w:vAlign w:val="center"/>
          </w:tcPr>
          <w:p>
            <w:pPr>
              <w:pStyle w:val="20"/>
              <w:jc w:val="center"/>
              <w:rPr>
                <w:rFonts w:ascii="Times New Roman" w:hAnsi="Times New Roman" w:cs="Times New Roman"/>
                <w:w w:val="105"/>
                <w:sz w:val="18"/>
                <w:szCs w:val="18"/>
                <w:lang w:eastAsia="zh-CN"/>
              </w:rPr>
            </w:pPr>
          </w:p>
        </w:tc>
        <w:tc>
          <w:tcPr>
            <w:tcW w:w="1764" w:type="dxa"/>
            <w:tcBorders>
              <w:bottom w:val="single" w:color="auto" w:sz="12" w:space="0"/>
            </w:tcBorders>
            <w:vAlign w:val="center"/>
          </w:tcPr>
          <w:p>
            <w:pPr>
              <w:pStyle w:val="20"/>
              <w:jc w:val="center"/>
              <w:rPr>
                <w:rFonts w:ascii="Times New Roman" w:hAnsi="Times New Roman" w:eastAsia="宋体" w:cs="Times New Roman"/>
                <w:w w:val="105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w w:val="105"/>
                <w:sz w:val="18"/>
                <w:szCs w:val="18"/>
              </w:rPr>
              <w:t>S. capricornutum</w:t>
            </w: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>
            <w:pPr>
              <w:pStyle w:val="20"/>
              <w:jc w:val="center"/>
              <w:rPr>
                <w:rFonts w:ascii="Times New Roman" w:hAnsi="Times New Roman" w:eastAsia="宋体" w:cs="Times New Roman"/>
                <w:w w:val="105"/>
                <w:sz w:val="18"/>
                <w:szCs w:val="18"/>
                <w:lang w:eastAsia="zh-CN"/>
              </w:rPr>
            </w:pPr>
            <w:r>
              <w:rPr>
                <w:rFonts w:ascii="Times New Roman" w:hAnsi="Times New Roman" w:eastAsia="宋体" w:cs="Times New Roman"/>
                <w:w w:val="105"/>
                <w:sz w:val="18"/>
                <w:szCs w:val="18"/>
                <w:lang w:eastAsia="zh-CN"/>
              </w:rPr>
              <w:t>2.3(7d)</w:t>
            </w:r>
          </w:p>
        </w:tc>
        <w:tc>
          <w:tcPr>
            <w:tcW w:w="567" w:type="dxa"/>
            <w:tcBorders>
              <w:bottom w:val="single" w:color="auto" w:sz="12" w:space="0"/>
            </w:tcBorders>
            <w:vAlign w:val="center"/>
          </w:tcPr>
          <w:p>
            <w:pPr>
              <w:pStyle w:val="20"/>
              <w:jc w:val="center"/>
              <w:rPr>
                <w:rFonts w:ascii="Times New Roman" w:hAnsi="Times New Roman" w:eastAsia="宋体" w:cs="Times New Roman"/>
                <w:w w:val="105"/>
                <w:sz w:val="18"/>
                <w:szCs w:val="18"/>
                <w:lang w:eastAsia="zh-CN"/>
              </w:rPr>
            </w:pPr>
            <w:r>
              <w:rPr>
                <w:rFonts w:ascii="Times New Roman" w:hAnsi="Times New Roman" w:eastAsia="宋体" w:cs="Times New Roman"/>
                <w:w w:val="105"/>
                <w:sz w:val="18"/>
                <w:szCs w:val="18"/>
                <w:lang w:eastAsia="zh-CN"/>
              </w:rPr>
              <w:t>100</w:t>
            </w:r>
          </w:p>
        </w:tc>
        <w:tc>
          <w:tcPr>
            <w:tcW w:w="1375" w:type="dxa"/>
            <w:tcBorders>
              <w:bottom w:val="single" w:color="auto" w:sz="12" w:space="0"/>
            </w:tcBorders>
            <w:vAlign w:val="center"/>
          </w:tcPr>
          <w:p>
            <w:pPr>
              <w:pStyle w:val="20"/>
              <w:jc w:val="center"/>
              <w:rPr>
                <w:rFonts w:ascii="Times New Roman" w:hAnsi="Times New Roman" w:eastAsia="宋体" w:cs="Times New Roman"/>
                <w:w w:val="105"/>
                <w:sz w:val="18"/>
                <w:szCs w:val="18"/>
                <w:lang w:eastAsia="zh-CN"/>
              </w:rPr>
            </w:pPr>
            <w:r>
              <w:rPr>
                <w:rFonts w:ascii="Times New Roman" w:hAnsi="Times New Roman" w:eastAsia="宋体" w:cs="Times New Roman"/>
                <w:w w:val="105"/>
                <w:sz w:val="18"/>
                <w:szCs w:val="18"/>
                <w:lang w:eastAsia="zh-CN"/>
              </w:rPr>
              <w:t>23000</w:t>
            </w:r>
          </w:p>
        </w:tc>
        <w:tc>
          <w:tcPr>
            <w:tcW w:w="2039" w:type="dxa"/>
            <w:tcBorders>
              <w:bottom w:val="single" w:color="auto" w:sz="12" w:space="0"/>
            </w:tcBorders>
            <w:vAlign w:val="center"/>
          </w:tcPr>
          <w:p>
            <w:pPr>
              <w:pStyle w:val="2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fldChar w:fldCharType="begin"/>
            </w:r>
            <w:r>
              <w:rPr>
                <w:rFonts w:ascii="Times New Roman" w:hAnsi="Times New Roman" w:cs="Times New Roman"/>
                <w:sz w:val="18"/>
                <w:szCs w:val="18"/>
              </w:rPr>
              <w:instrText xml:space="preserve"> ADDIN EN.CITE &lt;EndNote&gt;&lt;Cite&gt;&lt;Author&gt;Halling-Sørensen&lt;/Author&gt;&lt;Year&gt;2000&lt;/Year&gt;&lt;RecNum&gt;592&lt;/RecNum&gt;&lt;DisplayText&gt;&lt;style font="Times New Roman" size="12"&gt;(Halling-Sørensen 2000)&lt;/style&gt;&lt;/DisplayText&gt;&lt;record&gt;&lt;rec-number&gt;592&lt;/rec-number&gt;&lt;foreign-keys&gt;&lt;key app="EN" db-id="retxed2e7rptroex2fjxpv95vee0tdx99pxd" timestamp="1666622192"&gt;592&lt;/key&gt;&lt;/foreign-keys&gt;&lt;ref-type name="Journal Article"&gt;17&lt;/ref-type&gt;&lt;contributors&gt;&lt;authors&gt;&lt;author&gt;B Halling-Sørensen&lt;/author&gt;&lt;/authors&gt;&lt;/contributors&gt;&lt;auth-address&gt;Department of Analytical and Pharmaceutical Chemistry, Section of Environmental Chemistry, The Royal Danish School of Pharmacy, Universitetsparken 2, DK-2100 Copenhagen, Denmark&lt;/auth-address&gt;&lt;titles&gt;&lt;title&gt;Algal toxicity of antibacterial agents used in intensive farming&lt;/title&gt;&lt;secondary-title&gt;Chemosphere&lt;/secondary-title&gt;&lt;/titles&gt;&lt;periodical&gt;&lt;full-title&gt;Chemosphere&lt;/full-title&gt;&lt;/periodical&gt;&lt;volume&gt;40&lt;/volume&gt;&lt;number&gt;7&lt;/number&gt;&lt;keywords&gt;&lt;keyword&gt;Algal toxicity&lt;/keyword&gt;&lt;keyword&gt;Antibiotics&lt;/keyword&gt;&lt;keyword&gt;Leaching&lt;/keyword&gt;&lt;keyword&gt;S. capricornutum&lt;/keyword&gt;&lt;keyword&gt;M. aeruginosa&lt;/keyword&gt;&lt;/keywords&gt;&lt;dates&gt;&lt;year&gt;2000&lt;/year&gt;&lt;/dates&gt;&lt;isbn&gt;0045-6535&lt;/isbn&gt;&lt;urls&gt;&lt;/urls&gt;&lt;remote-database-provider&gt;Cnki&lt;/remote-database-provider&gt;&lt;/record&gt;&lt;/Cite&gt;&lt;/EndNote&gt;</w:instrText>
            </w:r>
            <w:r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>
              <w:rPr>
                <w:rFonts w:ascii="Times New Roman" w:hAnsi="Times New Roman" w:cs="Times New Roman"/>
                <w:sz w:val="18"/>
                <w:szCs w:val="18"/>
              </w:rPr>
              <w:t>(Halling-Sørensen 2000)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</w:p>
        </w:tc>
      </w:tr>
    </w:tbl>
    <w:p>
      <w:pPr>
        <w:rPr>
          <w:rFonts w:hint="eastAsia" w:ascii="Times New Roman" w:hAnsi="Times New Roman" w:eastAsia="宋体" w:cs="Times New Roman"/>
          <w:color w:val="000000"/>
          <w:szCs w:val="21"/>
          <w:shd w:val="clear" w:color="auto" w:fill="FFFFFF"/>
        </w:rPr>
      </w:pPr>
    </w:p>
    <w:p>
      <w:pPr>
        <w:pStyle w:val="29"/>
        <w:ind w:left="360" w:hanging="360" w:hangingChars="20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fldChar w:fldCharType="begin"/>
      </w: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instrText xml:space="preserve"> ADDIN EN.REFLIST </w:instrText>
      </w: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fldChar w:fldCharType="separate"/>
      </w:r>
      <w:r>
        <w:rPr>
          <w:rFonts w:ascii="Times New Roman" w:hAnsi="Times New Roman" w:cs="Times New Roman"/>
          <w:sz w:val="18"/>
          <w:szCs w:val="18"/>
        </w:rPr>
        <w:t>Halling-Sørensen, B; 2000. Algal toxicity of antibacterial agents used in intensive farming. Chemosphere 40(7). doi: 10.1016/s0045-6535(99)00445-2.</w:t>
      </w:r>
    </w:p>
    <w:p>
      <w:pPr>
        <w:pStyle w:val="29"/>
        <w:ind w:left="360" w:hanging="360" w:hangingChars="20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Li-Jun, Zhou, Wu Qinglong L, Zhang Bei-Bei, Zhao Yong-Gang, and Zhao Bi-Ying; 2016. Occurrence, spatiotemporal distribution, mass balance and ecological risks of antibiotics in subtropical shallow Lake Taihu, China. Environmental science. Processes &amp; impacts 18(4). doi: 10.1039/c6em00062b.</w:t>
      </w:r>
    </w:p>
    <w:p>
      <w:pPr>
        <w:pStyle w:val="29"/>
        <w:ind w:left="360" w:hanging="360" w:hangingChars="20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Sujung, Park, and Choi Kyungho; 2008. Hazard assessment of commonly used agricultural antibiotics on aquatic ecosystems. Ecotoxicology (London, England) 17(6). doi: 10.1007/s10646-008-0209-x.</w:t>
      </w:r>
    </w:p>
    <w:p>
      <w:pPr>
        <w:pStyle w:val="29"/>
        <w:ind w:left="360" w:hanging="360" w:hangingChars="20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Tang, Jun, Taozhong Shi, Xiangwei Wu, Haiqun Cao, Xuede Li, Rimao Hua, Feng Tang, and Yongde Yue; 2015. The occurrence and distribution of antibiotics in Lake Chaohu, China: Seasonal variation, potential source and risk assessment. Chemosphere 122. doi: 10.1016/j.chemosphere.2014.11.032.</w:t>
      </w:r>
    </w:p>
    <w:p>
      <w:pPr>
        <w:jc w:val="center"/>
        <w:rPr>
          <w:rFonts w:ascii="Times New Roman" w:hAnsi="Times New Roman" w:eastAsia="宋体"/>
          <w:b/>
          <w:sz w:val="24"/>
        </w:rPr>
      </w:pPr>
      <w:r>
        <w:rPr>
          <w:rFonts w:ascii="Times New Roman" w:hAnsi="Times New Roman" w:eastAsia="宋体" w:cs="Times New Roman"/>
          <w:color w:val="000000"/>
          <w:sz w:val="18"/>
          <w:szCs w:val="18"/>
          <w:shd w:val="clear" w:color="auto" w:fill="FFFFFF"/>
        </w:rPr>
        <w:fldChar w:fldCharType="end"/>
      </w:r>
      <w:r>
        <w:rPr>
          <w:rFonts w:hint="eastAsia" w:ascii="Times New Roman" w:hAnsi="Times New Roman" w:eastAsia="宋体"/>
          <w:b/>
          <w:sz w:val="24"/>
        </w:rPr>
        <w:t>Table S</w:t>
      </w:r>
      <w:r>
        <w:rPr>
          <w:rFonts w:hint="eastAsia"/>
          <w:b/>
          <w:sz w:val="24"/>
        </w:rPr>
        <w:t>6</w:t>
      </w:r>
      <w:r>
        <w:rPr>
          <w:rFonts w:hint="eastAsia" w:ascii="Times New Roman" w:hAnsi="Times New Roman" w:eastAsia="宋体"/>
          <w:b/>
          <w:sz w:val="24"/>
        </w:rPr>
        <w:t xml:space="preserve"> Primer pairs used in qPCR assays for specific detection and quantification of ARGs.</w:t>
      </w:r>
    </w:p>
    <w:tbl>
      <w:tblPr>
        <w:tblStyle w:val="7"/>
        <w:tblpPr w:leftFromText="180" w:rightFromText="180" w:vertAnchor="text" w:horzAnchor="page" w:tblpXSpec="center" w:tblpY="40"/>
        <w:tblOverlap w:val="never"/>
        <w:tblW w:w="5000" w:type="pct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2"/>
        <w:gridCol w:w="4652"/>
        <w:gridCol w:w="1417"/>
        <w:gridCol w:w="2835"/>
        <w:gridCol w:w="3008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98" w:type="pct"/>
            <w:tcBorders>
              <w:top w:val="single" w:color="auto" w:sz="12" w:space="0"/>
              <w:bottom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  <w:shd w:val="clear" w:color="auto" w:fill="FFFFFF"/>
              </w:rPr>
              <w:t>Primer</w:t>
            </w:r>
          </w:p>
        </w:tc>
        <w:tc>
          <w:tcPr>
            <w:tcW w:w="1641" w:type="pct"/>
            <w:tcBorders>
              <w:top w:val="single" w:color="auto" w:sz="12" w:space="0"/>
              <w:bottom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Sequence 5'-3’</w:t>
            </w:r>
          </w:p>
        </w:tc>
        <w:tc>
          <w:tcPr>
            <w:tcW w:w="500" w:type="pct"/>
            <w:tcBorders>
              <w:top w:val="single" w:color="auto" w:sz="12" w:space="0"/>
              <w:bottom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ARGs</w:t>
            </w:r>
          </w:p>
        </w:tc>
        <w:tc>
          <w:tcPr>
            <w:tcW w:w="1000" w:type="pct"/>
            <w:tcBorders>
              <w:top w:val="single" w:color="auto" w:sz="12" w:space="0"/>
              <w:bottom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Amplification length/bp</w:t>
            </w:r>
          </w:p>
        </w:tc>
        <w:tc>
          <w:tcPr>
            <w:tcW w:w="1061" w:type="pct"/>
            <w:tcBorders>
              <w:top w:val="single" w:color="auto" w:sz="12" w:space="0"/>
              <w:bottom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Annealing temp (℃)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98" w:type="pct"/>
            <w:tcBorders>
              <w:top w:val="single" w:color="auto" w:sz="8" w:space="0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eastAsia="宋体" w:cs="Times New Roman"/>
                <w:i/>
                <w:iCs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i/>
                <w:iCs/>
                <w:kern w:val="0"/>
                <w:szCs w:val="21"/>
              </w:rPr>
              <w:t>intl1 FW</w:t>
            </w:r>
          </w:p>
        </w:tc>
        <w:tc>
          <w:tcPr>
            <w:tcW w:w="1641" w:type="pct"/>
            <w:tcBorders>
              <w:top w:val="single" w:color="auto" w:sz="8" w:space="0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GGCTTCGTGATGCCTGCTT</w:t>
            </w:r>
          </w:p>
        </w:tc>
        <w:tc>
          <w:tcPr>
            <w:tcW w:w="500" w:type="pct"/>
            <w:vMerge w:val="restart"/>
            <w:tcBorders>
              <w:top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eastAsia="宋体" w:cs="Times New Roman"/>
                <w:i/>
                <w:iCs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i/>
                <w:iCs/>
                <w:kern w:val="0"/>
                <w:szCs w:val="21"/>
              </w:rPr>
              <w:t>intI1</w:t>
            </w:r>
          </w:p>
        </w:tc>
        <w:tc>
          <w:tcPr>
            <w:tcW w:w="1000" w:type="pct"/>
            <w:vMerge w:val="restart"/>
            <w:tcBorders>
              <w:top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Cs w:val="21"/>
              </w:rPr>
              <w:t>1</w:t>
            </w: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45</w:t>
            </w:r>
          </w:p>
        </w:tc>
        <w:tc>
          <w:tcPr>
            <w:tcW w:w="1061" w:type="pct"/>
            <w:vMerge w:val="restart"/>
            <w:tcBorders>
              <w:top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Cs w:val="21"/>
              </w:rPr>
              <w:t>5</w:t>
            </w: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98" w:type="pct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eastAsia="宋体" w:cs="Times New Roman"/>
                <w:i/>
                <w:iCs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i/>
                <w:iCs/>
                <w:kern w:val="0"/>
                <w:szCs w:val="21"/>
              </w:rPr>
              <w:t>intl1 RV</w:t>
            </w:r>
          </w:p>
        </w:tc>
        <w:tc>
          <w:tcPr>
            <w:tcW w:w="1641" w:type="pct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CATTCCTGGCCGTGGTTCT</w:t>
            </w:r>
          </w:p>
        </w:tc>
        <w:tc>
          <w:tcPr>
            <w:tcW w:w="500" w:type="pct"/>
            <w:vMerge w:val="continue"/>
            <w:shd w:val="clear" w:color="auto" w:fill="auto"/>
            <w:noWrap/>
            <w:vAlign w:val="center"/>
          </w:tcPr>
          <w:p>
            <w:pPr>
              <w:widowControl/>
              <w:snapToGrid w:val="0"/>
              <w:ind w:firstLine="480"/>
              <w:jc w:val="center"/>
              <w:rPr>
                <w:rFonts w:ascii="Times New Roman" w:hAnsi="Times New Roman" w:eastAsia="宋体" w:cs="Times New Roman"/>
                <w:i/>
                <w:iCs/>
                <w:kern w:val="0"/>
                <w:szCs w:val="21"/>
              </w:rPr>
            </w:pPr>
          </w:p>
        </w:tc>
        <w:tc>
          <w:tcPr>
            <w:tcW w:w="1000" w:type="pct"/>
            <w:vMerge w:val="continue"/>
            <w:shd w:val="clear" w:color="auto" w:fill="auto"/>
            <w:noWrap/>
            <w:vAlign w:val="center"/>
          </w:tcPr>
          <w:p>
            <w:pPr>
              <w:widowControl/>
              <w:snapToGrid w:val="0"/>
              <w:ind w:firstLine="480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</w:p>
        </w:tc>
        <w:tc>
          <w:tcPr>
            <w:tcW w:w="1061" w:type="pct"/>
            <w:vMerge w:val="continue"/>
            <w:shd w:val="clear" w:color="auto" w:fill="auto"/>
            <w:noWrap/>
            <w:vAlign w:val="center"/>
          </w:tcPr>
          <w:p>
            <w:pPr>
              <w:widowControl/>
              <w:snapToGrid w:val="0"/>
              <w:ind w:firstLine="480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98" w:type="pct"/>
            <w:shd w:val="clear" w:color="auto" w:fill="auto"/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eastAsia="宋体" w:cs="Times New Roman"/>
                <w:i/>
                <w:iCs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i/>
                <w:iCs/>
                <w:kern w:val="0"/>
                <w:szCs w:val="21"/>
              </w:rPr>
              <w:t>intl2 FW</w:t>
            </w:r>
          </w:p>
        </w:tc>
        <w:tc>
          <w:tcPr>
            <w:tcW w:w="1641" w:type="pct"/>
            <w:shd w:val="clear" w:color="auto" w:fill="auto"/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GTTATTTTATTGCTGGGATTAGGC</w:t>
            </w:r>
          </w:p>
        </w:tc>
        <w:tc>
          <w:tcPr>
            <w:tcW w:w="500" w:type="pct"/>
            <w:vMerge w:val="restart"/>
            <w:shd w:val="clear" w:color="auto" w:fill="auto"/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eastAsia="宋体" w:cs="Times New Roman"/>
                <w:i/>
                <w:iCs/>
                <w:kern w:val="0"/>
                <w:szCs w:val="21"/>
              </w:rPr>
            </w:pPr>
            <w:bookmarkStart w:id="1" w:name="_Hlk35513193"/>
            <w:r>
              <w:rPr>
                <w:rFonts w:ascii="Times New Roman" w:hAnsi="Times New Roman" w:eastAsia="宋体" w:cs="Times New Roman"/>
                <w:i/>
                <w:iCs/>
                <w:kern w:val="0"/>
                <w:szCs w:val="21"/>
              </w:rPr>
              <w:t>intI2</w:t>
            </w:r>
            <w:bookmarkEnd w:id="1"/>
          </w:p>
        </w:tc>
        <w:tc>
          <w:tcPr>
            <w:tcW w:w="1000" w:type="pct"/>
            <w:vMerge w:val="restart"/>
            <w:shd w:val="clear" w:color="auto" w:fill="auto"/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Cs w:val="21"/>
              </w:rPr>
              <w:t>1</w:t>
            </w: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64</w:t>
            </w:r>
          </w:p>
        </w:tc>
        <w:tc>
          <w:tcPr>
            <w:tcW w:w="1061" w:type="pct"/>
            <w:vMerge w:val="restart"/>
            <w:shd w:val="clear" w:color="auto" w:fill="auto"/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Cs w:val="21"/>
              </w:rPr>
              <w:t>5</w:t>
            </w: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6.5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98" w:type="pct"/>
            <w:shd w:val="clear" w:color="auto" w:fill="auto"/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eastAsia="宋体" w:cs="Times New Roman"/>
                <w:i/>
                <w:iCs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i/>
                <w:iCs/>
                <w:kern w:val="0"/>
                <w:szCs w:val="21"/>
              </w:rPr>
              <w:t>intl2 RV</w:t>
            </w:r>
          </w:p>
        </w:tc>
        <w:tc>
          <w:tcPr>
            <w:tcW w:w="1641" w:type="pct"/>
            <w:shd w:val="clear" w:color="auto" w:fill="auto"/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TTTTACGCTGCTGTATGGTGC</w:t>
            </w:r>
            <w:r>
              <w:rPr>
                <w:rFonts w:hint="eastAsia" w:ascii="Times New Roman" w:hAnsi="Times New Roman" w:eastAsia="宋体" w:cs="Times New Roman"/>
                <w:kern w:val="0"/>
                <w:szCs w:val="21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500" w:type="pct"/>
            <w:vMerge w:val="continue"/>
            <w:shd w:val="clear" w:color="auto" w:fill="auto"/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eastAsia="宋体" w:cs="Times New Roman"/>
                <w:i/>
                <w:iCs/>
                <w:kern w:val="0"/>
                <w:szCs w:val="21"/>
              </w:rPr>
            </w:pPr>
          </w:p>
        </w:tc>
        <w:tc>
          <w:tcPr>
            <w:tcW w:w="1000" w:type="pct"/>
            <w:vMerge w:val="continue"/>
            <w:shd w:val="clear" w:color="auto" w:fill="auto"/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</w:p>
        </w:tc>
        <w:tc>
          <w:tcPr>
            <w:tcW w:w="1061" w:type="pct"/>
            <w:vMerge w:val="continue"/>
            <w:shd w:val="clear" w:color="auto" w:fill="auto"/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98" w:type="pct"/>
            <w:shd w:val="clear" w:color="auto" w:fill="auto"/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eastAsia="宋体" w:cs="Times New Roman"/>
                <w:i/>
                <w:iCs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i/>
                <w:iCs/>
                <w:kern w:val="0"/>
                <w:szCs w:val="21"/>
              </w:rPr>
              <w:t>qnrB FW</w:t>
            </w:r>
          </w:p>
        </w:tc>
        <w:tc>
          <w:tcPr>
            <w:tcW w:w="1641" w:type="pct"/>
            <w:shd w:val="clear" w:color="auto" w:fill="auto"/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CAGATTTYCGCGGCGCAAG</w:t>
            </w:r>
          </w:p>
        </w:tc>
        <w:tc>
          <w:tcPr>
            <w:tcW w:w="500" w:type="pct"/>
            <w:vMerge w:val="restart"/>
            <w:shd w:val="clear" w:color="auto" w:fill="auto"/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eastAsia="宋体" w:cs="Times New Roman"/>
                <w:i/>
                <w:iCs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i/>
                <w:iCs/>
                <w:kern w:val="0"/>
                <w:szCs w:val="21"/>
              </w:rPr>
              <w:t>qnrB</w:t>
            </w:r>
          </w:p>
        </w:tc>
        <w:tc>
          <w:tcPr>
            <w:tcW w:w="1000" w:type="pct"/>
            <w:vMerge w:val="restart"/>
            <w:shd w:val="clear" w:color="auto" w:fill="auto"/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Cs w:val="21"/>
              </w:rPr>
              <w:t>1</w:t>
            </w: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75</w:t>
            </w:r>
          </w:p>
        </w:tc>
        <w:tc>
          <w:tcPr>
            <w:tcW w:w="1061" w:type="pct"/>
            <w:vMerge w:val="restart"/>
            <w:shd w:val="clear" w:color="auto" w:fill="auto"/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Cs w:val="21"/>
              </w:rPr>
              <w:t>5</w:t>
            </w: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4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98" w:type="pct"/>
            <w:shd w:val="clear" w:color="auto" w:fill="auto"/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eastAsia="宋体" w:cs="Times New Roman"/>
                <w:i/>
                <w:iCs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i/>
                <w:iCs/>
                <w:kern w:val="0"/>
                <w:szCs w:val="21"/>
              </w:rPr>
              <w:t>qnrB RV</w:t>
            </w:r>
          </w:p>
        </w:tc>
        <w:tc>
          <w:tcPr>
            <w:tcW w:w="1641" w:type="pct"/>
            <w:shd w:val="clear" w:color="auto" w:fill="auto"/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TTCCCACAGCTCRCAYTTTTC</w:t>
            </w:r>
          </w:p>
        </w:tc>
        <w:tc>
          <w:tcPr>
            <w:tcW w:w="500" w:type="pct"/>
            <w:vMerge w:val="continue"/>
            <w:shd w:val="clear" w:color="auto" w:fill="auto"/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eastAsia="宋体" w:cs="Times New Roman"/>
                <w:i/>
                <w:iCs/>
                <w:kern w:val="0"/>
                <w:szCs w:val="21"/>
              </w:rPr>
            </w:pPr>
          </w:p>
        </w:tc>
        <w:tc>
          <w:tcPr>
            <w:tcW w:w="1000" w:type="pct"/>
            <w:vMerge w:val="continue"/>
            <w:shd w:val="clear" w:color="auto" w:fill="auto"/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</w:p>
        </w:tc>
        <w:tc>
          <w:tcPr>
            <w:tcW w:w="1061" w:type="pct"/>
            <w:vMerge w:val="continue"/>
            <w:shd w:val="clear" w:color="auto" w:fill="auto"/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98" w:type="pct"/>
            <w:shd w:val="clear" w:color="auto" w:fill="auto"/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eastAsia="宋体" w:cs="Times New Roman"/>
                <w:i/>
                <w:iCs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i/>
                <w:iCs/>
                <w:kern w:val="0"/>
                <w:szCs w:val="21"/>
              </w:rPr>
              <w:t>qnrS FW</w:t>
            </w:r>
          </w:p>
        </w:tc>
        <w:tc>
          <w:tcPr>
            <w:tcW w:w="1641" w:type="pct"/>
            <w:shd w:val="clear" w:color="auto" w:fill="auto"/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GTATAGAGTTCCGTGCGTGTGA</w:t>
            </w:r>
          </w:p>
        </w:tc>
        <w:tc>
          <w:tcPr>
            <w:tcW w:w="500" w:type="pct"/>
            <w:vMerge w:val="restart"/>
            <w:shd w:val="clear" w:color="auto" w:fill="auto"/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eastAsia="宋体" w:cs="Times New Roman"/>
                <w:i/>
                <w:iCs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i/>
                <w:iCs/>
                <w:kern w:val="0"/>
                <w:szCs w:val="21"/>
              </w:rPr>
              <w:t>qnrS</w:t>
            </w:r>
          </w:p>
        </w:tc>
        <w:tc>
          <w:tcPr>
            <w:tcW w:w="1000" w:type="pct"/>
            <w:vMerge w:val="restart"/>
            <w:shd w:val="clear" w:color="auto" w:fill="auto"/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Cs w:val="21"/>
              </w:rPr>
              <w:t>1</w:t>
            </w: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89</w:t>
            </w:r>
          </w:p>
        </w:tc>
        <w:tc>
          <w:tcPr>
            <w:tcW w:w="1061" w:type="pct"/>
            <w:vMerge w:val="restart"/>
            <w:shd w:val="clear" w:color="auto" w:fill="auto"/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Cs w:val="21"/>
              </w:rPr>
              <w:t>5</w:t>
            </w: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4.6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98" w:type="pct"/>
            <w:shd w:val="clear" w:color="auto" w:fill="auto"/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eastAsia="宋体" w:cs="Times New Roman"/>
                <w:i/>
                <w:iCs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i/>
                <w:iCs/>
                <w:kern w:val="0"/>
                <w:szCs w:val="21"/>
              </w:rPr>
              <w:t>qnrS RV</w:t>
            </w:r>
          </w:p>
        </w:tc>
        <w:tc>
          <w:tcPr>
            <w:tcW w:w="1641" w:type="pct"/>
            <w:shd w:val="clear" w:color="auto" w:fill="auto"/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GGTTCGTTCCTATCCAGCGATT</w:t>
            </w:r>
          </w:p>
        </w:tc>
        <w:tc>
          <w:tcPr>
            <w:tcW w:w="500" w:type="pct"/>
            <w:vMerge w:val="continue"/>
            <w:shd w:val="clear" w:color="auto" w:fill="auto"/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eastAsia="宋体" w:cs="Times New Roman"/>
                <w:i/>
                <w:iCs/>
                <w:kern w:val="0"/>
                <w:szCs w:val="21"/>
              </w:rPr>
            </w:pPr>
          </w:p>
        </w:tc>
        <w:tc>
          <w:tcPr>
            <w:tcW w:w="1000" w:type="pct"/>
            <w:vMerge w:val="continue"/>
            <w:shd w:val="clear" w:color="auto" w:fill="auto"/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</w:p>
        </w:tc>
        <w:tc>
          <w:tcPr>
            <w:tcW w:w="1061" w:type="pct"/>
            <w:vMerge w:val="continue"/>
            <w:shd w:val="clear" w:color="auto" w:fill="auto"/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98" w:type="pct"/>
            <w:shd w:val="clear" w:color="auto" w:fill="auto"/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eastAsia="宋体" w:cs="Times New Roman"/>
                <w:i/>
                <w:iCs/>
                <w:kern w:val="0"/>
                <w:szCs w:val="21"/>
              </w:rPr>
            </w:pPr>
            <w:bookmarkStart w:id="2" w:name="OLE_LINK4" w:colFirst="1" w:colLast="1"/>
            <w:r>
              <w:rPr>
                <w:rFonts w:ascii="Times New Roman" w:hAnsi="Times New Roman" w:eastAsia="宋体" w:cs="Times New Roman"/>
                <w:i/>
                <w:iCs/>
                <w:kern w:val="0"/>
                <w:szCs w:val="21"/>
              </w:rPr>
              <w:t>sul1 FW</w:t>
            </w:r>
          </w:p>
        </w:tc>
        <w:tc>
          <w:tcPr>
            <w:tcW w:w="1641" w:type="pct"/>
            <w:shd w:val="clear" w:color="auto" w:fill="auto"/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 xml:space="preserve">CGCACCGGAAACATCGCTGCAC </w:t>
            </w:r>
          </w:p>
        </w:tc>
        <w:tc>
          <w:tcPr>
            <w:tcW w:w="500" w:type="pct"/>
            <w:vMerge w:val="restart"/>
            <w:shd w:val="clear" w:color="auto" w:fill="auto"/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eastAsia="宋体" w:cs="Times New Roman"/>
                <w:i/>
                <w:iCs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i/>
                <w:iCs/>
                <w:kern w:val="0"/>
                <w:szCs w:val="21"/>
              </w:rPr>
              <w:t>sul-1</w:t>
            </w:r>
          </w:p>
        </w:tc>
        <w:tc>
          <w:tcPr>
            <w:tcW w:w="1000" w:type="pct"/>
            <w:vMerge w:val="restart"/>
            <w:shd w:val="clear" w:color="auto" w:fill="auto"/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Cs w:val="21"/>
              </w:rPr>
              <w:t>1</w:t>
            </w: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63</w:t>
            </w:r>
          </w:p>
        </w:tc>
        <w:tc>
          <w:tcPr>
            <w:tcW w:w="1061" w:type="pct"/>
            <w:vMerge w:val="restart"/>
            <w:shd w:val="clear" w:color="auto" w:fill="auto"/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Cs w:val="21"/>
              </w:rPr>
              <w:t>5</w:t>
            </w: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98" w:type="pct"/>
            <w:shd w:val="clear" w:color="auto" w:fill="auto"/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eastAsia="宋体" w:cs="Times New Roman"/>
                <w:i/>
                <w:iCs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i/>
                <w:iCs/>
                <w:kern w:val="0"/>
                <w:szCs w:val="21"/>
              </w:rPr>
              <w:t>sul1 RV</w:t>
            </w:r>
          </w:p>
        </w:tc>
        <w:tc>
          <w:tcPr>
            <w:tcW w:w="1641" w:type="pct"/>
            <w:shd w:val="clear" w:color="auto" w:fill="auto"/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 xml:space="preserve">TGAAGTTCCGCCGCAAGGCTCG </w:t>
            </w:r>
          </w:p>
        </w:tc>
        <w:tc>
          <w:tcPr>
            <w:tcW w:w="500" w:type="pct"/>
            <w:vMerge w:val="continue"/>
            <w:shd w:val="clear" w:color="auto" w:fill="auto"/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eastAsia="宋体" w:cs="Times New Roman"/>
                <w:i/>
                <w:iCs/>
                <w:kern w:val="0"/>
                <w:szCs w:val="21"/>
              </w:rPr>
            </w:pPr>
          </w:p>
        </w:tc>
        <w:tc>
          <w:tcPr>
            <w:tcW w:w="1000" w:type="pct"/>
            <w:vMerge w:val="continue"/>
            <w:shd w:val="clear" w:color="auto" w:fill="auto"/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</w:p>
        </w:tc>
        <w:tc>
          <w:tcPr>
            <w:tcW w:w="1061" w:type="pct"/>
            <w:vMerge w:val="continue"/>
            <w:shd w:val="clear" w:color="auto" w:fill="auto"/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</w:p>
        </w:tc>
      </w:tr>
      <w:bookmarkEnd w:id="2"/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98" w:type="pct"/>
            <w:shd w:val="clear" w:color="auto" w:fill="auto"/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eastAsia="宋体" w:cs="Times New Roman"/>
                <w:i/>
                <w:iCs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i/>
                <w:iCs/>
                <w:kern w:val="0"/>
                <w:szCs w:val="21"/>
              </w:rPr>
              <w:t>sul3 fw</w:t>
            </w:r>
          </w:p>
        </w:tc>
        <w:tc>
          <w:tcPr>
            <w:tcW w:w="1641" w:type="pct"/>
            <w:shd w:val="clear" w:color="auto" w:fill="auto"/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TCCGTTCAGCGAATTGGTGCAG</w:t>
            </w:r>
          </w:p>
        </w:tc>
        <w:tc>
          <w:tcPr>
            <w:tcW w:w="500" w:type="pct"/>
            <w:vMerge w:val="restart"/>
            <w:shd w:val="clear" w:color="auto" w:fill="auto"/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eastAsia="宋体" w:cs="Times New Roman"/>
                <w:i/>
                <w:iCs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i/>
                <w:iCs/>
                <w:kern w:val="0"/>
                <w:szCs w:val="21"/>
              </w:rPr>
              <w:t>sul-3</w:t>
            </w:r>
          </w:p>
        </w:tc>
        <w:tc>
          <w:tcPr>
            <w:tcW w:w="1000" w:type="pct"/>
            <w:vMerge w:val="restart"/>
            <w:shd w:val="clear" w:color="auto" w:fill="auto"/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Cs w:val="21"/>
              </w:rPr>
              <w:t>1</w:t>
            </w: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28</w:t>
            </w:r>
          </w:p>
        </w:tc>
        <w:tc>
          <w:tcPr>
            <w:tcW w:w="1061" w:type="pct"/>
            <w:vMerge w:val="restart"/>
            <w:shd w:val="clear" w:color="auto" w:fill="auto"/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Cs w:val="21"/>
              </w:rPr>
              <w:t>6</w:t>
            </w: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98" w:type="pct"/>
            <w:shd w:val="clear" w:color="auto" w:fill="auto"/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eastAsia="宋体" w:cs="Times New Roman"/>
                <w:i/>
                <w:iCs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i/>
                <w:iCs/>
                <w:kern w:val="0"/>
                <w:szCs w:val="21"/>
              </w:rPr>
              <w:t>sul3 rv</w:t>
            </w:r>
          </w:p>
        </w:tc>
        <w:tc>
          <w:tcPr>
            <w:tcW w:w="1641" w:type="pct"/>
            <w:shd w:val="clear" w:color="auto" w:fill="auto"/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TTCGTTCACGCCTTACACCAGC</w:t>
            </w:r>
          </w:p>
        </w:tc>
        <w:tc>
          <w:tcPr>
            <w:tcW w:w="500" w:type="pct"/>
            <w:vMerge w:val="continue"/>
            <w:shd w:val="clear" w:color="auto" w:fill="auto"/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eastAsia="宋体" w:cs="Times New Roman"/>
                <w:i/>
                <w:iCs/>
                <w:kern w:val="0"/>
                <w:szCs w:val="21"/>
              </w:rPr>
            </w:pPr>
          </w:p>
        </w:tc>
        <w:tc>
          <w:tcPr>
            <w:tcW w:w="1000" w:type="pct"/>
            <w:vMerge w:val="continue"/>
            <w:shd w:val="clear" w:color="auto" w:fill="auto"/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</w:p>
        </w:tc>
        <w:tc>
          <w:tcPr>
            <w:tcW w:w="1061" w:type="pct"/>
            <w:vMerge w:val="continue"/>
            <w:shd w:val="clear" w:color="auto" w:fill="auto"/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98" w:type="pct"/>
            <w:shd w:val="clear" w:color="auto" w:fill="auto"/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eastAsia="宋体" w:cs="Times New Roman"/>
                <w:i/>
                <w:iCs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i/>
                <w:iCs/>
                <w:kern w:val="0"/>
                <w:szCs w:val="21"/>
              </w:rPr>
              <w:t>tetA FW</w:t>
            </w:r>
          </w:p>
        </w:tc>
        <w:tc>
          <w:tcPr>
            <w:tcW w:w="1641" w:type="pct"/>
            <w:shd w:val="clear" w:color="auto" w:fill="auto"/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 xml:space="preserve">GCTACATCCTGCTTGCCTTC </w:t>
            </w:r>
          </w:p>
        </w:tc>
        <w:tc>
          <w:tcPr>
            <w:tcW w:w="500" w:type="pct"/>
            <w:vMerge w:val="restart"/>
            <w:shd w:val="clear" w:color="auto" w:fill="auto"/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eastAsia="宋体" w:cs="Times New Roman"/>
                <w:i/>
                <w:iCs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i/>
                <w:iCs/>
                <w:kern w:val="0"/>
                <w:szCs w:val="21"/>
              </w:rPr>
              <w:t>tet A</w:t>
            </w:r>
          </w:p>
        </w:tc>
        <w:tc>
          <w:tcPr>
            <w:tcW w:w="1000" w:type="pct"/>
            <w:vMerge w:val="restart"/>
            <w:shd w:val="clear" w:color="auto" w:fill="auto"/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Cs w:val="21"/>
              </w:rPr>
              <w:t>2</w:t>
            </w: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10</w:t>
            </w:r>
          </w:p>
        </w:tc>
        <w:tc>
          <w:tcPr>
            <w:tcW w:w="1061" w:type="pct"/>
            <w:vMerge w:val="restart"/>
            <w:shd w:val="clear" w:color="auto" w:fill="auto"/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Cs w:val="21"/>
              </w:rPr>
              <w:t>5</w:t>
            </w: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4.6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98" w:type="pct"/>
            <w:shd w:val="clear" w:color="auto" w:fill="auto"/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eastAsia="宋体" w:cs="Times New Roman"/>
                <w:i/>
                <w:iCs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i/>
                <w:iCs/>
                <w:kern w:val="0"/>
                <w:szCs w:val="21"/>
              </w:rPr>
              <w:t>tetA RV</w:t>
            </w:r>
          </w:p>
        </w:tc>
        <w:tc>
          <w:tcPr>
            <w:tcW w:w="1641" w:type="pct"/>
            <w:shd w:val="clear" w:color="auto" w:fill="auto"/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CATAGATCGCCGTGAAGAGG</w:t>
            </w:r>
          </w:p>
        </w:tc>
        <w:tc>
          <w:tcPr>
            <w:tcW w:w="500" w:type="pct"/>
            <w:vMerge w:val="continue"/>
            <w:shd w:val="clear" w:color="auto" w:fill="auto"/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eastAsia="宋体" w:cs="Times New Roman"/>
                <w:i/>
                <w:iCs/>
                <w:kern w:val="0"/>
                <w:szCs w:val="21"/>
              </w:rPr>
            </w:pPr>
          </w:p>
        </w:tc>
        <w:tc>
          <w:tcPr>
            <w:tcW w:w="1000" w:type="pct"/>
            <w:vMerge w:val="continue"/>
            <w:shd w:val="clear" w:color="auto" w:fill="auto"/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</w:p>
        </w:tc>
        <w:tc>
          <w:tcPr>
            <w:tcW w:w="1061" w:type="pct"/>
            <w:vMerge w:val="continue"/>
            <w:shd w:val="clear" w:color="auto" w:fill="auto"/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98" w:type="pct"/>
            <w:shd w:val="clear" w:color="auto" w:fill="auto"/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eastAsia="宋体" w:cs="Times New Roman"/>
                <w:i/>
                <w:iCs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i/>
                <w:iCs/>
                <w:kern w:val="0"/>
                <w:szCs w:val="21"/>
              </w:rPr>
              <w:t>tetB fw</w:t>
            </w:r>
          </w:p>
        </w:tc>
        <w:tc>
          <w:tcPr>
            <w:tcW w:w="1641" w:type="pct"/>
            <w:shd w:val="clear" w:color="auto" w:fill="auto"/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GGTTGAGACGCAATCGAATT</w:t>
            </w:r>
          </w:p>
        </w:tc>
        <w:tc>
          <w:tcPr>
            <w:tcW w:w="500" w:type="pct"/>
            <w:vMerge w:val="restart"/>
            <w:shd w:val="clear" w:color="auto" w:fill="auto"/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eastAsia="宋体" w:cs="Times New Roman"/>
                <w:i/>
                <w:iCs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i/>
                <w:iCs/>
                <w:kern w:val="0"/>
                <w:szCs w:val="21"/>
              </w:rPr>
              <w:t>tet B</w:t>
            </w:r>
          </w:p>
        </w:tc>
        <w:tc>
          <w:tcPr>
            <w:tcW w:w="1000" w:type="pct"/>
            <w:vMerge w:val="restart"/>
            <w:shd w:val="clear" w:color="auto" w:fill="auto"/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Cs w:val="21"/>
              </w:rPr>
              <w:t>2</w:t>
            </w: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06</w:t>
            </w:r>
          </w:p>
        </w:tc>
        <w:tc>
          <w:tcPr>
            <w:tcW w:w="1061" w:type="pct"/>
            <w:vMerge w:val="restart"/>
            <w:shd w:val="clear" w:color="auto" w:fill="auto"/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Cs w:val="21"/>
              </w:rPr>
              <w:t>5</w:t>
            </w: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2.9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98" w:type="pct"/>
            <w:shd w:val="clear" w:color="auto" w:fill="auto"/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eastAsia="宋体" w:cs="Times New Roman"/>
                <w:i/>
                <w:iCs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i/>
                <w:iCs/>
                <w:kern w:val="0"/>
                <w:szCs w:val="21"/>
              </w:rPr>
              <w:t>tetB rv</w:t>
            </w:r>
          </w:p>
        </w:tc>
        <w:tc>
          <w:tcPr>
            <w:tcW w:w="1641" w:type="pct"/>
            <w:shd w:val="clear" w:color="auto" w:fill="auto"/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AGGCTTGGAATACTGAGTGTAA</w:t>
            </w:r>
          </w:p>
        </w:tc>
        <w:tc>
          <w:tcPr>
            <w:tcW w:w="500" w:type="pct"/>
            <w:vMerge w:val="continue"/>
            <w:shd w:val="clear" w:color="auto" w:fill="auto"/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eastAsia="宋体" w:cs="Times New Roman"/>
                <w:i/>
                <w:iCs/>
                <w:kern w:val="0"/>
                <w:szCs w:val="21"/>
              </w:rPr>
            </w:pPr>
          </w:p>
        </w:tc>
        <w:tc>
          <w:tcPr>
            <w:tcW w:w="1000" w:type="pct"/>
            <w:vMerge w:val="continue"/>
            <w:shd w:val="clear" w:color="auto" w:fill="auto"/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</w:p>
        </w:tc>
        <w:tc>
          <w:tcPr>
            <w:tcW w:w="1061" w:type="pct"/>
            <w:vMerge w:val="continue"/>
            <w:shd w:val="clear" w:color="auto" w:fill="auto"/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98" w:type="pct"/>
            <w:shd w:val="clear" w:color="auto" w:fill="auto"/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eastAsia="宋体" w:cs="Times New Roman"/>
                <w:i/>
                <w:iCs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i/>
                <w:iCs/>
                <w:kern w:val="0"/>
                <w:szCs w:val="21"/>
              </w:rPr>
              <w:t>tetW fw</w:t>
            </w:r>
          </w:p>
        </w:tc>
        <w:tc>
          <w:tcPr>
            <w:tcW w:w="1641" w:type="pct"/>
            <w:shd w:val="clear" w:color="auto" w:fill="auto"/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GAGAGCCTGCTATATGCCAGC</w:t>
            </w:r>
          </w:p>
        </w:tc>
        <w:tc>
          <w:tcPr>
            <w:tcW w:w="500" w:type="pct"/>
            <w:vMerge w:val="restart"/>
            <w:shd w:val="clear" w:color="auto" w:fill="auto"/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eastAsia="宋体" w:cs="Times New Roman"/>
                <w:i/>
                <w:iCs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i/>
                <w:iCs/>
                <w:kern w:val="0"/>
                <w:szCs w:val="21"/>
              </w:rPr>
              <w:t>tetW</w:t>
            </w:r>
          </w:p>
        </w:tc>
        <w:tc>
          <w:tcPr>
            <w:tcW w:w="1000" w:type="pct"/>
            <w:vMerge w:val="restart"/>
            <w:shd w:val="clear" w:color="auto" w:fill="auto"/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Cs w:val="21"/>
              </w:rPr>
              <w:t>1</w:t>
            </w: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68</w:t>
            </w:r>
          </w:p>
        </w:tc>
        <w:tc>
          <w:tcPr>
            <w:tcW w:w="1061" w:type="pct"/>
            <w:vMerge w:val="restart"/>
            <w:shd w:val="clear" w:color="auto" w:fill="auto"/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Cs w:val="21"/>
              </w:rPr>
              <w:t>6</w:t>
            </w: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0.8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98" w:type="pct"/>
            <w:shd w:val="clear" w:color="auto" w:fill="auto"/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eastAsia="宋体" w:cs="Times New Roman"/>
                <w:i/>
                <w:iCs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i/>
                <w:iCs/>
                <w:kern w:val="0"/>
                <w:szCs w:val="21"/>
              </w:rPr>
              <w:t>tetW rv</w:t>
            </w:r>
          </w:p>
        </w:tc>
        <w:tc>
          <w:tcPr>
            <w:tcW w:w="1641" w:type="pct"/>
            <w:shd w:val="clear" w:color="auto" w:fill="auto"/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GGGCGTATCCACAATGTTAAC</w:t>
            </w:r>
          </w:p>
        </w:tc>
        <w:tc>
          <w:tcPr>
            <w:tcW w:w="500" w:type="pct"/>
            <w:vMerge w:val="continue"/>
            <w:shd w:val="clear" w:color="auto" w:fill="auto"/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eastAsia="宋体" w:cs="Times New Roman"/>
                <w:i/>
                <w:iCs/>
                <w:kern w:val="0"/>
                <w:szCs w:val="21"/>
              </w:rPr>
            </w:pPr>
          </w:p>
        </w:tc>
        <w:tc>
          <w:tcPr>
            <w:tcW w:w="1000" w:type="pct"/>
            <w:vMerge w:val="continue"/>
            <w:shd w:val="clear" w:color="auto" w:fill="auto"/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</w:p>
        </w:tc>
        <w:tc>
          <w:tcPr>
            <w:tcW w:w="1061" w:type="pct"/>
            <w:vMerge w:val="continue"/>
            <w:shd w:val="clear" w:color="auto" w:fill="auto"/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98" w:type="pct"/>
            <w:shd w:val="clear" w:color="auto" w:fill="auto"/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eastAsia="宋体" w:cs="Times New Roman"/>
                <w:i/>
                <w:iCs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i/>
                <w:iCs/>
                <w:kern w:val="0"/>
                <w:szCs w:val="21"/>
              </w:rPr>
              <w:t>erm(B)-91f</w:t>
            </w:r>
          </w:p>
        </w:tc>
        <w:tc>
          <w:tcPr>
            <w:tcW w:w="1641" w:type="pct"/>
            <w:shd w:val="clear" w:color="auto" w:fill="auto"/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GATACCGTTTACGAAATTGG</w:t>
            </w:r>
          </w:p>
        </w:tc>
        <w:tc>
          <w:tcPr>
            <w:tcW w:w="500" w:type="pct"/>
            <w:vMerge w:val="restart"/>
            <w:shd w:val="clear" w:color="auto" w:fill="auto"/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eastAsia="宋体" w:cs="Times New Roman"/>
                <w:i/>
                <w:iCs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i/>
                <w:iCs/>
                <w:kern w:val="0"/>
                <w:szCs w:val="21"/>
              </w:rPr>
              <w:t>ermB</w:t>
            </w:r>
          </w:p>
        </w:tc>
        <w:tc>
          <w:tcPr>
            <w:tcW w:w="1000" w:type="pct"/>
            <w:vMerge w:val="restart"/>
            <w:shd w:val="clear" w:color="auto" w:fill="auto"/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Cs w:val="21"/>
              </w:rPr>
              <w:t>3</w:t>
            </w: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64</w:t>
            </w:r>
          </w:p>
        </w:tc>
        <w:tc>
          <w:tcPr>
            <w:tcW w:w="1061" w:type="pct"/>
            <w:vMerge w:val="restart"/>
            <w:shd w:val="clear" w:color="auto" w:fill="auto"/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Cs w:val="21"/>
              </w:rPr>
              <w:t>7</w:t>
            </w: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8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98" w:type="pct"/>
            <w:shd w:val="clear" w:color="auto" w:fill="auto"/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eastAsia="宋体" w:cs="Times New Roman"/>
                <w:i/>
                <w:iCs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i/>
                <w:iCs/>
                <w:kern w:val="0"/>
                <w:szCs w:val="21"/>
              </w:rPr>
              <w:t>erm(B)-454r</w:t>
            </w:r>
          </w:p>
        </w:tc>
        <w:tc>
          <w:tcPr>
            <w:tcW w:w="1641" w:type="pct"/>
            <w:shd w:val="clear" w:color="auto" w:fill="auto"/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GAATCGAGACTTGAGTGTGC</w:t>
            </w:r>
          </w:p>
        </w:tc>
        <w:tc>
          <w:tcPr>
            <w:tcW w:w="500" w:type="pct"/>
            <w:vMerge w:val="continue"/>
            <w:shd w:val="clear" w:color="auto" w:fill="auto"/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eastAsia="宋体" w:cs="Times New Roman"/>
                <w:i/>
                <w:iCs/>
                <w:kern w:val="0"/>
                <w:szCs w:val="21"/>
              </w:rPr>
            </w:pPr>
          </w:p>
        </w:tc>
        <w:tc>
          <w:tcPr>
            <w:tcW w:w="1000" w:type="pct"/>
            <w:vMerge w:val="continue"/>
            <w:shd w:val="clear" w:color="auto" w:fill="auto"/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</w:p>
        </w:tc>
        <w:tc>
          <w:tcPr>
            <w:tcW w:w="1061" w:type="pct"/>
            <w:vMerge w:val="continue"/>
            <w:shd w:val="clear" w:color="auto" w:fill="auto"/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98" w:type="pct"/>
            <w:shd w:val="clear" w:color="auto" w:fill="auto"/>
            <w:noWrap/>
            <w:vAlign w:val="bottom"/>
          </w:tcPr>
          <w:p>
            <w:pPr>
              <w:widowControl/>
              <w:snapToGrid w:val="0"/>
              <w:jc w:val="center"/>
              <w:rPr>
                <w:rFonts w:ascii="Times New Roman" w:hAnsi="Times New Roman" w:eastAsia="宋体" w:cs="Times New Roman"/>
                <w:i/>
                <w:iCs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i/>
                <w:iCs/>
                <w:kern w:val="0"/>
                <w:szCs w:val="21"/>
              </w:rPr>
              <w:t>erm36 FT</w:t>
            </w:r>
          </w:p>
        </w:tc>
        <w:tc>
          <w:tcPr>
            <w:tcW w:w="1641" w:type="pct"/>
            <w:shd w:val="clear" w:color="auto" w:fill="auto"/>
            <w:noWrap/>
            <w:vAlign w:val="bottom"/>
          </w:tcPr>
          <w:p>
            <w:pPr>
              <w:widowControl/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GGCGGACCGACTTGCAT</w:t>
            </w:r>
          </w:p>
        </w:tc>
        <w:tc>
          <w:tcPr>
            <w:tcW w:w="500" w:type="pct"/>
            <w:vMerge w:val="restart"/>
            <w:shd w:val="clear" w:color="auto" w:fill="auto"/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eastAsia="宋体" w:cs="Times New Roman"/>
                <w:i/>
                <w:iCs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i/>
                <w:iCs/>
                <w:kern w:val="0"/>
                <w:szCs w:val="21"/>
              </w:rPr>
              <w:t>erm36</w:t>
            </w:r>
          </w:p>
        </w:tc>
        <w:tc>
          <w:tcPr>
            <w:tcW w:w="1000" w:type="pct"/>
            <w:vMerge w:val="restart"/>
            <w:shd w:val="clear" w:color="auto" w:fill="auto"/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Cs w:val="21"/>
              </w:rPr>
              <w:t>6</w:t>
            </w: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6</w:t>
            </w:r>
          </w:p>
        </w:tc>
        <w:tc>
          <w:tcPr>
            <w:tcW w:w="1061" w:type="pct"/>
            <w:vMerge w:val="restart"/>
            <w:shd w:val="clear" w:color="auto" w:fill="auto"/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Cs w:val="21"/>
              </w:rPr>
              <w:t>6</w:t>
            </w: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98" w:type="pct"/>
            <w:tcBorders>
              <w:bottom w:val="nil"/>
            </w:tcBorders>
            <w:shd w:val="clear" w:color="auto" w:fill="auto"/>
            <w:noWrap/>
            <w:vAlign w:val="bottom"/>
          </w:tcPr>
          <w:p>
            <w:pPr>
              <w:widowControl/>
              <w:snapToGrid w:val="0"/>
              <w:jc w:val="center"/>
              <w:rPr>
                <w:rFonts w:ascii="Times New Roman" w:hAnsi="Times New Roman" w:eastAsia="宋体" w:cs="Times New Roman"/>
                <w:i/>
                <w:iCs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i/>
                <w:iCs/>
                <w:kern w:val="0"/>
                <w:szCs w:val="21"/>
              </w:rPr>
              <w:t>erm36 RT</w:t>
            </w:r>
          </w:p>
        </w:tc>
        <w:tc>
          <w:tcPr>
            <w:tcW w:w="1641" w:type="pct"/>
            <w:tcBorders>
              <w:bottom w:val="nil"/>
            </w:tcBorders>
            <w:shd w:val="clear" w:color="auto" w:fill="auto"/>
            <w:noWrap/>
            <w:vAlign w:val="bottom"/>
          </w:tcPr>
          <w:p>
            <w:pPr>
              <w:widowControl/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TCTGCGTTGACGACGGTTAC</w:t>
            </w:r>
          </w:p>
        </w:tc>
        <w:tc>
          <w:tcPr>
            <w:tcW w:w="500" w:type="pct"/>
            <w:vMerge w:val="continue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eastAsia="宋体" w:cs="Times New Roman"/>
                <w:i/>
                <w:iCs/>
                <w:kern w:val="0"/>
                <w:szCs w:val="21"/>
              </w:rPr>
            </w:pPr>
          </w:p>
        </w:tc>
        <w:tc>
          <w:tcPr>
            <w:tcW w:w="1000" w:type="pct"/>
            <w:vMerge w:val="continue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</w:p>
        </w:tc>
        <w:tc>
          <w:tcPr>
            <w:tcW w:w="1061" w:type="pct"/>
            <w:vMerge w:val="continue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98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eastAsia="宋体" w:cs="Times New Roman"/>
                <w:i/>
                <w:iCs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i/>
                <w:iCs/>
                <w:kern w:val="0"/>
                <w:szCs w:val="21"/>
              </w:rPr>
              <w:t>16S rDNA FW</w:t>
            </w:r>
          </w:p>
        </w:tc>
        <w:tc>
          <w:tcPr>
            <w:tcW w:w="1641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CGGTGAATACGTTCYCGG</w:t>
            </w:r>
          </w:p>
        </w:tc>
        <w:tc>
          <w:tcPr>
            <w:tcW w:w="500" w:type="pct"/>
            <w:vMerge w:val="restar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eastAsia="宋体" w:cs="Times New Roman"/>
                <w:i/>
                <w:iCs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i/>
                <w:iCs/>
                <w:kern w:val="0"/>
                <w:szCs w:val="21"/>
              </w:rPr>
              <w:t>16S rDNA</w:t>
            </w:r>
          </w:p>
        </w:tc>
        <w:tc>
          <w:tcPr>
            <w:tcW w:w="1000" w:type="pct"/>
            <w:vMerge w:val="restar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Cs w:val="21"/>
              </w:rPr>
              <w:t>1</w:t>
            </w: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23</w:t>
            </w:r>
          </w:p>
        </w:tc>
        <w:tc>
          <w:tcPr>
            <w:tcW w:w="1061" w:type="pct"/>
            <w:vMerge w:val="restar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Cs w:val="21"/>
              </w:rPr>
              <w:t>5</w:t>
            </w: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98" w:type="pct"/>
            <w:tcBorders>
              <w:top w:val="nil"/>
              <w:bottom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eastAsia="宋体" w:cs="Times New Roman"/>
                <w:i/>
                <w:iCs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i/>
                <w:iCs/>
                <w:kern w:val="0"/>
                <w:szCs w:val="21"/>
              </w:rPr>
              <w:t>16S rDNA RV</w:t>
            </w:r>
          </w:p>
        </w:tc>
        <w:tc>
          <w:tcPr>
            <w:tcW w:w="1641" w:type="pct"/>
            <w:tcBorders>
              <w:top w:val="nil"/>
              <w:bottom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GGWTACCTTGTTACGACTT</w:t>
            </w:r>
          </w:p>
        </w:tc>
        <w:tc>
          <w:tcPr>
            <w:tcW w:w="500" w:type="pct"/>
            <w:vMerge w:val="continue"/>
            <w:tcBorders>
              <w:top w:val="nil"/>
              <w:bottom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ind w:firstLine="480"/>
              <w:jc w:val="center"/>
              <w:rPr>
                <w:rFonts w:ascii="Times New Roman" w:hAnsi="Times New Roman" w:eastAsia="宋体" w:cs="Times New Roman"/>
                <w:i/>
                <w:iCs/>
                <w:kern w:val="0"/>
                <w:szCs w:val="21"/>
              </w:rPr>
            </w:pPr>
          </w:p>
        </w:tc>
        <w:tc>
          <w:tcPr>
            <w:tcW w:w="1000" w:type="pct"/>
            <w:vMerge w:val="continue"/>
            <w:tcBorders>
              <w:top w:val="nil"/>
              <w:bottom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ind w:firstLine="480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</w:p>
        </w:tc>
        <w:tc>
          <w:tcPr>
            <w:tcW w:w="1061" w:type="pct"/>
            <w:vMerge w:val="continue"/>
            <w:tcBorders>
              <w:top w:val="nil"/>
              <w:bottom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ind w:firstLine="480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</w:p>
        </w:tc>
      </w:tr>
    </w:tbl>
    <w:p>
      <w:pPr>
        <w:snapToGrid w:val="0"/>
        <w:spacing w:line="360" w:lineRule="auto"/>
        <w:jc w:val="center"/>
        <w:outlineLvl w:val="0"/>
        <w:rPr>
          <w:rFonts w:ascii="Times New Roman" w:hAnsi="Times New Roman" w:eastAsia="宋体" w:cs="Times New Roman"/>
          <w:b/>
          <w:sz w:val="24"/>
          <w:szCs w:val="24"/>
        </w:rPr>
      </w:pPr>
      <w:r>
        <w:rPr>
          <w:rFonts w:ascii="Times New Roman" w:hAnsi="Times New Roman" w:eastAsia="宋体" w:cs="Times New Roman"/>
          <w:b/>
          <w:sz w:val="24"/>
          <w:szCs w:val="24"/>
        </w:rPr>
        <w:t>Table S</w:t>
      </w:r>
      <w:r>
        <w:rPr>
          <w:rFonts w:hint="eastAsia" w:ascii="Times New Roman" w:hAnsi="Times New Roman" w:eastAsia="宋体" w:cs="Times New Roman"/>
          <w:b/>
          <w:sz w:val="24"/>
          <w:szCs w:val="24"/>
        </w:rPr>
        <w:t>7</w:t>
      </w:r>
      <w:r>
        <w:rPr>
          <w:rFonts w:ascii="Times New Roman" w:hAnsi="Times New Roman" w:eastAsia="宋体" w:cs="Times New Roman"/>
          <w:b/>
          <w:sz w:val="24"/>
          <w:szCs w:val="24"/>
        </w:rPr>
        <w:t>. Standard curve and amplification efficiency of selected genes of qPCR.</w:t>
      </w:r>
    </w:p>
    <w:tbl>
      <w:tblPr>
        <w:tblStyle w:val="7"/>
        <w:tblW w:w="0" w:type="auto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95"/>
        <w:gridCol w:w="2007"/>
        <w:gridCol w:w="2533"/>
        <w:gridCol w:w="228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0" w:type="auto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szCs w:val="21"/>
                <w:shd w:val="clear" w:color="auto" w:fill="FFFFFF"/>
              </w:rPr>
              <w:t>Target gene</w:t>
            </w:r>
          </w:p>
        </w:tc>
        <w:tc>
          <w:tcPr>
            <w:tcW w:w="0" w:type="auto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szCs w:val="21"/>
                <w:shd w:val="clear" w:color="auto" w:fill="FFFFFF"/>
              </w:rPr>
              <w:t>Regression equations</w:t>
            </w:r>
          </w:p>
        </w:tc>
        <w:tc>
          <w:tcPr>
            <w:tcW w:w="0" w:type="auto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szCs w:val="21"/>
                <w:shd w:val="clear" w:color="auto" w:fill="FFFFFF"/>
              </w:rPr>
              <w:t>Correlation coefficients (R)</w:t>
            </w:r>
          </w:p>
        </w:tc>
        <w:tc>
          <w:tcPr>
            <w:tcW w:w="0" w:type="auto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szCs w:val="21"/>
                <w:shd w:val="clear" w:color="auto" w:fill="FFFFFF"/>
              </w:rPr>
              <w:t>Amplification efficiency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szCs w:val="21"/>
                <w:shd w:val="clear" w:color="auto" w:fill="FFFFFF"/>
              </w:rPr>
              <w:t>16S rDNA</w:t>
            </w:r>
          </w:p>
        </w:tc>
        <w:tc>
          <w:tcPr>
            <w:tcW w:w="0" w:type="auto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y = -0.278x + 10.809</w:t>
            </w:r>
          </w:p>
        </w:tc>
        <w:tc>
          <w:tcPr>
            <w:tcW w:w="0" w:type="auto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0.99</w:t>
            </w:r>
            <w:r>
              <w:rPr>
                <w:rFonts w:hint="eastAsia" w:ascii="Times New Roman" w:hAnsi="Times New Roman" w:cs="Times New Roman"/>
                <w:kern w:val="0"/>
                <w:szCs w:val="21"/>
              </w:rPr>
              <w:t>80</w:t>
            </w:r>
          </w:p>
        </w:tc>
        <w:tc>
          <w:tcPr>
            <w:tcW w:w="0" w:type="auto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0.901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szCs w:val="21"/>
                <w:shd w:val="clear" w:color="auto" w:fill="FFFFFF"/>
              </w:rPr>
              <w:t>intI1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y=-0.2786x+12.106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kern w:val="0"/>
                <w:szCs w:val="21"/>
              </w:rPr>
              <w:t>0.9987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0.90</w:t>
            </w:r>
            <w:r>
              <w:rPr>
                <w:rFonts w:hint="eastAsia" w:ascii="Times New Roman" w:hAnsi="Times New Roman" w:cs="Times New Roman"/>
                <w:kern w:val="0"/>
                <w:szCs w:val="21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szCs w:val="21"/>
                <w:shd w:val="clear" w:color="auto" w:fill="FFFFFF"/>
              </w:rPr>
              <w:t>intI2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y=-0.2818x+9.22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kern w:val="0"/>
                <w:szCs w:val="21"/>
              </w:rPr>
              <w:t>0.9993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kern w:val="0"/>
                <w:szCs w:val="21"/>
              </w:rPr>
              <w:t>0.915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szCs w:val="21"/>
                <w:shd w:val="clear" w:color="auto" w:fill="FFFFFF"/>
              </w:rPr>
              <w:t>sul1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y=-0.2978x+10.21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kern w:val="0"/>
                <w:szCs w:val="21"/>
              </w:rPr>
              <w:t>0.9991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kern w:val="0"/>
                <w:szCs w:val="21"/>
              </w:rPr>
              <w:t>0.987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szCs w:val="21"/>
                <w:shd w:val="clear" w:color="auto" w:fill="FFFFFF"/>
              </w:rPr>
              <w:t>sul3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y=-0.2836x+11.976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kern w:val="0"/>
                <w:szCs w:val="21"/>
              </w:rPr>
              <w:t>0.9999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kern w:val="0"/>
                <w:szCs w:val="21"/>
              </w:rPr>
              <w:t>0.921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szCs w:val="21"/>
                <w:shd w:val="clear" w:color="auto" w:fill="FFFFFF"/>
              </w:rPr>
              <w:t>tetA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y=-0.2781x+11.493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kern w:val="0"/>
                <w:szCs w:val="21"/>
              </w:rPr>
              <w:t>0.9975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kern w:val="0"/>
                <w:szCs w:val="21"/>
              </w:rPr>
              <w:t>0.903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szCs w:val="21"/>
                <w:shd w:val="clear" w:color="auto" w:fill="FFFFFF"/>
              </w:rPr>
              <w:t>tet</w:t>
            </w:r>
            <w:r>
              <w:rPr>
                <w:rFonts w:hint="eastAsia" w:ascii="Times New Roman" w:hAnsi="Times New Roman" w:eastAsia="宋体" w:cs="Times New Roman"/>
                <w:i/>
                <w:iCs/>
                <w:color w:val="000000"/>
                <w:szCs w:val="21"/>
                <w:shd w:val="clear" w:color="auto" w:fill="FFFFFF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y=-0.2787x+11.28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kern w:val="0"/>
                <w:szCs w:val="21"/>
              </w:rPr>
              <w:t>0.9976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kern w:val="0"/>
                <w:szCs w:val="21"/>
              </w:rPr>
              <w:t>0.906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szCs w:val="21"/>
                <w:shd w:val="clear" w:color="auto" w:fill="FFFFFF"/>
              </w:rPr>
              <w:t>tet</w:t>
            </w:r>
            <w:r>
              <w:rPr>
                <w:rFonts w:hint="eastAsia" w:ascii="Times New Roman" w:hAnsi="Times New Roman" w:eastAsia="宋体" w:cs="Times New Roman"/>
                <w:i/>
                <w:iCs/>
                <w:color w:val="000000"/>
                <w:szCs w:val="21"/>
                <w:shd w:val="clear" w:color="auto" w:fill="FFFFFF"/>
              </w:rPr>
              <w:t>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y=-0.2592x+8.7268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kern w:val="0"/>
                <w:szCs w:val="21"/>
              </w:rPr>
              <w:t>0.9971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kern w:val="0"/>
                <w:szCs w:val="21"/>
              </w:rPr>
              <w:t>0.981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szCs w:val="21"/>
                <w:shd w:val="clear" w:color="auto" w:fill="FFFFFF"/>
              </w:rPr>
              <w:t>qnrB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y=-0.2932x+12.087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kern w:val="0"/>
                <w:szCs w:val="21"/>
              </w:rPr>
              <w:t>0.9973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kern w:val="0"/>
                <w:szCs w:val="21"/>
              </w:rPr>
              <w:t>0.919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szCs w:val="21"/>
                <w:shd w:val="clear" w:color="auto" w:fill="FFFFFF"/>
              </w:rPr>
              <w:t>qnrS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y=-0.311x+10.568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kern w:val="0"/>
                <w:szCs w:val="21"/>
              </w:rPr>
              <w:t>0.9975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kern w:val="0"/>
                <w:szCs w:val="21"/>
              </w:rPr>
              <w:t>1.054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szCs w:val="21"/>
                <w:shd w:val="clear" w:color="auto" w:fill="FFFFFF"/>
              </w:rPr>
              <w:t>ermB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y=-0.2794x+11.897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kern w:val="0"/>
                <w:szCs w:val="21"/>
              </w:rPr>
              <w:t>0.9979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kern w:val="0"/>
                <w:szCs w:val="21"/>
              </w:rPr>
              <w:t>0.908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szCs w:val="21"/>
                <w:shd w:val="clear" w:color="auto" w:fill="FFFFFF"/>
              </w:rPr>
              <w:t>erm36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y=-0.2793x+12.574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kern w:val="0"/>
                <w:szCs w:val="21"/>
              </w:rPr>
              <w:t>0.9963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kern w:val="0"/>
                <w:szCs w:val="21"/>
              </w:rPr>
              <w:t>0.911</w:t>
            </w:r>
          </w:p>
        </w:tc>
      </w:tr>
    </w:tbl>
    <w:p>
      <w:pPr>
        <w:rPr>
          <w:rFonts w:hint="eastAsia" w:ascii="Times New Roman" w:hAnsi="Times New Roman" w:eastAsia="宋体" w:cs="Times New Roman"/>
          <w:color w:val="000000"/>
          <w:szCs w:val="21"/>
          <w:shd w:val="clear" w:color="auto" w:fill="FFFFFF"/>
        </w:rPr>
      </w:pPr>
      <w:r>
        <w:rPr>
          <w:rFonts w:ascii="Times New Roman" w:hAnsi="Times New Roman" w:eastAsia="宋体" w:cs="Times New Roman"/>
          <w:color w:val="000000"/>
          <w:szCs w:val="21"/>
          <w:shd w:val="clear" w:color="auto" w:fill="FFFFFF"/>
        </w:rPr>
        <w:br w:type="page"/>
      </w:r>
    </w:p>
    <w:p>
      <w:pPr>
        <w:snapToGrid w:val="0"/>
        <w:spacing w:line="360" w:lineRule="auto"/>
        <w:jc w:val="center"/>
        <w:outlineLvl w:val="0"/>
        <w:rPr>
          <w:rFonts w:ascii="Times New Roman" w:hAnsi="Times New Roman" w:eastAsia="宋体" w:cs="Times New Roman"/>
          <w:b/>
          <w:sz w:val="24"/>
          <w:szCs w:val="24"/>
        </w:rPr>
      </w:pPr>
      <w:r>
        <w:rPr>
          <w:rFonts w:ascii="Times New Roman" w:hAnsi="Times New Roman" w:eastAsia="宋体" w:cs="Times New Roman"/>
          <w:b/>
          <w:sz w:val="24"/>
          <w:szCs w:val="24"/>
        </w:rPr>
        <w:t>Table S</w:t>
      </w:r>
      <w:r>
        <w:rPr>
          <w:rFonts w:hint="eastAsia" w:ascii="Times New Roman" w:hAnsi="Times New Roman" w:eastAsia="宋体" w:cs="Times New Roman"/>
          <w:b/>
          <w:sz w:val="24"/>
          <w:szCs w:val="24"/>
        </w:rPr>
        <w:t>8</w:t>
      </w:r>
      <w:r>
        <w:rPr>
          <w:rFonts w:ascii="Times New Roman" w:hAnsi="Times New Roman" w:eastAsia="宋体" w:cs="Times New Roman"/>
          <w:b/>
          <w:sz w:val="24"/>
          <w:szCs w:val="24"/>
        </w:rPr>
        <w:t>. Detection frequencies (%) and absolute abundance (copies/L) of target genes.</w:t>
      </w:r>
    </w:p>
    <w:tbl>
      <w:tblPr>
        <w:tblStyle w:val="7"/>
        <w:tblW w:w="0" w:type="auto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6"/>
        <w:gridCol w:w="584"/>
        <w:gridCol w:w="1072"/>
        <w:gridCol w:w="1072"/>
        <w:gridCol w:w="1072"/>
        <w:gridCol w:w="584"/>
        <w:gridCol w:w="1072"/>
        <w:gridCol w:w="1072"/>
        <w:gridCol w:w="107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" w:hRule="atLeast"/>
          <w:jc w:val="center"/>
        </w:trPr>
        <w:tc>
          <w:tcPr>
            <w:tcW w:w="0" w:type="auto"/>
            <w:vMerge w:val="restart"/>
            <w:tcBorders>
              <w:top w:val="single" w:color="auto" w:sz="12" w:space="0"/>
              <w:left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shd w:val="clear" w:color="auto" w:fill="FFFFFF"/>
              </w:rPr>
              <w:t>G</w:t>
            </w:r>
            <w:r>
              <w:rPr>
                <w:rFonts w:ascii="Times New Roman" w:hAnsi="Times New Roman" w:eastAsia="宋体" w:cs="Times New Roman"/>
                <w:color w:val="000000"/>
                <w:szCs w:val="21"/>
                <w:shd w:val="clear" w:color="auto" w:fill="FFFFFF"/>
              </w:rPr>
              <w:t>ene</w:t>
            </w:r>
          </w:p>
        </w:tc>
        <w:tc>
          <w:tcPr>
            <w:tcW w:w="0" w:type="auto"/>
            <w:gridSpan w:val="4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shd w:val="clear" w:color="auto" w:fill="auto"/>
          </w:tcPr>
          <w:p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surface water</w:t>
            </w:r>
          </w:p>
        </w:tc>
        <w:tc>
          <w:tcPr>
            <w:tcW w:w="0" w:type="auto"/>
            <w:gridSpan w:val="4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shd w:val="clear" w:color="auto" w:fill="auto"/>
          </w:tcPr>
          <w:p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Sediment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  <w:jc w:val="center"/>
        </w:trPr>
        <w:tc>
          <w:tcPr>
            <w:tcW w:w="0" w:type="auto"/>
            <w:vMerge w:val="continue"/>
            <w:tcBorders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Fre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>
            <w:pPr>
              <w:snapToGrid w:val="0"/>
              <w:jc w:val="center"/>
              <w:rPr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Max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>
            <w:pPr>
              <w:snapToGrid w:val="0"/>
              <w:jc w:val="center"/>
              <w:rPr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M</w:t>
            </w:r>
            <w:r>
              <w:rPr>
                <w:rFonts w:hint="eastAsia" w:ascii="Times New Roman" w:hAnsi="Times New Roman" w:cs="Times New Roman"/>
                <w:szCs w:val="21"/>
              </w:rPr>
              <w:t>i</w:t>
            </w:r>
            <w:r>
              <w:rPr>
                <w:rFonts w:ascii="Times New Roman" w:hAnsi="Times New Roman" w:cs="Times New Roman"/>
                <w:szCs w:val="21"/>
              </w:rPr>
              <w:t>n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>
            <w:pPr>
              <w:snapToGrid w:val="0"/>
              <w:jc w:val="center"/>
              <w:rPr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M</w:t>
            </w:r>
            <w:r>
              <w:rPr>
                <w:rFonts w:hint="eastAsia" w:ascii="Times New Roman" w:hAnsi="Times New Roman" w:cs="Times New Roman"/>
                <w:szCs w:val="21"/>
              </w:rPr>
              <w:t>ean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Fre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>
            <w:pPr>
              <w:snapToGrid w:val="0"/>
              <w:jc w:val="center"/>
              <w:rPr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Max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>
            <w:pPr>
              <w:snapToGrid w:val="0"/>
              <w:jc w:val="center"/>
              <w:rPr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M</w:t>
            </w:r>
            <w:r>
              <w:rPr>
                <w:rFonts w:hint="eastAsia" w:ascii="Times New Roman" w:hAnsi="Times New Roman" w:cs="Times New Roman"/>
                <w:szCs w:val="21"/>
              </w:rPr>
              <w:t>i</w:t>
            </w:r>
            <w:r>
              <w:rPr>
                <w:rFonts w:ascii="Times New Roman" w:hAnsi="Times New Roman" w:cs="Times New Roman"/>
                <w:szCs w:val="21"/>
              </w:rPr>
              <w:t>n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>
            <w:pPr>
              <w:snapToGrid w:val="0"/>
              <w:jc w:val="center"/>
              <w:rPr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M</w:t>
            </w:r>
            <w:r>
              <w:rPr>
                <w:rFonts w:hint="eastAsia" w:ascii="Times New Roman" w:hAnsi="Times New Roman" w:cs="Times New Roman"/>
                <w:szCs w:val="21"/>
              </w:rPr>
              <w:t>ean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0" w:type="auto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szCs w:val="21"/>
                <w:shd w:val="clear" w:color="auto" w:fill="FFFFFF"/>
              </w:rPr>
              <w:t>16S rDNA</w:t>
            </w:r>
          </w:p>
        </w:tc>
        <w:tc>
          <w:tcPr>
            <w:tcW w:w="0" w:type="auto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Cs w:val="21"/>
                <w:shd w:val="clear" w:color="auto" w:fill="FFFFFF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shd w:val="clear" w:color="auto" w:fill="FFFFFF"/>
              </w:rPr>
              <w:t>100</w:t>
            </w:r>
          </w:p>
        </w:tc>
        <w:tc>
          <w:tcPr>
            <w:tcW w:w="0" w:type="auto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Cs w:val="21"/>
                <w:shd w:val="clear" w:color="auto" w:fill="FFFFFF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shd w:val="clear" w:color="auto" w:fill="FFFFFF"/>
              </w:rPr>
              <w:t>5.52</w:t>
            </w:r>
            <w:r>
              <w:rPr>
                <w:rFonts w:ascii="Times New Roman" w:hAnsi="Times New Roman" w:eastAsia="宋体" w:cs="Times New Roman"/>
                <w:color w:val="000000"/>
                <w:szCs w:val="21"/>
                <w:shd w:val="clear" w:color="auto" w:fill="FFFFFF"/>
              </w:rPr>
              <w:t>×</w:t>
            </w: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shd w:val="clear" w:color="auto" w:fill="FFFFFF"/>
              </w:rPr>
              <w:t>10</w:t>
            </w: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shd w:val="clear" w:color="auto" w:fill="FFFFFF"/>
                <w:vertAlign w:val="superscript"/>
              </w:rPr>
              <w:t>8</w:t>
            </w:r>
          </w:p>
        </w:tc>
        <w:tc>
          <w:tcPr>
            <w:tcW w:w="0" w:type="auto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Cs w:val="21"/>
                <w:shd w:val="clear" w:color="auto" w:fill="FFFFFF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shd w:val="clear" w:color="auto" w:fill="FFFFFF"/>
              </w:rPr>
              <w:t>1.75</w:t>
            </w:r>
            <w:r>
              <w:rPr>
                <w:rFonts w:ascii="Times New Roman" w:hAnsi="Times New Roman" w:eastAsia="宋体" w:cs="Times New Roman"/>
                <w:color w:val="000000"/>
                <w:szCs w:val="21"/>
                <w:shd w:val="clear" w:color="auto" w:fill="FFFFFF"/>
              </w:rPr>
              <w:t>×</w:t>
            </w: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shd w:val="clear" w:color="auto" w:fill="FFFFFF"/>
              </w:rPr>
              <w:t>10</w:t>
            </w: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shd w:val="clear" w:color="auto" w:fill="FFFFFF"/>
                <w:vertAlign w:val="superscript"/>
              </w:rPr>
              <w:t>7</w:t>
            </w:r>
          </w:p>
        </w:tc>
        <w:tc>
          <w:tcPr>
            <w:tcW w:w="0" w:type="auto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Cs w:val="21"/>
                <w:shd w:val="clear" w:color="auto" w:fill="FFFFFF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shd w:val="clear" w:color="auto" w:fill="FFFFFF"/>
              </w:rPr>
              <w:t>3.61</w:t>
            </w:r>
            <w:r>
              <w:rPr>
                <w:rFonts w:ascii="Times New Roman" w:hAnsi="Times New Roman" w:eastAsia="宋体" w:cs="Times New Roman"/>
                <w:color w:val="000000"/>
                <w:szCs w:val="21"/>
                <w:shd w:val="clear" w:color="auto" w:fill="FFFFFF"/>
              </w:rPr>
              <w:t>×</w:t>
            </w: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shd w:val="clear" w:color="auto" w:fill="FFFFFF"/>
              </w:rPr>
              <w:t>10</w:t>
            </w: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shd w:val="clear" w:color="auto" w:fill="FFFFFF"/>
                <w:vertAlign w:val="superscript"/>
              </w:rPr>
              <w:t>8</w:t>
            </w:r>
          </w:p>
        </w:tc>
        <w:tc>
          <w:tcPr>
            <w:tcW w:w="0" w:type="auto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Cs w:val="21"/>
                <w:shd w:val="clear" w:color="auto" w:fill="FFFFFF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shd w:val="clear" w:color="auto" w:fill="FFFFFF"/>
              </w:rPr>
              <w:t>100</w:t>
            </w:r>
          </w:p>
        </w:tc>
        <w:tc>
          <w:tcPr>
            <w:tcW w:w="0" w:type="auto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Cs w:val="21"/>
                <w:shd w:val="clear" w:color="auto" w:fill="FFFFFF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shd w:val="clear" w:color="auto" w:fill="FFFFFF"/>
              </w:rPr>
              <w:t>1.06</w:t>
            </w:r>
            <w:r>
              <w:rPr>
                <w:rFonts w:ascii="Times New Roman" w:hAnsi="Times New Roman" w:eastAsia="宋体" w:cs="Times New Roman"/>
                <w:color w:val="000000"/>
                <w:szCs w:val="21"/>
                <w:shd w:val="clear" w:color="auto" w:fill="FFFFFF"/>
              </w:rPr>
              <w:t>×</w:t>
            </w: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shd w:val="clear" w:color="auto" w:fill="FFFFFF"/>
              </w:rPr>
              <w:t>10</w:t>
            </w: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shd w:val="clear" w:color="auto" w:fill="FFFFFF"/>
                <w:vertAlign w:val="superscript"/>
              </w:rPr>
              <w:t>9</w:t>
            </w:r>
          </w:p>
        </w:tc>
        <w:tc>
          <w:tcPr>
            <w:tcW w:w="0" w:type="auto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Cs w:val="21"/>
                <w:shd w:val="clear" w:color="auto" w:fill="FFFFFF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shd w:val="clear" w:color="auto" w:fill="FFFFFF"/>
              </w:rPr>
              <w:t>4.24</w:t>
            </w:r>
            <w:r>
              <w:rPr>
                <w:rFonts w:ascii="Times New Roman" w:hAnsi="Times New Roman" w:eastAsia="宋体" w:cs="Times New Roman"/>
                <w:color w:val="000000"/>
                <w:szCs w:val="21"/>
                <w:shd w:val="clear" w:color="auto" w:fill="FFFFFF"/>
              </w:rPr>
              <w:t>×</w:t>
            </w: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shd w:val="clear" w:color="auto" w:fill="FFFFFF"/>
              </w:rPr>
              <w:t>10</w:t>
            </w: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shd w:val="clear" w:color="auto" w:fill="FFFFFF"/>
                <w:vertAlign w:val="superscript"/>
              </w:rPr>
              <w:t>8</w:t>
            </w:r>
          </w:p>
        </w:tc>
        <w:tc>
          <w:tcPr>
            <w:tcW w:w="0" w:type="auto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Cs w:val="21"/>
                <w:shd w:val="clear" w:color="auto" w:fill="FFFFFF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shd w:val="clear" w:color="auto" w:fill="FFFFFF"/>
              </w:rPr>
              <w:t>6.97</w:t>
            </w:r>
            <w:r>
              <w:rPr>
                <w:rFonts w:ascii="Times New Roman" w:hAnsi="Times New Roman" w:eastAsia="宋体" w:cs="Times New Roman"/>
                <w:color w:val="000000"/>
                <w:szCs w:val="21"/>
                <w:shd w:val="clear" w:color="auto" w:fill="FFFFFF"/>
              </w:rPr>
              <w:t>×</w:t>
            </w: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shd w:val="clear" w:color="auto" w:fill="FFFFFF"/>
              </w:rPr>
              <w:t>10</w:t>
            </w: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shd w:val="clear" w:color="auto" w:fill="FFFFFF"/>
                <w:vertAlign w:val="superscript"/>
              </w:rPr>
              <w:t>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szCs w:val="21"/>
                <w:shd w:val="clear" w:color="auto" w:fill="FFFFFF"/>
              </w:rPr>
              <w:t>intI1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Cs w:val="21"/>
                <w:shd w:val="clear" w:color="auto" w:fill="FFFFFF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shd w:val="clear" w:color="auto" w:fill="FFFFFF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Cs w:val="21"/>
                <w:shd w:val="clear" w:color="auto" w:fill="FFFFFF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shd w:val="clear" w:color="auto" w:fill="FFFFFF"/>
              </w:rPr>
              <w:t>5.13</w:t>
            </w:r>
            <w:r>
              <w:rPr>
                <w:rFonts w:ascii="Times New Roman" w:hAnsi="Times New Roman" w:eastAsia="宋体" w:cs="Times New Roman"/>
                <w:color w:val="000000"/>
                <w:szCs w:val="21"/>
                <w:shd w:val="clear" w:color="auto" w:fill="FFFFFF"/>
              </w:rPr>
              <w:t>×</w:t>
            </w: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shd w:val="clear" w:color="auto" w:fill="FFFFFF"/>
              </w:rPr>
              <w:t>10</w:t>
            </w: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shd w:val="clear" w:color="auto" w:fill="FFFFFF"/>
                <w:vertAlign w:val="superscript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Cs w:val="21"/>
                <w:shd w:val="clear" w:color="auto" w:fill="FFFFFF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shd w:val="clear" w:color="auto" w:fill="FFFFFF"/>
              </w:rPr>
              <w:t>1.49</w:t>
            </w:r>
            <w:r>
              <w:rPr>
                <w:rFonts w:ascii="Times New Roman" w:hAnsi="Times New Roman" w:eastAsia="宋体" w:cs="Times New Roman"/>
                <w:color w:val="000000"/>
                <w:szCs w:val="21"/>
                <w:shd w:val="clear" w:color="auto" w:fill="FFFFFF"/>
              </w:rPr>
              <w:t>×</w:t>
            </w: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shd w:val="clear" w:color="auto" w:fill="FFFFFF"/>
              </w:rPr>
              <w:t>10</w:t>
            </w: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shd w:val="clear" w:color="auto" w:fill="FFFFFF"/>
                <w:vertAlign w:val="superscript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Cs w:val="21"/>
                <w:shd w:val="clear" w:color="auto" w:fill="FFFFFF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shd w:val="clear" w:color="auto" w:fill="FFFFFF"/>
              </w:rPr>
              <w:t>3.11</w:t>
            </w:r>
            <w:r>
              <w:rPr>
                <w:rFonts w:ascii="Times New Roman" w:hAnsi="Times New Roman" w:eastAsia="宋体" w:cs="Times New Roman"/>
                <w:color w:val="000000"/>
                <w:szCs w:val="21"/>
                <w:shd w:val="clear" w:color="auto" w:fill="FFFFFF"/>
              </w:rPr>
              <w:t>×</w:t>
            </w: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shd w:val="clear" w:color="auto" w:fill="FFFFFF"/>
              </w:rPr>
              <w:t>10</w:t>
            </w: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shd w:val="clear" w:color="auto" w:fill="FFFFFF"/>
                <w:vertAlign w:val="superscript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Cs w:val="21"/>
                <w:shd w:val="clear" w:color="auto" w:fill="FFFFFF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shd w:val="clear" w:color="auto" w:fill="FFFFFF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Cs w:val="21"/>
                <w:shd w:val="clear" w:color="auto" w:fill="FFFFFF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shd w:val="clear" w:color="auto" w:fill="FFFFFF"/>
              </w:rPr>
              <w:t>9.26×10</w:t>
            </w: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shd w:val="clear" w:color="auto" w:fill="FFFFFF"/>
                <w:vertAlign w:val="superscript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Cs w:val="21"/>
                <w:shd w:val="clear" w:color="auto" w:fill="FFFFFF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shd w:val="clear" w:color="auto" w:fill="FFFFFF"/>
              </w:rPr>
              <w:t>1.34×10</w:t>
            </w: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shd w:val="clear" w:color="auto" w:fill="FFFFFF"/>
                <w:vertAlign w:val="superscript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Cs w:val="21"/>
                <w:shd w:val="clear" w:color="auto" w:fill="FFFFFF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shd w:val="clear" w:color="auto" w:fill="FFFFFF"/>
              </w:rPr>
              <w:t>4.45×10</w:t>
            </w: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shd w:val="clear" w:color="auto" w:fill="FFFFFF"/>
                <w:vertAlign w:val="superscript"/>
              </w:rPr>
              <w:t>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szCs w:val="21"/>
                <w:shd w:val="clear" w:color="auto" w:fill="FFFFFF"/>
              </w:rPr>
              <w:t>intI2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Cs w:val="21"/>
                <w:shd w:val="clear" w:color="auto" w:fill="FFFFFF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shd w:val="clear" w:color="auto" w:fill="FFFFFF"/>
              </w:rPr>
              <w:t>11.1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Cs w:val="21"/>
                <w:shd w:val="clear" w:color="auto" w:fill="FFFFFF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shd w:val="clear" w:color="auto" w:fill="FFFFFF"/>
              </w:rPr>
              <w:t>4.63×10</w:t>
            </w: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shd w:val="clear" w:color="auto" w:fill="FFFFFF"/>
                <w:vertAlign w:val="superscript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Cs w:val="21"/>
                <w:shd w:val="clear" w:color="auto" w:fill="FFFFFF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shd w:val="clear" w:color="auto" w:fill="FFFFFF"/>
              </w:rPr>
              <w:t>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Cs w:val="21"/>
                <w:shd w:val="clear" w:color="auto" w:fill="FFFFFF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shd w:val="clear" w:color="auto" w:fill="FFFFFF"/>
              </w:rPr>
              <w:t>1.24×10</w:t>
            </w: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shd w:val="clear" w:color="auto" w:fill="FFFFFF"/>
                <w:vertAlign w:val="superscript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Cs w:val="21"/>
                <w:shd w:val="clear" w:color="auto" w:fill="FFFFFF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shd w:val="clear" w:color="auto" w:fill="FFFFFF"/>
              </w:rPr>
              <w:t>33.3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Cs w:val="21"/>
                <w:shd w:val="clear" w:color="auto" w:fill="FFFFFF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shd w:val="clear" w:color="auto" w:fill="FFFFFF"/>
              </w:rPr>
              <w:t>1.36×10</w:t>
            </w: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shd w:val="clear" w:color="auto" w:fill="FFFFFF"/>
                <w:vertAlign w:val="superscript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Cs w:val="21"/>
                <w:shd w:val="clear" w:color="auto" w:fill="FFFFFF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shd w:val="clear" w:color="auto" w:fill="FFFFFF"/>
              </w:rPr>
              <w:t>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Cs w:val="21"/>
                <w:shd w:val="clear" w:color="auto" w:fill="FFFFFF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shd w:val="clear" w:color="auto" w:fill="FFFFFF"/>
              </w:rPr>
              <w:t>ND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szCs w:val="21"/>
                <w:shd w:val="clear" w:color="auto" w:fill="FFFFFF"/>
              </w:rPr>
              <w:t>sul1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Cs w:val="21"/>
                <w:shd w:val="clear" w:color="auto" w:fill="FFFFFF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shd w:val="clear" w:color="auto" w:fill="FFFFFF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Cs w:val="21"/>
                <w:shd w:val="clear" w:color="auto" w:fill="FFFFFF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shd w:val="clear" w:color="auto" w:fill="FFFFFF"/>
              </w:rPr>
              <w:t>9.15×10</w:t>
            </w: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shd w:val="clear" w:color="auto" w:fill="FFFFFF"/>
                <w:vertAlign w:val="superscript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Cs w:val="21"/>
                <w:shd w:val="clear" w:color="auto" w:fill="FFFFFF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shd w:val="clear" w:color="auto" w:fill="FFFFFF"/>
              </w:rPr>
              <w:t>3.99×10</w:t>
            </w: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shd w:val="clear" w:color="auto" w:fill="FFFFFF"/>
                <w:vertAlign w:val="superscript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Cs w:val="21"/>
                <w:shd w:val="clear" w:color="auto" w:fill="FFFFFF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shd w:val="clear" w:color="auto" w:fill="FFFFFF"/>
              </w:rPr>
              <w:t>4.25×10</w:t>
            </w: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shd w:val="clear" w:color="auto" w:fill="FFFFFF"/>
                <w:vertAlign w:val="superscript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Cs w:val="21"/>
                <w:shd w:val="clear" w:color="auto" w:fill="FFFFFF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shd w:val="clear" w:color="auto" w:fill="FFFFFF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Cs w:val="21"/>
                <w:shd w:val="clear" w:color="auto" w:fill="FFFFFF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shd w:val="clear" w:color="auto" w:fill="FFFFFF"/>
              </w:rPr>
              <w:t>2.63×10</w:t>
            </w: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shd w:val="clear" w:color="auto" w:fill="FFFFFF"/>
                <w:vertAlign w:val="superscript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Cs w:val="21"/>
                <w:shd w:val="clear" w:color="auto" w:fill="FFFFFF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shd w:val="clear" w:color="auto" w:fill="FFFFFF"/>
              </w:rPr>
              <w:t>3.72×10</w:t>
            </w: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shd w:val="clear" w:color="auto" w:fill="FFFFFF"/>
                <w:vertAlign w:val="superscript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Cs w:val="21"/>
                <w:shd w:val="clear" w:color="auto" w:fill="FFFFFF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shd w:val="clear" w:color="auto" w:fill="FFFFFF"/>
              </w:rPr>
              <w:t>1.61×10</w:t>
            </w: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shd w:val="clear" w:color="auto" w:fill="FFFFFF"/>
                <w:vertAlign w:val="superscript"/>
              </w:rPr>
              <w:t>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szCs w:val="21"/>
                <w:shd w:val="clear" w:color="auto" w:fill="FFFFFF"/>
              </w:rPr>
              <w:t>sul3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Cs w:val="21"/>
                <w:shd w:val="clear" w:color="auto" w:fill="FFFFFF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shd w:val="clear" w:color="auto" w:fill="FFFFFF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Cs w:val="21"/>
                <w:shd w:val="clear" w:color="auto" w:fill="FFFFFF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shd w:val="clear" w:color="auto" w:fill="FFFFFF"/>
              </w:rPr>
              <w:t>2.54×10</w:t>
            </w: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shd w:val="clear" w:color="auto" w:fill="FFFFFF"/>
                <w:vertAlign w:val="superscript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Cs w:val="21"/>
                <w:shd w:val="clear" w:color="auto" w:fill="FFFFFF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shd w:val="clear" w:color="auto" w:fill="FFFFFF"/>
              </w:rPr>
              <w:t>1.74×10</w:t>
            </w: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shd w:val="clear" w:color="auto" w:fill="FFFFFF"/>
                <w:vertAlign w:val="superscript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Cs w:val="21"/>
                <w:shd w:val="clear" w:color="auto" w:fill="FFFFFF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shd w:val="clear" w:color="auto" w:fill="FFFFFF"/>
              </w:rPr>
              <w:t>9.97×10</w:t>
            </w: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shd w:val="clear" w:color="auto" w:fill="FFFFFF"/>
                <w:vertAlign w:val="superscript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Cs w:val="21"/>
                <w:shd w:val="clear" w:color="auto" w:fill="FFFFFF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shd w:val="clear" w:color="auto" w:fill="FFFFFF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Cs w:val="21"/>
                <w:shd w:val="clear" w:color="auto" w:fill="FFFFFF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shd w:val="clear" w:color="auto" w:fill="FFFFFF"/>
              </w:rPr>
              <w:t>3.34×10</w:t>
            </w: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shd w:val="clear" w:color="auto" w:fill="FFFFFF"/>
                <w:vertAlign w:val="superscript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Cs w:val="21"/>
                <w:shd w:val="clear" w:color="auto" w:fill="FFFFFF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shd w:val="clear" w:color="auto" w:fill="FFFFFF"/>
              </w:rPr>
              <w:t>6.87×10</w:t>
            </w: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shd w:val="clear" w:color="auto" w:fill="FFFFFF"/>
                <w:vertAlign w:val="superscript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Cs w:val="21"/>
                <w:shd w:val="clear" w:color="auto" w:fill="FFFFFF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shd w:val="clear" w:color="auto" w:fill="FFFFFF"/>
              </w:rPr>
              <w:t>1.02×10</w:t>
            </w: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shd w:val="clear" w:color="auto" w:fill="FFFFFF"/>
                <w:vertAlign w:val="superscript"/>
              </w:rPr>
              <w:t>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szCs w:val="21"/>
                <w:shd w:val="clear" w:color="auto" w:fill="FFFFFF"/>
              </w:rPr>
              <w:t>tetA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Cs w:val="21"/>
                <w:shd w:val="clear" w:color="auto" w:fill="FFFFFF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shd w:val="clear" w:color="auto" w:fill="FFFFFF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Cs w:val="21"/>
                <w:shd w:val="clear" w:color="auto" w:fill="FFFFFF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shd w:val="clear" w:color="auto" w:fill="FFFFFF"/>
              </w:rPr>
              <w:t>1.87×10</w:t>
            </w: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shd w:val="clear" w:color="auto" w:fill="FFFFFF"/>
                <w:vertAlign w:val="superscript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Cs w:val="21"/>
                <w:shd w:val="clear" w:color="auto" w:fill="FFFFFF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shd w:val="clear" w:color="auto" w:fill="FFFFFF"/>
              </w:rPr>
              <w:t>3.62×10</w:t>
            </w: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shd w:val="clear" w:color="auto" w:fill="FFFFFF"/>
                <w:vertAlign w:val="superscript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Cs w:val="21"/>
                <w:shd w:val="clear" w:color="auto" w:fill="FFFFFF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shd w:val="clear" w:color="auto" w:fill="FFFFFF"/>
              </w:rPr>
              <w:t>7.03×10</w:t>
            </w: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shd w:val="clear" w:color="auto" w:fill="FFFFFF"/>
                <w:vertAlign w:val="superscript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Cs w:val="21"/>
                <w:shd w:val="clear" w:color="auto" w:fill="FFFFFF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shd w:val="clear" w:color="auto" w:fill="FFFFFF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Cs w:val="21"/>
                <w:shd w:val="clear" w:color="auto" w:fill="FFFFFF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shd w:val="clear" w:color="auto" w:fill="FFFFFF"/>
              </w:rPr>
              <w:t>1.88×10</w:t>
            </w: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shd w:val="clear" w:color="auto" w:fill="FFFFFF"/>
                <w:vertAlign w:val="superscript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Cs w:val="21"/>
                <w:shd w:val="clear" w:color="auto" w:fill="FFFFFF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shd w:val="clear" w:color="auto" w:fill="FFFFFF"/>
              </w:rPr>
              <w:t>5.85×10</w:t>
            </w: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shd w:val="clear" w:color="auto" w:fill="FFFFFF"/>
                <w:vertAlign w:val="superscript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Cs w:val="21"/>
                <w:shd w:val="clear" w:color="auto" w:fill="FFFFFF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shd w:val="clear" w:color="auto" w:fill="FFFFFF"/>
              </w:rPr>
              <w:t>5.29×10</w:t>
            </w: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shd w:val="clear" w:color="auto" w:fill="FFFFFF"/>
                <w:vertAlign w:val="superscript"/>
              </w:rPr>
              <w:t>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szCs w:val="21"/>
                <w:shd w:val="clear" w:color="auto" w:fill="FFFFFF"/>
              </w:rPr>
              <w:t>tet</w:t>
            </w:r>
            <w:r>
              <w:rPr>
                <w:rFonts w:hint="eastAsia" w:ascii="Times New Roman" w:hAnsi="Times New Roman" w:eastAsia="宋体" w:cs="Times New Roman"/>
                <w:i/>
                <w:iCs/>
                <w:color w:val="000000"/>
                <w:szCs w:val="21"/>
                <w:shd w:val="clear" w:color="auto" w:fill="FFFFFF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Cs w:val="21"/>
                <w:shd w:val="clear" w:color="auto" w:fill="FFFFFF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shd w:val="clear" w:color="auto" w:fill="FFFFFF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Cs w:val="21"/>
                <w:shd w:val="clear" w:color="auto" w:fill="FFFFFF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shd w:val="clear" w:color="auto" w:fill="FFFFFF"/>
              </w:rPr>
              <w:t>4.88×10</w:t>
            </w: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shd w:val="clear" w:color="auto" w:fill="FFFFFF"/>
                <w:vertAlign w:val="superscript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Cs w:val="21"/>
                <w:shd w:val="clear" w:color="auto" w:fill="FFFFFF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shd w:val="clear" w:color="auto" w:fill="FFFFFF"/>
              </w:rPr>
              <w:t>4.01×10</w:t>
            </w: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shd w:val="clear" w:color="auto" w:fill="FFFFFF"/>
                <w:vertAlign w:val="superscript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Cs w:val="21"/>
                <w:shd w:val="clear" w:color="auto" w:fill="FFFFFF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shd w:val="clear" w:color="auto" w:fill="FFFFFF"/>
              </w:rPr>
              <w:t>1.98×10</w:t>
            </w: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shd w:val="clear" w:color="auto" w:fill="FFFFFF"/>
                <w:vertAlign w:val="superscript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Cs w:val="21"/>
                <w:shd w:val="clear" w:color="auto" w:fill="FFFFFF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shd w:val="clear" w:color="auto" w:fill="FFFFFF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Cs w:val="21"/>
                <w:shd w:val="clear" w:color="auto" w:fill="FFFFFF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shd w:val="clear" w:color="auto" w:fill="FFFFFF"/>
              </w:rPr>
              <w:t>5.91×10</w:t>
            </w: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shd w:val="clear" w:color="auto" w:fill="FFFFFF"/>
                <w:vertAlign w:val="superscript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Cs w:val="21"/>
                <w:shd w:val="clear" w:color="auto" w:fill="FFFFFF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shd w:val="clear" w:color="auto" w:fill="FFFFFF"/>
              </w:rPr>
              <w:t>3.62×10</w:t>
            </w: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shd w:val="clear" w:color="auto" w:fill="FFFFFF"/>
                <w:vertAlign w:val="superscript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Cs w:val="21"/>
                <w:shd w:val="clear" w:color="auto" w:fill="FFFFFF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shd w:val="clear" w:color="auto" w:fill="FFFFFF"/>
              </w:rPr>
              <w:t>2.54×10</w:t>
            </w: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shd w:val="clear" w:color="auto" w:fill="FFFFFF"/>
                <w:vertAlign w:val="superscript"/>
              </w:rPr>
              <w:t>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szCs w:val="21"/>
                <w:shd w:val="clear" w:color="auto" w:fill="FFFFFF"/>
              </w:rPr>
              <w:t>tet</w:t>
            </w:r>
            <w:r>
              <w:rPr>
                <w:rFonts w:hint="eastAsia" w:ascii="Times New Roman" w:hAnsi="Times New Roman" w:eastAsia="宋体" w:cs="Times New Roman"/>
                <w:i/>
                <w:iCs/>
                <w:color w:val="000000"/>
                <w:szCs w:val="21"/>
                <w:shd w:val="clear" w:color="auto" w:fill="FFFFFF"/>
              </w:rPr>
              <w:t>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Cs w:val="21"/>
                <w:shd w:val="clear" w:color="auto" w:fill="FFFFFF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shd w:val="clear" w:color="auto" w:fill="FFFFFF"/>
              </w:rPr>
              <w:t>44.4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Cs w:val="21"/>
                <w:shd w:val="clear" w:color="auto" w:fill="FFFFFF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shd w:val="clear" w:color="auto" w:fill="FFFFFF"/>
              </w:rPr>
              <w:t>1.88×10</w:t>
            </w: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shd w:val="clear" w:color="auto" w:fill="FFFFFF"/>
                <w:vertAlign w:val="superscript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Cs w:val="21"/>
                <w:shd w:val="clear" w:color="auto" w:fill="FFFFFF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shd w:val="clear" w:color="auto" w:fill="FFFFFF"/>
              </w:rPr>
              <w:t>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Cs w:val="21"/>
                <w:shd w:val="clear" w:color="auto" w:fill="FFFFFF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shd w:val="clear" w:color="auto" w:fill="FFFFFF"/>
              </w:rPr>
              <w:t>5.41×10</w:t>
            </w: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shd w:val="clear" w:color="auto" w:fill="FFFFFF"/>
                <w:vertAlign w:val="superscript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Cs w:val="21"/>
                <w:shd w:val="clear" w:color="auto" w:fill="FFFFFF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shd w:val="clear" w:color="auto" w:fill="FFFFFF"/>
              </w:rPr>
              <w:t>11.1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Cs w:val="21"/>
                <w:shd w:val="clear" w:color="auto" w:fill="FFFFFF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shd w:val="clear" w:color="auto" w:fill="FFFFFF"/>
              </w:rPr>
              <w:t>4.30×10</w:t>
            </w: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shd w:val="clear" w:color="auto" w:fill="FFFFFF"/>
                <w:vertAlign w:val="superscript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Cs w:val="21"/>
                <w:shd w:val="clear" w:color="auto" w:fill="FFFFFF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shd w:val="clear" w:color="auto" w:fill="FFFFFF"/>
              </w:rPr>
              <w:t>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Cs w:val="21"/>
                <w:shd w:val="clear" w:color="auto" w:fill="FFFFFF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shd w:val="clear" w:color="auto" w:fill="FFFFFF"/>
              </w:rPr>
              <w:t>1.05×10</w:t>
            </w: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shd w:val="clear" w:color="auto" w:fill="FFFFFF"/>
                <w:vertAlign w:val="superscript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szCs w:val="21"/>
                <w:shd w:val="clear" w:color="auto" w:fill="FFFFFF"/>
              </w:rPr>
              <w:t>qnrB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Cs w:val="21"/>
                <w:shd w:val="clear" w:color="auto" w:fill="FFFFFF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shd w:val="clear" w:color="auto" w:fill="FFFFFF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Cs w:val="21"/>
                <w:shd w:val="clear" w:color="auto" w:fill="FFFFFF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shd w:val="clear" w:color="auto" w:fill="FFFFFF"/>
              </w:rPr>
              <w:t>4.15×10</w:t>
            </w: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shd w:val="clear" w:color="auto" w:fill="FFFFFF"/>
                <w:vertAlign w:val="superscript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Cs w:val="21"/>
                <w:shd w:val="clear" w:color="auto" w:fill="FFFFFF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shd w:val="clear" w:color="auto" w:fill="FFFFFF"/>
              </w:rPr>
              <w:t>1.26×10</w:t>
            </w: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shd w:val="clear" w:color="auto" w:fill="FFFFFF"/>
                <w:vertAlign w:val="superscript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Cs w:val="21"/>
                <w:shd w:val="clear" w:color="auto" w:fill="FFFFFF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shd w:val="clear" w:color="auto" w:fill="FFFFFF"/>
              </w:rPr>
              <w:t>1.72×10</w:t>
            </w: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shd w:val="clear" w:color="auto" w:fill="FFFFFF"/>
                <w:vertAlign w:val="superscript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Cs w:val="21"/>
                <w:shd w:val="clear" w:color="auto" w:fill="FFFFFF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shd w:val="clear" w:color="auto" w:fill="FFFFFF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Cs w:val="21"/>
                <w:shd w:val="clear" w:color="auto" w:fill="FFFFFF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shd w:val="clear" w:color="auto" w:fill="FFFFFF"/>
              </w:rPr>
              <w:t>4.42×10</w:t>
            </w: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shd w:val="clear" w:color="auto" w:fill="FFFFFF"/>
                <w:vertAlign w:val="superscript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Cs w:val="21"/>
                <w:shd w:val="clear" w:color="auto" w:fill="FFFFFF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shd w:val="clear" w:color="auto" w:fill="FFFFFF"/>
              </w:rPr>
              <w:t>7.08×10</w:t>
            </w: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shd w:val="clear" w:color="auto" w:fill="FFFFFF"/>
                <w:vertAlign w:val="superscript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Cs w:val="21"/>
                <w:shd w:val="clear" w:color="auto" w:fill="FFFFFF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shd w:val="clear" w:color="auto" w:fill="FFFFFF"/>
              </w:rPr>
              <w:t>2.03×10</w:t>
            </w: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shd w:val="clear" w:color="auto" w:fill="FFFFFF"/>
                <w:vertAlign w:val="superscript"/>
              </w:rPr>
              <w:t>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szCs w:val="21"/>
                <w:shd w:val="clear" w:color="auto" w:fill="FFFFFF"/>
              </w:rPr>
              <w:t>qnrS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Cs w:val="21"/>
                <w:shd w:val="clear" w:color="auto" w:fill="FFFFFF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shd w:val="clear" w:color="auto" w:fill="FFFFFF"/>
              </w:rPr>
              <w:t>33.3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Cs w:val="21"/>
                <w:shd w:val="clear" w:color="auto" w:fill="FFFFFF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shd w:val="clear" w:color="auto" w:fill="FFFFFF"/>
              </w:rPr>
              <w:t>2.66×10</w:t>
            </w: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shd w:val="clear" w:color="auto" w:fill="FFFFFF"/>
                <w:vertAlign w:val="superscript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Cs w:val="21"/>
                <w:shd w:val="clear" w:color="auto" w:fill="FFFFFF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shd w:val="clear" w:color="auto" w:fill="FFFFFF"/>
              </w:rPr>
              <w:t>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Cs w:val="21"/>
                <w:shd w:val="clear" w:color="auto" w:fill="FFFFFF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shd w:val="clear" w:color="auto" w:fill="FFFFFF"/>
              </w:rPr>
              <w:t>1.20×10</w:t>
            </w: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shd w:val="clear" w:color="auto" w:fill="FFFFFF"/>
                <w:vertAlign w:val="superscript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Cs w:val="21"/>
                <w:shd w:val="clear" w:color="auto" w:fill="FFFFFF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shd w:val="clear" w:color="auto" w:fill="FFFFFF"/>
              </w:rPr>
              <w:t>66.7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Cs w:val="21"/>
                <w:shd w:val="clear" w:color="auto" w:fill="FFFFFF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shd w:val="clear" w:color="auto" w:fill="FFFFFF"/>
              </w:rPr>
              <w:t>4.79×10</w:t>
            </w: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shd w:val="clear" w:color="auto" w:fill="FFFFFF"/>
                <w:vertAlign w:val="superscript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Cs w:val="21"/>
                <w:shd w:val="clear" w:color="auto" w:fill="FFFFFF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shd w:val="clear" w:color="auto" w:fill="FFFFFF"/>
              </w:rPr>
              <w:t>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Cs w:val="21"/>
                <w:shd w:val="clear" w:color="auto" w:fill="FFFFFF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shd w:val="clear" w:color="auto" w:fill="FFFFFF"/>
              </w:rPr>
              <w:t>2.41×10</w:t>
            </w: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shd w:val="clear" w:color="auto" w:fill="FFFFFF"/>
                <w:vertAlign w:val="superscript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szCs w:val="21"/>
                <w:shd w:val="clear" w:color="auto" w:fill="FFFFFF"/>
              </w:rPr>
              <w:t>ermB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Cs w:val="21"/>
                <w:shd w:val="clear" w:color="auto" w:fill="FFFFFF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shd w:val="clear" w:color="auto" w:fill="FFFFFF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Cs w:val="21"/>
                <w:shd w:val="clear" w:color="auto" w:fill="FFFFFF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shd w:val="clear" w:color="auto" w:fill="FFFFFF"/>
              </w:rPr>
              <w:t>4.88×10</w:t>
            </w: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shd w:val="clear" w:color="auto" w:fill="FFFFFF"/>
                <w:vertAlign w:val="superscript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Cs w:val="21"/>
                <w:shd w:val="clear" w:color="auto" w:fill="FFFFFF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shd w:val="clear" w:color="auto" w:fill="FFFFFF"/>
              </w:rPr>
              <w:t>6.87×10</w:t>
            </w: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shd w:val="clear" w:color="auto" w:fill="FFFFFF"/>
                <w:vertAlign w:val="superscript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Cs w:val="21"/>
                <w:shd w:val="clear" w:color="auto" w:fill="FFFFFF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shd w:val="clear" w:color="auto" w:fill="FFFFFF"/>
              </w:rPr>
              <w:t>2.44×10</w:t>
            </w: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shd w:val="clear" w:color="auto" w:fill="FFFFFF"/>
                <w:vertAlign w:val="superscript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Cs w:val="21"/>
                <w:shd w:val="clear" w:color="auto" w:fill="FFFFFF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shd w:val="clear" w:color="auto" w:fill="FFFFFF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Cs w:val="21"/>
                <w:shd w:val="clear" w:color="auto" w:fill="FFFFFF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shd w:val="clear" w:color="auto" w:fill="FFFFFF"/>
              </w:rPr>
              <w:t>7.05×10</w:t>
            </w: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shd w:val="clear" w:color="auto" w:fill="FFFFFF"/>
                <w:vertAlign w:val="superscript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Cs w:val="21"/>
                <w:shd w:val="clear" w:color="auto" w:fill="FFFFFF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shd w:val="clear" w:color="auto" w:fill="FFFFFF"/>
              </w:rPr>
              <w:t>4.27×10</w:t>
            </w: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shd w:val="clear" w:color="auto" w:fill="FFFFFF"/>
                <w:vertAlign w:val="superscript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Cs w:val="21"/>
                <w:shd w:val="clear" w:color="auto" w:fill="FFFFFF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shd w:val="clear" w:color="auto" w:fill="FFFFFF"/>
              </w:rPr>
              <w:t>3.66×10</w:t>
            </w: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shd w:val="clear" w:color="auto" w:fill="FFFFFF"/>
                <w:vertAlign w:val="superscript"/>
              </w:rPr>
              <w:t>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szCs w:val="21"/>
                <w:shd w:val="clear" w:color="auto" w:fill="FFFFFF"/>
              </w:rPr>
              <w:t>erm36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Cs w:val="21"/>
                <w:shd w:val="clear" w:color="auto" w:fill="FFFFFF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shd w:val="clear" w:color="auto" w:fill="FFFFFF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Cs w:val="21"/>
                <w:shd w:val="clear" w:color="auto" w:fill="FFFFFF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shd w:val="clear" w:color="auto" w:fill="FFFFFF"/>
              </w:rPr>
              <w:t>2.89×10</w:t>
            </w: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shd w:val="clear" w:color="auto" w:fill="FFFFFF"/>
                <w:vertAlign w:val="superscript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Cs w:val="21"/>
                <w:shd w:val="clear" w:color="auto" w:fill="FFFFFF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shd w:val="clear" w:color="auto" w:fill="FFFFFF"/>
              </w:rPr>
              <w:t>4.81×10</w:t>
            </w: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shd w:val="clear" w:color="auto" w:fill="FFFFFF"/>
                <w:vertAlign w:val="superscript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Cs w:val="21"/>
                <w:shd w:val="clear" w:color="auto" w:fill="FFFFFF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shd w:val="clear" w:color="auto" w:fill="FFFFFF"/>
              </w:rPr>
              <w:t>7.74×10</w:t>
            </w: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shd w:val="clear" w:color="auto" w:fill="FFFFFF"/>
                <w:vertAlign w:val="superscript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Cs w:val="21"/>
                <w:shd w:val="clear" w:color="auto" w:fill="FFFFFF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shd w:val="clear" w:color="auto" w:fill="FFFFFF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Cs w:val="21"/>
                <w:shd w:val="clear" w:color="auto" w:fill="FFFFFF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shd w:val="clear" w:color="auto" w:fill="FFFFFF"/>
              </w:rPr>
              <w:t>8.69×10</w:t>
            </w: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shd w:val="clear" w:color="auto" w:fill="FFFFFF"/>
                <w:vertAlign w:val="superscript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Cs w:val="21"/>
                <w:shd w:val="clear" w:color="auto" w:fill="FFFFFF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shd w:val="clear" w:color="auto" w:fill="FFFFFF"/>
              </w:rPr>
              <w:t>1.87×10</w:t>
            </w: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shd w:val="clear" w:color="auto" w:fill="FFFFFF"/>
                <w:vertAlign w:val="superscript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Cs w:val="21"/>
                <w:shd w:val="clear" w:color="auto" w:fill="FFFFFF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shd w:val="clear" w:color="auto" w:fill="FFFFFF"/>
              </w:rPr>
              <w:t>5.83×10</w:t>
            </w: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shd w:val="clear" w:color="auto" w:fill="FFFFFF"/>
                <w:vertAlign w:val="superscript"/>
              </w:rPr>
              <w:t>6</w:t>
            </w:r>
          </w:p>
        </w:tc>
      </w:tr>
    </w:tbl>
    <w:p>
      <w:pPr>
        <w:ind w:firstLine="2625" w:firstLineChars="1250"/>
        <w:jc w:val="left"/>
        <w:rPr>
          <w:rFonts w:ascii="Times New Roman" w:hAnsi="Times New Roman" w:eastAsia="宋体" w:cs="Times New Roman"/>
          <w:color w:val="000000"/>
          <w:szCs w:val="21"/>
          <w:shd w:val="clear" w:color="auto" w:fill="FFFFFF"/>
        </w:rPr>
      </w:pPr>
      <w:r>
        <w:rPr>
          <w:rFonts w:ascii="Times New Roman" w:hAnsi="Times New Roman" w:eastAsia="宋体" w:cs="Times New Roman"/>
          <w:color w:val="000000"/>
          <w:szCs w:val="21"/>
          <w:shd w:val="clear" w:color="auto" w:fill="FFFFFF"/>
        </w:rPr>
        <w:t>ND: no detection.</w:t>
      </w:r>
    </w:p>
    <w:p>
      <w:pPr>
        <w:jc w:val="center"/>
        <w:rPr>
          <w:rFonts w:ascii="Times New Roman" w:hAnsi="Times New Roman" w:eastAsia="宋体" w:cs="Times New Roman"/>
          <w:color w:val="000000"/>
          <w:szCs w:val="21"/>
          <w:shd w:val="clear" w:color="auto" w:fill="FFFFFF"/>
        </w:rPr>
      </w:pPr>
    </w:p>
    <w:p>
      <w:pPr>
        <w:rPr>
          <w:rFonts w:ascii="Times New Roman" w:hAnsi="Times New Roman" w:eastAsia="宋体" w:cs="Times New Roman"/>
          <w:color w:val="000000"/>
          <w:szCs w:val="21"/>
          <w:shd w:val="clear" w:color="auto" w:fill="FFFFFF"/>
        </w:rPr>
      </w:pPr>
    </w:p>
    <w:p>
      <w:pPr>
        <w:jc w:val="center"/>
        <w:rPr>
          <w:rFonts w:ascii="Times New Roman" w:hAnsi="Times New Roman" w:eastAsia="宋体" w:cs="Times New Roman"/>
          <w:color w:val="000000"/>
          <w:szCs w:val="21"/>
          <w:shd w:val="clear" w:color="auto" w:fill="FFFFFF"/>
        </w:rPr>
      </w:pPr>
    </w:p>
    <w:p>
      <w:pPr>
        <w:jc w:val="center"/>
        <w:rPr>
          <w:rFonts w:ascii="Times New Roman" w:hAnsi="Times New Roman" w:eastAsia="宋体" w:cs="Times New Roman"/>
          <w:color w:val="000000"/>
          <w:szCs w:val="21"/>
          <w:shd w:val="clear" w:color="auto" w:fill="FFFFFF"/>
        </w:rPr>
      </w:pPr>
    </w:p>
    <w:p>
      <w:pPr>
        <w:rPr>
          <w:rFonts w:ascii="Times New Roman" w:hAnsi="Times New Roman" w:eastAsia="宋体" w:cs="Times New Roman"/>
          <w:color w:val="000000"/>
          <w:szCs w:val="21"/>
          <w:shd w:val="clear" w:color="auto" w:fill="FFFFFF"/>
        </w:rPr>
      </w:pPr>
    </w:p>
    <w:p>
      <w:pPr>
        <w:rPr>
          <w:rFonts w:ascii="Times New Roman" w:hAnsi="Times New Roman" w:eastAsia="宋体" w:cs="Times New Roman"/>
          <w:color w:val="000000"/>
          <w:szCs w:val="21"/>
          <w:shd w:val="clear" w:color="auto" w:fill="FFFFFF"/>
        </w:rPr>
      </w:pPr>
      <w:bookmarkStart w:id="3" w:name="_GoBack"/>
      <w:bookmarkEnd w:id="3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Book Antiqua">
    <w:panose1 w:val="02040602050305030304"/>
    <w:charset w:val="00"/>
    <w:family w:val="roman"/>
    <w:pitch w:val="default"/>
    <w:sig w:usb0="00000287" w:usb1="00000000" w:usb2="00000000" w:usb3="00000000" w:csb0="2000009F" w:csb1="DFD7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FjZDRiYjU2ZmUwNjU5NTdkYjE0YWEzOTBmZDU1M2IifQ==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AAA Style Guide Copy&lt;/Style&gt;&lt;LeftDelim&gt;{&lt;/LeftDelim&gt;&lt;RightDelim&gt;}&lt;/RightDelim&gt;&lt;FontName&gt;Calibri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retxed2e7rptroex2fjxpv95vee0tdx99pxd&quot;&gt;My EndNote Library&lt;record-ids&gt;&lt;item&gt;589&lt;/item&gt;&lt;item&gt;590&lt;/item&gt;&lt;item&gt;591&lt;/item&gt;&lt;item&gt;592&lt;/item&gt;&lt;/record-ids&gt;&lt;/item&gt;&lt;/Libraries&gt;"/>
  </w:docVars>
  <w:rsids>
    <w:rsidRoot w:val="00603760"/>
    <w:rsid w:val="001A4F5F"/>
    <w:rsid w:val="002548FB"/>
    <w:rsid w:val="00270EFD"/>
    <w:rsid w:val="003B37F5"/>
    <w:rsid w:val="00597062"/>
    <w:rsid w:val="005F5D32"/>
    <w:rsid w:val="00603760"/>
    <w:rsid w:val="009E723D"/>
    <w:rsid w:val="00C648CC"/>
    <w:rsid w:val="00D37864"/>
    <w:rsid w:val="05406203"/>
    <w:rsid w:val="07044690"/>
    <w:rsid w:val="0711488C"/>
    <w:rsid w:val="0E147AA9"/>
    <w:rsid w:val="0FA1648B"/>
    <w:rsid w:val="0FEC2C89"/>
    <w:rsid w:val="11B179F7"/>
    <w:rsid w:val="11FC0F93"/>
    <w:rsid w:val="156D0ED7"/>
    <w:rsid w:val="173B1D16"/>
    <w:rsid w:val="17656DD1"/>
    <w:rsid w:val="193B5472"/>
    <w:rsid w:val="19B81B91"/>
    <w:rsid w:val="19BF3ABA"/>
    <w:rsid w:val="1A4D6694"/>
    <w:rsid w:val="1B7A366D"/>
    <w:rsid w:val="1C13462C"/>
    <w:rsid w:val="1E851DDC"/>
    <w:rsid w:val="209419E0"/>
    <w:rsid w:val="2483363D"/>
    <w:rsid w:val="248921A9"/>
    <w:rsid w:val="25122AF2"/>
    <w:rsid w:val="2A723032"/>
    <w:rsid w:val="2BDD19CC"/>
    <w:rsid w:val="2D6B3A48"/>
    <w:rsid w:val="304433F4"/>
    <w:rsid w:val="31957727"/>
    <w:rsid w:val="33C216EF"/>
    <w:rsid w:val="38093E27"/>
    <w:rsid w:val="3A97214A"/>
    <w:rsid w:val="3AA23532"/>
    <w:rsid w:val="3CD27B31"/>
    <w:rsid w:val="40715259"/>
    <w:rsid w:val="482947CF"/>
    <w:rsid w:val="485213E2"/>
    <w:rsid w:val="48D66DE4"/>
    <w:rsid w:val="4A0837A7"/>
    <w:rsid w:val="4A0C4747"/>
    <w:rsid w:val="4A7E1486"/>
    <w:rsid w:val="4D665725"/>
    <w:rsid w:val="4F130BB4"/>
    <w:rsid w:val="4F4F505F"/>
    <w:rsid w:val="50B00503"/>
    <w:rsid w:val="50D16717"/>
    <w:rsid w:val="54424A51"/>
    <w:rsid w:val="54957998"/>
    <w:rsid w:val="5546129A"/>
    <w:rsid w:val="55470F38"/>
    <w:rsid w:val="589E3758"/>
    <w:rsid w:val="589F0F5C"/>
    <w:rsid w:val="5CA04BA3"/>
    <w:rsid w:val="5E66393A"/>
    <w:rsid w:val="607764C9"/>
    <w:rsid w:val="62FD2D81"/>
    <w:rsid w:val="656E4C1F"/>
    <w:rsid w:val="690371DA"/>
    <w:rsid w:val="696F3C73"/>
    <w:rsid w:val="70552EB0"/>
    <w:rsid w:val="72E10D68"/>
    <w:rsid w:val="74141782"/>
    <w:rsid w:val="75C954E4"/>
    <w:rsid w:val="7616721C"/>
    <w:rsid w:val="76D75987"/>
    <w:rsid w:val="773A0CDB"/>
    <w:rsid w:val="77A46274"/>
    <w:rsid w:val="78033CE1"/>
    <w:rsid w:val="780D5627"/>
    <w:rsid w:val="79196146"/>
    <w:rsid w:val="7C623618"/>
    <w:rsid w:val="7DCE143A"/>
    <w:rsid w:val="7E2C6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qFormat="1"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9"/>
    <w:pPr>
      <w:keepNext/>
      <w:keepLines/>
      <w:spacing w:before="260" w:after="260"/>
      <w:outlineLvl w:val="1"/>
    </w:pPr>
    <w:rPr>
      <w:rFonts w:ascii="Times New Roman" w:hAnsi="Times New Roman" w:eastAsia="宋体"/>
      <w:b/>
      <w:sz w:val="24"/>
    </w:rPr>
  </w:style>
  <w:style w:type="character" w:default="1" w:styleId="9">
    <w:name w:val="Default Paragraph Font"/>
    <w:unhideWhenUsed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table of authorities"/>
    <w:basedOn w:val="1"/>
    <w:next w:val="1"/>
    <w:qFormat/>
    <w:uiPriority w:val="0"/>
    <w:pPr>
      <w:ind w:left="420" w:leftChars="200"/>
    </w:pPr>
    <w:rPr>
      <w:rFonts w:ascii="Times New Roman" w:hAnsi="Times New Roman" w:eastAsia="宋体"/>
    </w:rPr>
  </w:style>
  <w:style w:type="paragraph" w:styleId="4">
    <w:name w:val="footer"/>
    <w:basedOn w:val="1"/>
    <w:link w:val="25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24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0">
    <w:name w:val="bds_more4"/>
    <w:basedOn w:val="9"/>
    <w:qFormat/>
    <w:uiPriority w:val="0"/>
    <w:rPr>
      <w:rFonts w:hint="eastAsia" w:ascii="宋体" w:hAnsi="宋体" w:eastAsia="宋体" w:cs="宋体"/>
    </w:rPr>
  </w:style>
  <w:style w:type="character" w:customStyle="1" w:styleId="11">
    <w:name w:val="bds_more5"/>
    <w:basedOn w:val="9"/>
    <w:qFormat/>
    <w:uiPriority w:val="0"/>
  </w:style>
  <w:style w:type="character" w:customStyle="1" w:styleId="12">
    <w:name w:val="bds_more6"/>
    <w:basedOn w:val="9"/>
    <w:qFormat/>
    <w:uiPriority w:val="0"/>
  </w:style>
  <w:style w:type="character" w:customStyle="1" w:styleId="13">
    <w:name w:val="bds_nopic"/>
    <w:basedOn w:val="9"/>
    <w:qFormat/>
    <w:uiPriority w:val="0"/>
  </w:style>
  <w:style w:type="character" w:customStyle="1" w:styleId="14">
    <w:name w:val="bds_nopic1"/>
    <w:basedOn w:val="9"/>
    <w:qFormat/>
    <w:uiPriority w:val="0"/>
  </w:style>
  <w:style w:type="character" w:customStyle="1" w:styleId="15">
    <w:name w:val="bds_nopic2"/>
    <w:basedOn w:val="9"/>
    <w:qFormat/>
    <w:uiPriority w:val="0"/>
  </w:style>
  <w:style w:type="character" w:customStyle="1" w:styleId="16">
    <w:name w:val="bds_more"/>
    <w:basedOn w:val="9"/>
    <w:qFormat/>
    <w:uiPriority w:val="0"/>
  </w:style>
  <w:style w:type="character" w:customStyle="1" w:styleId="17">
    <w:name w:val="bds_more1"/>
    <w:basedOn w:val="9"/>
    <w:qFormat/>
    <w:uiPriority w:val="0"/>
    <w:rPr>
      <w:rFonts w:hint="eastAsia" w:ascii="宋体" w:hAnsi="宋体" w:eastAsia="宋体" w:cs="宋体"/>
    </w:rPr>
  </w:style>
  <w:style w:type="character" w:customStyle="1" w:styleId="18">
    <w:name w:val="bds_more2"/>
    <w:basedOn w:val="9"/>
    <w:qFormat/>
    <w:uiPriority w:val="0"/>
  </w:style>
  <w:style w:type="character" w:customStyle="1" w:styleId="19">
    <w:name w:val="bds_more3"/>
    <w:basedOn w:val="9"/>
    <w:qFormat/>
    <w:uiPriority w:val="0"/>
  </w:style>
  <w:style w:type="paragraph" w:customStyle="1" w:styleId="20">
    <w:name w:val="Table Paragraph"/>
    <w:basedOn w:val="1"/>
    <w:link w:val="27"/>
    <w:qFormat/>
    <w:uiPriority w:val="1"/>
    <w:rPr>
      <w:rFonts w:ascii="Book Antiqua" w:hAnsi="Book Antiqua" w:eastAsia="Book Antiqua" w:cs="Book Antiqua"/>
      <w:lang w:eastAsia="en-US" w:bidi="en-US"/>
    </w:rPr>
  </w:style>
  <w:style w:type="character" w:customStyle="1" w:styleId="21">
    <w:name w:val="font01"/>
    <w:basedOn w:val="9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22">
    <w:name w:val="font11"/>
    <w:basedOn w:val="9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  <w:vertAlign w:val="subscript"/>
    </w:rPr>
  </w:style>
  <w:style w:type="character" w:customStyle="1" w:styleId="23">
    <w:name w:val="font21"/>
    <w:basedOn w:val="9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  <w:vertAlign w:val="superscript"/>
    </w:rPr>
  </w:style>
  <w:style w:type="character" w:customStyle="1" w:styleId="24">
    <w:name w:val="页眉 字符"/>
    <w:basedOn w:val="9"/>
    <w:link w:val="5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25">
    <w:name w:val="页脚 字符"/>
    <w:basedOn w:val="9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customStyle="1" w:styleId="26">
    <w:name w:val="EndNote Bibliography Title"/>
    <w:basedOn w:val="1"/>
    <w:link w:val="28"/>
    <w:qFormat/>
    <w:uiPriority w:val="0"/>
    <w:pPr>
      <w:jc w:val="center"/>
    </w:pPr>
    <w:rPr>
      <w:rFonts w:ascii="Calibri" w:hAnsi="Calibri" w:cs="Calibri"/>
      <w:sz w:val="20"/>
    </w:rPr>
  </w:style>
  <w:style w:type="character" w:customStyle="1" w:styleId="27">
    <w:name w:val="Table Paragraph 字符"/>
    <w:basedOn w:val="9"/>
    <w:link w:val="20"/>
    <w:qFormat/>
    <w:uiPriority w:val="1"/>
    <w:rPr>
      <w:rFonts w:ascii="Book Antiqua" w:hAnsi="Book Antiqua" w:eastAsia="Book Antiqua" w:cs="Book Antiqua"/>
      <w:kern w:val="2"/>
      <w:sz w:val="21"/>
      <w:szCs w:val="22"/>
      <w:lang w:eastAsia="en-US" w:bidi="en-US"/>
    </w:rPr>
  </w:style>
  <w:style w:type="character" w:customStyle="1" w:styleId="28">
    <w:name w:val="EndNote Bibliography Title 字符"/>
    <w:basedOn w:val="27"/>
    <w:link w:val="26"/>
    <w:qFormat/>
    <w:uiPriority w:val="0"/>
    <w:rPr>
      <w:rFonts w:ascii="Calibri" w:hAnsi="Calibri" w:cs="Calibri" w:eastAsiaTheme="minorEastAsia"/>
      <w:kern w:val="2"/>
      <w:sz w:val="21"/>
      <w:szCs w:val="22"/>
      <w:lang w:eastAsia="en-US" w:bidi="en-US"/>
    </w:rPr>
  </w:style>
  <w:style w:type="paragraph" w:customStyle="1" w:styleId="29">
    <w:name w:val="EndNote Bibliography"/>
    <w:basedOn w:val="1"/>
    <w:link w:val="30"/>
    <w:qFormat/>
    <w:uiPriority w:val="0"/>
    <w:rPr>
      <w:rFonts w:ascii="Calibri" w:hAnsi="Calibri" w:cs="Calibri"/>
      <w:sz w:val="20"/>
    </w:rPr>
  </w:style>
  <w:style w:type="character" w:customStyle="1" w:styleId="30">
    <w:name w:val="EndNote Bibliography 字符"/>
    <w:basedOn w:val="27"/>
    <w:link w:val="29"/>
    <w:qFormat/>
    <w:uiPriority w:val="0"/>
    <w:rPr>
      <w:rFonts w:ascii="Calibri" w:hAnsi="Calibri" w:cs="Calibri" w:eastAsiaTheme="minorEastAsia"/>
      <w:kern w:val="2"/>
      <w:sz w:val="21"/>
      <w:szCs w:val="22"/>
      <w:lang w:eastAsia="en-US" w:bidi="en-US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9</Pages>
  <Words>1266</Words>
  <Characters>6876</Characters>
  <Lines>201</Lines>
  <Paragraphs>56</Paragraphs>
  <TotalTime>0</TotalTime>
  <ScaleCrop>false</ScaleCrop>
  <LinksUpToDate>false</LinksUpToDate>
  <CharactersWithSpaces>7855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</dc:creator>
  <cp:lastModifiedBy>willing</cp:lastModifiedBy>
  <dcterms:modified xsi:type="dcterms:W3CDTF">2022-11-01T12:56:20Z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448077F377B743119E173BC461C98FCC</vt:lpwstr>
  </property>
</Properties>
</file>