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72BA26" w14:textId="77777777" w:rsidR="002101E4" w:rsidRPr="00C86140" w:rsidRDefault="002101E4" w:rsidP="002101E4">
      <w:pPr>
        <w:spacing w:line="480" w:lineRule="auto"/>
        <w:jc w:val="both"/>
        <w:rPr>
          <w:rFonts w:ascii="Times New Roman" w:eastAsia="Times New Roman" w:hAnsi="Times New Roman" w:cs="Times New Roman"/>
          <w:b/>
          <w:sz w:val="24"/>
          <w:szCs w:val="24"/>
          <w:lang w:val="pt-BR"/>
        </w:rPr>
      </w:pPr>
      <w:bookmarkStart w:id="0" w:name="_Hlk116570340"/>
      <w:r>
        <w:rPr>
          <w:rFonts w:ascii="Times New Roman" w:eastAsia="Times New Roman" w:hAnsi="Times New Roman" w:cs="Times New Roman"/>
          <w:b/>
          <w:sz w:val="24"/>
          <w:szCs w:val="24"/>
        </w:rPr>
        <w:t>N</w:t>
      </w:r>
      <w:r w:rsidRPr="00846D1C">
        <w:rPr>
          <w:rFonts w:ascii="Times New Roman" w:eastAsia="Times New Roman" w:hAnsi="Times New Roman" w:cs="Times New Roman"/>
          <w:b/>
          <w:sz w:val="24"/>
          <w:szCs w:val="24"/>
        </w:rPr>
        <w:t xml:space="preserve">utritional properties, determination of phenolic compounds and antioxidant potential of </w:t>
      </w:r>
      <w:r w:rsidRPr="00846D1C">
        <w:rPr>
          <w:rFonts w:ascii="Times New Roman" w:eastAsia="Times New Roman" w:hAnsi="Times New Roman" w:cs="Times New Roman"/>
          <w:b/>
          <w:i/>
          <w:iCs/>
          <w:sz w:val="24"/>
          <w:szCs w:val="24"/>
        </w:rPr>
        <w:t>Victoria amazonica</w:t>
      </w:r>
      <w:r w:rsidRPr="00846D1C">
        <w:rPr>
          <w:rFonts w:ascii="Times New Roman" w:eastAsia="Times New Roman" w:hAnsi="Times New Roman" w:cs="Times New Roman"/>
          <w:b/>
          <w:sz w:val="24"/>
          <w:szCs w:val="24"/>
        </w:rPr>
        <w:t xml:space="preserve"> (Poepp.) </w:t>
      </w:r>
      <w:r w:rsidRPr="00C86140">
        <w:rPr>
          <w:rFonts w:ascii="Times New Roman" w:eastAsia="Times New Roman" w:hAnsi="Times New Roman" w:cs="Times New Roman"/>
          <w:b/>
          <w:sz w:val="24"/>
          <w:szCs w:val="24"/>
          <w:lang w:val="pt-BR"/>
        </w:rPr>
        <w:t>J.C. Sowerby petiole</w:t>
      </w:r>
    </w:p>
    <w:bookmarkEnd w:id="0"/>
    <w:p w14:paraId="208887DC" w14:textId="77777777" w:rsidR="002101E4" w:rsidRDefault="002101E4" w:rsidP="002101E4">
      <w:pPr>
        <w:spacing w:line="480" w:lineRule="auto"/>
        <w:jc w:val="both"/>
        <w:rPr>
          <w:rFonts w:ascii="Times New Roman" w:eastAsia="Times New Roman" w:hAnsi="Times New Roman" w:cs="Times New Roman"/>
          <w:sz w:val="24"/>
          <w:szCs w:val="24"/>
          <w:lang w:val="pt-BR"/>
        </w:rPr>
      </w:pPr>
      <w:r w:rsidRPr="009E3441">
        <w:rPr>
          <w:rFonts w:ascii="Times New Roman" w:eastAsia="Times New Roman" w:hAnsi="Times New Roman" w:cs="Times New Roman"/>
          <w:sz w:val="24"/>
          <w:szCs w:val="24"/>
          <w:lang w:val="pt-BR"/>
        </w:rPr>
        <w:t>Sara Kethleen Soares de Loiola</w:t>
      </w:r>
      <w:r w:rsidRPr="009E3441">
        <w:rPr>
          <w:rFonts w:ascii="Times New Roman" w:eastAsia="Times New Roman" w:hAnsi="Times New Roman" w:cs="Times New Roman"/>
          <w:sz w:val="24"/>
          <w:szCs w:val="24"/>
          <w:vertAlign w:val="superscript"/>
          <w:lang w:val="pt-BR"/>
        </w:rPr>
        <w:t>a</w:t>
      </w:r>
      <w:r w:rsidRPr="009E3441">
        <w:rPr>
          <w:rFonts w:ascii="Times New Roman" w:eastAsia="Times New Roman" w:hAnsi="Times New Roman" w:cs="Times New Roman"/>
          <w:sz w:val="24"/>
          <w:szCs w:val="24"/>
          <w:lang w:val="pt-BR"/>
        </w:rPr>
        <w:t xml:space="preserve">, </w:t>
      </w:r>
      <w:r w:rsidRPr="009E3441">
        <w:rPr>
          <w:rFonts w:ascii="Times New Roman" w:eastAsia="Times New Roman" w:hAnsi="Times New Roman" w:cs="Times New Roman"/>
          <w:sz w:val="24"/>
          <w:szCs w:val="24"/>
          <w:lang w:val="pt-BR" w:eastAsia="en-US"/>
        </w:rPr>
        <w:t>Valdely Ferreira Kinupp</w:t>
      </w:r>
      <w:r w:rsidRPr="009E3441">
        <w:rPr>
          <w:rFonts w:ascii="Times New Roman" w:eastAsia="Times New Roman" w:hAnsi="Times New Roman" w:cs="Times New Roman"/>
          <w:sz w:val="24"/>
          <w:szCs w:val="24"/>
          <w:vertAlign w:val="superscript"/>
          <w:lang w:val="pt-BR"/>
        </w:rPr>
        <w:t>d</w:t>
      </w:r>
      <w:r w:rsidRPr="009E3441">
        <w:rPr>
          <w:rFonts w:ascii="Times New Roman" w:eastAsia="Times New Roman" w:hAnsi="Times New Roman" w:cs="Times New Roman"/>
          <w:sz w:val="24"/>
          <w:szCs w:val="24"/>
          <w:lang w:val="pt-BR"/>
        </w:rPr>
        <w:t xml:space="preserve">, </w:t>
      </w:r>
      <w:r w:rsidRPr="009E3441">
        <w:rPr>
          <w:rFonts w:ascii="Times New Roman" w:eastAsia="Times New Roman" w:hAnsi="Times New Roman" w:cs="Times New Roman"/>
          <w:sz w:val="24"/>
          <w:szCs w:val="24"/>
          <w:lang w:val="pt-BR" w:eastAsia="en-US"/>
        </w:rPr>
        <w:t>Sergio Massayoshi Nunomura</w:t>
      </w:r>
      <w:r w:rsidRPr="009E3441">
        <w:rPr>
          <w:rFonts w:ascii="Times New Roman" w:eastAsia="Times New Roman" w:hAnsi="Times New Roman" w:cs="Times New Roman"/>
          <w:sz w:val="24"/>
          <w:szCs w:val="24"/>
          <w:vertAlign w:val="superscript"/>
          <w:lang w:val="pt-BR"/>
        </w:rPr>
        <w:t>b</w:t>
      </w:r>
      <w:r w:rsidRPr="009E3441">
        <w:rPr>
          <w:rFonts w:ascii="Times New Roman" w:eastAsia="Times New Roman" w:hAnsi="Times New Roman" w:cs="Times New Roman"/>
          <w:sz w:val="24"/>
          <w:szCs w:val="24"/>
          <w:lang w:val="pt-BR"/>
        </w:rPr>
        <w:t xml:space="preserve">, </w:t>
      </w:r>
      <w:r w:rsidRPr="009E3441">
        <w:rPr>
          <w:rFonts w:ascii="Times New Roman" w:eastAsia="Times New Roman" w:hAnsi="Times New Roman" w:cs="Times New Roman"/>
          <w:sz w:val="24"/>
          <w:szCs w:val="24"/>
          <w:lang w:val="pt-BR" w:eastAsia="en-US"/>
        </w:rPr>
        <w:t>Rita de Cassia Saraiva Nunomura</w:t>
      </w:r>
      <w:r w:rsidRPr="009E3441">
        <w:rPr>
          <w:rFonts w:ascii="Times New Roman" w:eastAsia="Times New Roman" w:hAnsi="Times New Roman" w:cs="Times New Roman"/>
          <w:sz w:val="24"/>
          <w:szCs w:val="24"/>
          <w:vertAlign w:val="superscript"/>
          <w:lang w:val="pt-BR"/>
        </w:rPr>
        <w:t>c</w:t>
      </w:r>
      <w:r w:rsidRPr="009E3441">
        <w:rPr>
          <w:rFonts w:ascii="Times New Roman" w:eastAsia="Times New Roman" w:hAnsi="Times New Roman" w:cs="Times New Roman"/>
          <w:sz w:val="24"/>
          <w:szCs w:val="24"/>
          <w:lang w:val="pt-BR"/>
        </w:rPr>
        <w:t xml:space="preserve">, </w:t>
      </w:r>
      <w:r w:rsidRPr="009E3441">
        <w:rPr>
          <w:rFonts w:ascii="Times New Roman" w:eastAsia="Times New Roman" w:hAnsi="Times New Roman" w:cs="Times New Roman"/>
          <w:sz w:val="24"/>
          <w:szCs w:val="24"/>
          <w:lang w:val="pt-BR" w:eastAsia="en-US"/>
        </w:rPr>
        <w:t>Magno Perêa Muniz</w:t>
      </w:r>
      <w:r w:rsidRPr="009E3441">
        <w:rPr>
          <w:rFonts w:ascii="Times New Roman" w:eastAsia="Times New Roman" w:hAnsi="Times New Roman" w:cs="Times New Roman"/>
          <w:sz w:val="24"/>
          <w:szCs w:val="24"/>
          <w:vertAlign w:val="superscript"/>
          <w:lang w:val="pt-BR" w:eastAsia="en-US"/>
        </w:rPr>
        <w:t>b</w:t>
      </w:r>
      <w:r w:rsidRPr="009E3441">
        <w:rPr>
          <w:rFonts w:ascii="Times New Roman" w:eastAsia="Times New Roman" w:hAnsi="Times New Roman" w:cs="Times New Roman"/>
          <w:sz w:val="24"/>
          <w:szCs w:val="24"/>
          <w:lang w:val="pt-BR" w:eastAsia="en-US"/>
        </w:rPr>
        <w:t>,</w:t>
      </w:r>
      <w:r w:rsidRPr="009E3441">
        <w:rPr>
          <w:rFonts w:ascii="Times New Roman" w:eastAsia="Times New Roman" w:hAnsi="Times New Roman" w:cs="Times New Roman"/>
          <w:sz w:val="24"/>
          <w:szCs w:val="24"/>
          <w:vertAlign w:val="superscript"/>
          <w:lang w:val="pt-BR"/>
        </w:rPr>
        <w:t xml:space="preserve"> </w:t>
      </w:r>
      <w:r w:rsidRPr="009E3441">
        <w:rPr>
          <w:rFonts w:ascii="Times New Roman" w:eastAsia="Times New Roman" w:hAnsi="Times New Roman" w:cs="Times New Roman"/>
          <w:sz w:val="24"/>
          <w:szCs w:val="24"/>
          <w:lang w:val="pt-BR" w:eastAsia="en-US"/>
        </w:rPr>
        <w:t>Sergio Duvoisin Junior</w:t>
      </w:r>
      <w:r w:rsidRPr="009E3441">
        <w:rPr>
          <w:rFonts w:ascii="Times New Roman" w:eastAsia="Times New Roman" w:hAnsi="Times New Roman" w:cs="Times New Roman"/>
          <w:sz w:val="24"/>
          <w:szCs w:val="24"/>
          <w:vertAlign w:val="superscript"/>
          <w:lang w:val="pt-BR"/>
        </w:rPr>
        <w:t>a</w:t>
      </w:r>
      <w:r w:rsidRPr="009E3441">
        <w:rPr>
          <w:rFonts w:ascii="Times New Roman" w:eastAsia="Times New Roman" w:hAnsi="Times New Roman" w:cs="Times New Roman"/>
          <w:sz w:val="24"/>
          <w:szCs w:val="24"/>
          <w:lang w:val="pt-BR"/>
        </w:rPr>
        <w:t xml:space="preserve">, </w:t>
      </w:r>
      <w:r w:rsidRPr="009E3441">
        <w:rPr>
          <w:rFonts w:ascii="Times New Roman" w:eastAsia="Times New Roman" w:hAnsi="Times New Roman" w:cs="Times New Roman"/>
          <w:sz w:val="24"/>
          <w:szCs w:val="24"/>
          <w:lang w:val="pt-BR" w:eastAsia="en-US"/>
        </w:rPr>
        <w:t>Lílian Macedo Bastos</w:t>
      </w:r>
      <w:r>
        <w:rPr>
          <w:rFonts w:ascii="Times New Roman" w:eastAsia="Times New Roman" w:hAnsi="Times New Roman" w:cs="Times New Roman"/>
          <w:sz w:val="24"/>
          <w:szCs w:val="24"/>
          <w:vertAlign w:val="superscript"/>
          <w:lang w:val="pt-BR" w:eastAsia="en-US"/>
        </w:rPr>
        <w:t>b</w:t>
      </w:r>
      <w:r w:rsidRPr="009E3441">
        <w:rPr>
          <w:rFonts w:ascii="Times New Roman" w:eastAsia="Times New Roman" w:hAnsi="Times New Roman" w:cs="Times New Roman"/>
          <w:sz w:val="24"/>
          <w:szCs w:val="24"/>
          <w:lang w:val="pt-BR" w:eastAsia="en-US"/>
        </w:rPr>
        <w:t>,</w:t>
      </w:r>
      <w:r w:rsidRPr="009E3441">
        <w:rPr>
          <w:rFonts w:ascii="Times New Roman" w:eastAsia="Times New Roman" w:hAnsi="Times New Roman" w:cs="Times New Roman"/>
          <w:sz w:val="24"/>
          <w:szCs w:val="24"/>
          <w:lang w:val="pt-BR"/>
        </w:rPr>
        <w:t xml:space="preserve"> </w:t>
      </w:r>
      <w:r w:rsidRPr="009E3441">
        <w:rPr>
          <w:rFonts w:ascii="Times New Roman" w:eastAsia="Times New Roman" w:hAnsi="Times New Roman" w:cs="Times New Roman"/>
          <w:sz w:val="24"/>
          <w:szCs w:val="24"/>
          <w:lang w:val="pt-BR" w:eastAsia="en-US"/>
        </w:rPr>
        <w:t>Rochelly Mesquita da Silva</w:t>
      </w:r>
      <w:r w:rsidRPr="009E3441">
        <w:rPr>
          <w:rFonts w:ascii="Times New Roman" w:eastAsia="Times New Roman" w:hAnsi="Times New Roman" w:cs="Times New Roman"/>
          <w:sz w:val="24"/>
          <w:szCs w:val="24"/>
          <w:vertAlign w:val="superscript"/>
          <w:lang w:val="pt-BR"/>
        </w:rPr>
        <w:t>a</w:t>
      </w:r>
      <w:r w:rsidRPr="009E3441">
        <w:rPr>
          <w:rFonts w:ascii="Times New Roman" w:eastAsia="Times New Roman" w:hAnsi="Times New Roman" w:cs="Times New Roman"/>
          <w:sz w:val="24"/>
          <w:szCs w:val="24"/>
          <w:lang w:val="pt-BR"/>
        </w:rPr>
        <w:t>, Lorena Mota de Castro</w:t>
      </w:r>
      <w:r w:rsidRPr="009E3441">
        <w:rPr>
          <w:rFonts w:ascii="Times New Roman" w:eastAsia="Times New Roman" w:hAnsi="Times New Roman" w:cs="Times New Roman"/>
          <w:sz w:val="24"/>
          <w:szCs w:val="24"/>
          <w:vertAlign w:val="superscript"/>
          <w:lang w:val="pt-BR"/>
        </w:rPr>
        <w:t>c</w:t>
      </w:r>
      <w:r w:rsidRPr="009E3441">
        <w:rPr>
          <w:rFonts w:ascii="Times New Roman" w:eastAsia="Times New Roman" w:hAnsi="Times New Roman" w:cs="Times New Roman"/>
          <w:sz w:val="24"/>
          <w:szCs w:val="24"/>
          <w:lang w:val="pt-BR"/>
        </w:rPr>
        <w:t xml:space="preserve">, </w:t>
      </w:r>
      <w:r w:rsidRPr="009E3441">
        <w:rPr>
          <w:rFonts w:ascii="Times New Roman" w:eastAsia="Times New Roman" w:hAnsi="Times New Roman" w:cs="Times New Roman"/>
          <w:sz w:val="24"/>
          <w:szCs w:val="24"/>
          <w:lang w:val="pt-BR" w:eastAsia="en-US"/>
        </w:rPr>
        <w:t>Patricia de Souza Pinto Hidalgo</w:t>
      </w:r>
      <w:r w:rsidRPr="009E3441">
        <w:rPr>
          <w:rFonts w:ascii="Times New Roman" w:eastAsia="Times New Roman" w:hAnsi="Times New Roman" w:cs="Times New Roman"/>
          <w:sz w:val="24"/>
          <w:szCs w:val="24"/>
          <w:vertAlign w:val="superscript"/>
          <w:lang w:val="pt-BR"/>
        </w:rPr>
        <w:t xml:space="preserve"> a</w:t>
      </w:r>
      <w:r w:rsidRPr="00055557">
        <w:rPr>
          <w:rFonts w:ascii="Times New Roman" w:eastAsia="Times New Roman" w:hAnsi="Times New Roman" w:cs="Times New Roman"/>
          <w:sz w:val="24"/>
          <w:szCs w:val="24"/>
          <w:lang w:val="pt-BR"/>
        </w:rPr>
        <w:t>*</w:t>
      </w:r>
      <w:r w:rsidRPr="009E3441">
        <w:rPr>
          <w:rFonts w:ascii="Times New Roman" w:eastAsia="Times New Roman" w:hAnsi="Times New Roman" w:cs="Times New Roman"/>
          <w:sz w:val="24"/>
          <w:szCs w:val="24"/>
          <w:lang w:val="pt-BR"/>
        </w:rPr>
        <w:t>.</w:t>
      </w:r>
    </w:p>
    <w:p w14:paraId="53BB442A" w14:textId="77777777" w:rsidR="002101E4" w:rsidRPr="00162A43" w:rsidRDefault="002101E4" w:rsidP="002101E4">
      <w:pPr>
        <w:spacing w:line="480" w:lineRule="auto"/>
        <w:jc w:val="both"/>
        <w:rPr>
          <w:rFonts w:ascii="Times New Roman" w:eastAsia="Times New Roman" w:hAnsi="Times New Roman" w:cs="Times New Roman"/>
          <w:sz w:val="24"/>
          <w:szCs w:val="24"/>
          <w:lang w:val="pt-BR"/>
        </w:rPr>
      </w:pPr>
      <w:r w:rsidRPr="00162A43">
        <w:rPr>
          <w:rFonts w:ascii="Times New Roman" w:eastAsia="Times New Roman" w:hAnsi="Times New Roman" w:cs="Times New Roman"/>
          <w:sz w:val="24"/>
          <w:szCs w:val="24"/>
          <w:vertAlign w:val="superscript"/>
          <w:lang w:val="pt-BR"/>
        </w:rPr>
        <w:t xml:space="preserve">a </w:t>
      </w:r>
      <w:r w:rsidRPr="00162A43">
        <w:rPr>
          <w:rFonts w:ascii="Times New Roman" w:eastAsia="Times New Roman" w:hAnsi="Times New Roman" w:cs="Times New Roman"/>
          <w:sz w:val="24"/>
          <w:szCs w:val="24"/>
          <w:lang w:val="pt-BR"/>
        </w:rPr>
        <w:t xml:space="preserve">Escola Superior de Tecnologia, Universidade do Estado do Amazonas – UEA – EST, </w:t>
      </w:r>
      <w:r>
        <w:rPr>
          <w:rFonts w:ascii="Times New Roman" w:eastAsia="Times New Roman" w:hAnsi="Times New Roman" w:cs="Times New Roman"/>
          <w:sz w:val="24"/>
          <w:szCs w:val="24"/>
          <w:lang w:val="pt-BR"/>
        </w:rPr>
        <w:t>Darcy Vargas Avenue, 1200, Parque Dez de Novembro,</w:t>
      </w:r>
      <w:r w:rsidRPr="00162A43">
        <w:rPr>
          <w:rFonts w:ascii="Times New Roman" w:eastAsia="Times New Roman" w:hAnsi="Times New Roman" w:cs="Times New Roman"/>
          <w:sz w:val="24"/>
          <w:szCs w:val="24"/>
          <w:lang w:val="pt-BR"/>
        </w:rPr>
        <w:t>69050-020, Manaus, AM, Brazil</w:t>
      </w:r>
      <w:r>
        <w:rPr>
          <w:rFonts w:ascii="Times New Roman" w:eastAsia="Times New Roman" w:hAnsi="Times New Roman" w:cs="Times New Roman"/>
          <w:sz w:val="24"/>
          <w:szCs w:val="24"/>
          <w:lang w:val="pt-BR"/>
        </w:rPr>
        <w:t>.</w:t>
      </w:r>
    </w:p>
    <w:p w14:paraId="5232D593" w14:textId="77777777" w:rsidR="002101E4" w:rsidRPr="00162A43" w:rsidRDefault="002101E4" w:rsidP="002101E4">
      <w:pPr>
        <w:spacing w:line="480" w:lineRule="auto"/>
        <w:jc w:val="both"/>
        <w:rPr>
          <w:rFonts w:ascii="Times New Roman" w:eastAsia="Times New Roman" w:hAnsi="Times New Roman" w:cs="Times New Roman"/>
          <w:sz w:val="24"/>
          <w:szCs w:val="24"/>
          <w:lang w:val="pt-BR"/>
        </w:rPr>
      </w:pPr>
      <w:r w:rsidRPr="00162A43">
        <w:rPr>
          <w:rFonts w:ascii="Times New Roman" w:eastAsia="Times New Roman" w:hAnsi="Times New Roman" w:cs="Times New Roman"/>
          <w:sz w:val="24"/>
          <w:szCs w:val="24"/>
          <w:vertAlign w:val="superscript"/>
          <w:lang w:val="pt-BR"/>
        </w:rPr>
        <w:t>b</w:t>
      </w:r>
      <w:r w:rsidRPr="00162A43">
        <w:rPr>
          <w:rFonts w:ascii="Times New Roman" w:eastAsia="Times New Roman" w:hAnsi="Times New Roman" w:cs="Times New Roman"/>
          <w:sz w:val="24"/>
          <w:szCs w:val="24"/>
          <w:lang w:val="pt-BR"/>
        </w:rPr>
        <w:t xml:space="preserve"> Instituto Nacional de Pesquisas do Amazonas – INPA, </w:t>
      </w:r>
      <w:r>
        <w:rPr>
          <w:rFonts w:ascii="Times New Roman" w:eastAsia="Times New Roman" w:hAnsi="Times New Roman" w:cs="Times New Roman"/>
          <w:sz w:val="24"/>
          <w:szCs w:val="24"/>
          <w:lang w:val="pt-BR"/>
        </w:rPr>
        <w:t xml:space="preserve">André Araújo Avenue, 2936, Petrópolis, </w:t>
      </w:r>
      <w:r w:rsidRPr="00162A43">
        <w:rPr>
          <w:rFonts w:ascii="Times New Roman" w:eastAsia="Times New Roman" w:hAnsi="Times New Roman" w:cs="Times New Roman"/>
          <w:sz w:val="24"/>
          <w:szCs w:val="24"/>
          <w:lang w:val="pt-BR"/>
        </w:rPr>
        <w:t>69067-375, Manaus, AM, Brazil</w:t>
      </w:r>
      <w:r>
        <w:rPr>
          <w:rFonts w:ascii="Times New Roman" w:eastAsia="Times New Roman" w:hAnsi="Times New Roman" w:cs="Times New Roman"/>
          <w:sz w:val="24"/>
          <w:szCs w:val="24"/>
          <w:lang w:val="pt-BR"/>
        </w:rPr>
        <w:t>.</w:t>
      </w:r>
    </w:p>
    <w:p w14:paraId="03384BD6" w14:textId="77777777" w:rsidR="002101E4" w:rsidRPr="00162A43" w:rsidRDefault="002101E4" w:rsidP="002101E4">
      <w:pPr>
        <w:spacing w:line="480" w:lineRule="auto"/>
        <w:jc w:val="both"/>
        <w:rPr>
          <w:rFonts w:ascii="Times New Roman" w:eastAsia="Times New Roman" w:hAnsi="Times New Roman" w:cs="Times New Roman"/>
          <w:sz w:val="24"/>
          <w:szCs w:val="24"/>
          <w:lang w:val="pt-BR"/>
        </w:rPr>
      </w:pPr>
      <w:r w:rsidRPr="00162A43">
        <w:rPr>
          <w:rFonts w:ascii="Times New Roman" w:eastAsia="Times New Roman" w:hAnsi="Times New Roman" w:cs="Times New Roman"/>
          <w:sz w:val="24"/>
          <w:szCs w:val="24"/>
          <w:vertAlign w:val="superscript"/>
          <w:lang w:val="pt-BR"/>
        </w:rPr>
        <w:t>c</w:t>
      </w:r>
      <w:r w:rsidRPr="00162A43">
        <w:rPr>
          <w:rFonts w:ascii="Times New Roman" w:eastAsia="Times New Roman" w:hAnsi="Times New Roman" w:cs="Times New Roman"/>
          <w:sz w:val="24"/>
          <w:szCs w:val="24"/>
          <w:lang w:val="pt-BR"/>
        </w:rPr>
        <w:t xml:space="preserve"> Universidade Federal do Amazonas – UFAM,</w:t>
      </w:r>
      <w:r>
        <w:rPr>
          <w:rFonts w:ascii="Times New Roman" w:eastAsia="Times New Roman" w:hAnsi="Times New Roman" w:cs="Times New Roman"/>
          <w:sz w:val="24"/>
          <w:szCs w:val="24"/>
          <w:lang w:val="pt-BR"/>
        </w:rPr>
        <w:t xml:space="preserve"> General Rodrigo Octavio Jordão Ramos Avenue, 1200, Coroado I, </w:t>
      </w:r>
      <w:r w:rsidRPr="00162A43">
        <w:rPr>
          <w:rFonts w:ascii="Times New Roman" w:eastAsia="Times New Roman" w:hAnsi="Times New Roman" w:cs="Times New Roman"/>
          <w:sz w:val="24"/>
          <w:szCs w:val="24"/>
          <w:lang w:val="pt-BR"/>
        </w:rPr>
        <w:t>69067-005, Manaus, AM, Brazil.</w:t>
      </w:r>
    </w:p>
    <w:p w14:paraId="21C205A5" w14:textId="77777777" w:rsidR="002101E4" w:rsidRPr="00162A43" w:rsidRDefault="002101E4" w:rsidP="002101E4">
      <w:pPr>
        <w:spacing w:line="480" w:lineRule="auto"/>
        <w:jc w:val="both"/>
        <w:rPr>
          <w:rFonts w:ascii="Times New Roman" w:eastAsia="Times New Roman" w:hAnsi="Times New Roman" w:cs="Times New Roman"/>
          <w:sz w:val="24"/>
          <w:szCs w:val="24"/>
          <w:lang w:val="pt-BR"/>
        </w:rPr>
      </w:pPr>
      <w:r w:rsidRPr="00162A43">
        <w:rPr>
          <w:rFonts w:ascii="Times New Roman" w:eastAsia="Times New Roman" w:hAnsi="Times New Roman" w:cs="Times New Roman"/>
          <w:sz w:val="24"/>
          <w:szCs w:val="24"/>
          <w:vertAlign w:val="superscript"/>
          <w:lang w:val="pt-BR"/>
        </w:rPr>
        <w:t>d</w:t>
      </w:r>
      <w:r w:rsidRPr="00162A43">
        <w:rPr>
          <w:rFonts w:ascii="Times New Roman" w:eastAsia="Times New Roman" w:hAnsi="Times New Roman" w:cs="Times New Roman"/>
          <w:sz w:val="24"/>
          <w:szCs w:val="24"/>
          <w:lang w:val="pt-BR"/>
        </w:rPr>
        <w:t xml:space="preserve"> Instituto Federal d</w:t>
      </w:r>
      <w:r>
        <w:rPr>
          <w:rFonts w:ascii="Times New Roman" w:eastAsia="Times New Roman" w:hAnsi="Times New Roman" w:cs="Times New Roman"/>
          <w:sz w:val="24"/>
          <w:szCs w:val="24"/>
          <w:lang w:val="pt-BR"/>
        </w:rPr>
        <w:t>o</w:t>
      </w:r>
      <w:r w:rsidRPr="00162A43">
        <w:rPr>
          <w:rFonts w:ascii="Times New Roman" w:eastAsia="Times New Roman" w:hAnsi="Times New Roman" w:cs="Times New Roman"/>
          <w:sz w:val="24"/>
          <w:szCs w:val="24"/>
          <w:lang w:val="pt-BR"/>
        </w:rPr>
        <w:t xml:space="preserve"> Amazonas – IFAM, </w:t>
      </w:r>
      <w:r>
        <w:rPr>
          <w:rFonts w:ascii="Times New Roman" w:eastAsia="Times New Roman" w:hAnsi="Times New Roman" w:cs="Times New Roman"/>
          <w:sz w:val="24"/>
          <w:szCs w:val="24"/>
          <w:lang w:val="pt-BR"/>
        </w:rPr>
        <w:t xml:space="preserve">Cosme Ferreira Avenue, 8045, São José Operário, </w:t>
      </w:r>
      <w:r w:rsidRPr="00162A43">
        <w:rPr>
          <w:rFonts w:ascii="Times New Roman" w:eastAsia="Times New Roman" w:hAnsi="Times New Roman" w:cs="Times New Roman"/>
          <w:sz w:val="24"/>
          <w:szCs w:val="24"/>
          <w:lang w:val="pt-BR"/>
        </w:rPr>
        <w:t>69083-000, Manaus, AM, Brazil</w:t>
      </w:r>
      <w:r>
        <w:rPr>
          <w:rFonts w:ascii="Times New Roman" w:eastAsia="Times New Roman" w:hAnsi="Times New Roman" w:cs="Times New Roman"/>
          <w:sz w:val="24"/>
          <w:szCs w:val="24"/>
          <w:lang w:val="pt-BR"/>
        </w:rPr>
        <w:t>.</w:t>
      </w:r>
    </w:p>
    <w:p w14:paraId="59168EB1" w14:textId="77777777" w:rsidR="00822D45" w:rsidRDefault="002101E4" w:rsidP="00822D45">
      <w:pPr>
        <w:spacing w:after="0" w:line="480" w:lineRule="auto"/>
        <w:jc w:val="both"/>
        <w:rPr>
          <w:rFonts w:ascii="Times New Roman" w:eastAsia="Times New Roman" w:hAnsi="Times New Roman" w:cs="Times New Roman"/>
          <w:sz w:val="24"/>
          <w:szCs w:val="24"/>
          <w:lang w:val="pt-BR"/>
        </w:rPr>
      </w:pPr>
      <w:r w:rsidRPr="00063EED">
        <w:rPr>
          <w:rFonts w:ascii="Times New Roman" w:eastAsia="Times New Roman" w:hAnsi="Times New Roman" w:cs="Times New Roman"/>
          <w:sz w:val="24"/>
          <w:szCs w:val="24"/>
          <w:lang w:val="pt-BR"/>
        </w:rPr>
        <w:t xml:space="preserve">*Corresponding author: </w:t>
      </w:r>
      <w:r w:rsidR="00822D45">
        <w:rPr>
          <w:rFonts w:ascii="Times New Roman" w:eastAsia="Times New Roman" w:hAnsi="Times New Roman" w:cs="Times New Roman"/>
          <w:sz w:val="24"/>
          <w:szCs w:val="24"/>
          <w:lang w:val="pt-BR"/>
        </w:rPr>
        <w:t>Lorena Mota de Castro</w:t>
      </w:r>
      <w:r>
        <w:rPr>
          <w:rFonts w:ascii="Times New Roman" w:eastAsia="Times New Roman" w:hAnsi="Times New Roman" w:cs="Times New Roman"/>
          <w:sz w:val="24"/>
          <w:szCs w:val="24"/>
          <w:lang w:val="pt-BR"/>
        </w:rPr>
        <w:t xml:space="preserve">. </w:t>
      </w:r>
      <w:bookmarkStart w:id="1" w:name="_Hlk116579937"/>
      <w:r w:rsidR="00822D45">
        <w:rPr>
          <w:rFonts w:ascii="Times New Roman" w:eastAsia="Times New Roman" w:hAnsi="Times New Roman" w:cs="Times New Roman"/>
          <w:sz w:val="24"/>
          <w:szCs w:val="24"/>
          <w:lang w:val="pt-BR"/>
        </w:rPr>
        <w:t xml:space="preserve">Escola Superior de Ciências da Saúde, Universidade do Estado do Amazonas – UEA, </w:t>
      </w:r>
      <w:r w:rsidR="00822D45" w:rsidRPr="00FC559E">
        <w:rPr>
          <w:rFonts w:ascii="Times New Roman" w:eastAsia="Times New Roman" w:hAnsi="Times New Roman" w:cs="Times New Roman"/>
          <w:sz w:val="24"/>
          <w:szCs w:val="24"/>
          <w:lang w:val="pt-BR"/>
        </w:rPr>
        <w:t>Pós-Graduação em Biodiversidade e Biotecnologia da Rede BIONORTE</w:t>
      </w:r>
      <w:r w:rsidR="00822D45">
        <w:rPr>
          <w:rFonts w:ascii="Times New Roman" w:eastAsia="Times New Roman" w:hAnsi="Times New Roman" w:cs="Times New Roman"/>
          <w:sz w:val="24"/>
          <w:szCs w:val="24"/>
          <w:lang w:val="pt-BR"/>
        </w:rPr>
        <w:t xml:space="preserve">, </w:t>
      </w:r>
      <w:r w:rsidR="00822D45" w:rsidRPr="00FC559E">
        <w:rPr>
          <w:rFonts w:ascii="Times New Roman" w:eastAsia="Times New Roman" w:hAnsi="Times New Roman" w:cs="Times New Roman"/>
          <w:sz w:val="24"/>
          <w:szCs w:val="24"/>
          <w:lang w:val="pt-BR"/>
        </w:rPr>
        <w:t>Carvalho Leal</w:t>
      </w:r>
      <w:r w:rsidR="00822D45">
        <w:rPr>
          <w:rFonts w:ascii="Times New Roman" w:eastAsia="Times New Roman" w:hAnsi="Times New Roman" w:cs="Times New Roman"/>
          <w:sz w:val="24"/>
          <w:szCs w:val="24"/>
          <w:lang w:val="pt-BR"/>
        </w:rPr>
        <w:t xml:space="preserve"> Avenue</w:t>
      </w:r>
      <w:r w:rsidR="00822D45" w:rsidRPr="00FC559E">
        <w:rPr>
          <w:rFonts w:ascii="Times New Roman" w:eastAsia="Times New Roman" w:hAnsi="Times New Roman" w:cs="Times New Roman"/>
          <w:sz w:val="24"/>
          <w:szCs w:val="24"/>
          <w:lang w:val="pt-BR"/>
        </w:rPr>
        <w:t>, 1777 - Cachoeirinha, 69065-001</w:t>
      </w:r>
      <w:r w:rsidR="00822D45">
        <w:rPr>
          <w:rFonts w:ascii="Times New Roman" w:eastAsia="Times New Roman" w:hAnsi="Times New Roman" w:cs="Times New Roman"/>
          <w:sz w:val="24"/>
          <w:szCs w:val="24"/>
          <w:lang w:val="pt-BR"/>
        </w:rPr>
        <w:t xml:space="preserve">, </w:t>
      </w:r>
      <w:r w:rsidR="00822D45" w:rsidRPr="00FC559E">
        <w:rPr>
          <w:rFonts w:ascii="Times New Roman" w:eastAsia="Times New Roman" w:hAnsi="Times New Roman" w:cs="Times New Roman"/>
          <w:sz w:val="24"/>
          <w:szCs w:val="24"/>
          <w:lang w:val="pt-BR"/>
        </w:rPr>
        <w:t>Manaus</w:t>
      </w:r>
      <w:r w:rsidR="00822D45">
        <w:rPr>
          <w:rFonts w:ascii="Times New Roman" w:eastAsia="Times New Roman" w:hAnsi="Times New Roman" w:cs="Times New Roman"/>
          <w:sz w:val="24"/>
          <w:szCs w:val="24"/>
          <w:lang w:val="pt-BR"/>
        </w:rPr>
        <w:t>,</w:t>
      </w:r>
      <w:r w:rsidR="00822D45" w:rsidRPr="00FC559E">
        <w:rPr>
          <w:rFonts w:ascii="Times New Roman" w:eastAsia="Times New Roman" w:hAnsi="Times New Roman" w:cs="Times New Roman"/>
          <w:sz w:val="24"/>
          <w:szCs w:val="24"/>
          <w:lang w:val="pt-BR"/>
        </w:rPr>
        <w:t xml:space="preserve"> AM</w:t>
      </w:r>
      <w:r w:rsidR="00822D45">
        <w:rPr>
          <w:rFonts w:ascii="Times New Roman" w:eastAsia="Times New Roman" w:hAnsi="Times New Roman" w:cs="Times New Roman"/>
          <w:sz w:val="24"/>
          <w:szCs w:val="24"/>
          <w:lang w:val="pt-BR"/>
        </w:rPr>
        <w:t>, Brazil.</w:t>
      </w:r>
    </w:p>
    <w:p w14:paraId="014927C6" w14:textId="1DD8E017" w:rsidR="002101E4" w:rsidRPr="00822D45" w:rsidRDefault="002101E4" w:rsidP="00822D45">
      <w:pPr>
        <w:spacing w:after="0" w:line="480" w:lineRule="auto"/>
        <w:jc w:val="both"/>
        <w:rPr>
          <w:rFonts w:ascii="Times New Roman" w:eastAsia="Times New Roman" w:hAnsi="Times New Roman" w:cs="Times New Roman"/>
          <w:sz w:val="24"/>
          <w:szCs w:val="24"/>
        </w:rPr>
      </w:pPr>
      <w:r w:rsidRPr="00822D45">
        <w:rPr>
          <w:rFonts w:ascii="Times New Roman" w:eastAsia="Times New Roman" w:hAnsi="Times New Roman" w:cs="Times New Roman"/>
          <w:sz w:val="24"/>
          <w:szCs w:val="24"/>
        </w:rPr>
        <w:t>Phone: +55 92 9918</w:t>
      </w:r>
      <w:r w:rsidR="00822D45" w:rsidRPr="00822D45">
        <w:rPr>
          <w:rFonts w:ascii="Times New Roman" w:eastAsia="Times New Roman" w:hAnsi="Times New Roman" w:cs="Times New Roman"/>
          <w:sz w:val="24"/>
          <w:szCs w:val="24"/>
        </w:rPr>
        <w:t>8</w:t>
      </w:r>
      <w:r w:rsidRPr="00822D45">
        <w:rPr>
          <w:rFonts w:ascii="Times New Roman" w:eastAsia="Times New Roman" w:hAnsi="Times New Roman" w:cs="Times New Roman"/>
          <w:sz w:val="24"/>
          <w:szCs w:val="24"/>
        </w:rPr>
        <w:t>-</w:t>
      </w:r>
      <w:r w:rsidR="00822D45" w:rsidRPr="00822D45">
        <w:rPr>
          <w:rFonts w:ascii="Times New Roman" w:eastAsia="Times New Roman" w:hAnsi="Times New Roman" w:cs="Times New Roman"/>
          <w:sz w:val="24"/>
          <w:szCs w:val="24"/>
        </w:rPr>
        <w:t>7</w:t>
      </w:r>
      <w:r w:rsidR="00822D45">
        <w:rPr>
          <w:rFonts w:ascii="Times New Roman" w:eastAsia="Times New Roman" w:hAnsi="Times New Roman" w:cs="Times New Roman"/>
          <w:sz w:val="24"/>
          <w:szCs w:val="24"/>
        </w:rPr>
        <w:t>251</w:t>
      </w:r>
    </w:p>
    <w:bookmarkEnd w:id="1"/>
    <w:p w14:paraId="6E877CD7" w14:textId="087957E9" w:rsidR="002101E4" w:rsidRPr="00816451" w:rsidRDefault="002101E4" w:rsidP="00FE7594">
      <w:pPr>
        <w:spacing w:line="480" w:lineRule="auto"/>
        <w:rPr>
          <w:rFonts w:ascii="Times New Roman" w:eastAsia="Times New Roman" w:hAnsi="Times New Roman" w:cs="Times New Roman"/>
          <w:sz w:val="24"/>
          <w:szCs w:val="24"/>
        </w:rPr>
      </w:pPr>
      <w:r w:rsidRPr="00816451">
        <w:rPr>
          <w:rFonts w:ascii="Times New Roman" w:eastAsia="Times New Roman" w:hAnsi="Times New Roman" w:cs="Times New Roman"/>
          <w:sz w:val="24"/>
          <w:szCs w:val="24"/>
        </w:rPr>
        <w:t xml:space="preserve">E-mail: </w:t>
      </w:r>
      <w:r w:rsidR="00822D45" w:rsidRPr="00816451">
        <w:rPr>
          <w:rFonts w:ascii="Times New Roman" w:eastAsia="Times New Roman" w:hAnsi="Times New Roman" w:cs="Times New Roman"/>
          <w:sz w:val="24"/>
          <w:szCs w:val="24"/>
        </w:rPr>
        <w:t>lorenamcastro.uea@gmail.com</w:t>
      </w:r>
    </w:p>
    <w:p w14:paraId="64847026" w14:textId="77777777" w:rsidR="002101E4" w:rsidRPr="002101E4" w:rsidRDefault="002101E4" w:rsidP="00FE7594">
      <w:pPr>
        <w:rPr>
          <w:rFonts w:ascii="Times New Roman" w:eastAsia="Times New Roman" w:hAnsi="Times New Roman" w:cs="Times New Roman"/>
          <w:b/>
          <w:bCs/>
          <w:sz w:val="24"/>
          <w:szCs w:val="24"/>
        </w:rPr>
      </w:pPr>
      <w:r w:rsidRPr="002101E4">
        <w:rPr>
          <w:rFonts w:ascii="Times New Roman" w:eastAsia="Times New Roman" w:hAnsi="Times New Roman" w:cs="Times New Roman"/>
          <w:b/>
          <w:bCs/>
          <w:sz w:val="24"/>
          <w:szCs w:val="24"/>
        </w:rPr>
        <w:t>Abbreviations</w:t>
      </w:r>
    </w:p>
    <w:p w14:paraId="77D8B91C" w14:textId="1026F74D" w:rsidR="005F1A8F" w:rsidRDefault="005F1A8F" w:rsidP="00CD1D05">
      <w:pPr>
        <w:spacing w:after="0" w:line="480" w:lineRule="auto"/>
        <w:jc w:val="both"/>
        <w:rPr>
          <w:rFonts w:ascii="Times New Roman" w:eastAsia="Times New Roman" w:hAnsi="Times New Roman" w:cs="Times New Roman"/>
          <w:sz w:val="24"/>
          <w:szCs w:val="24"/>
        </w:rPr>
      </w:pPr>
      <w:r w:rsidRPr="00F82A20">
        <w:rPr>
          <w:rFonts w:ascii="Times New Roman" w:eastAsia="Times New Roman" w:hAnsi="Times New Roman" w:cs="Times New Roman"/>
          <w:b/>
          <w:bCs/>
          <w:sz w:val="24"/>
          <w:szCs w:val="24"/>
        </w:rPr>
        <w:t>AI</w:t>
      </w:r>
      <w:r>
        <w:rPr>
          <w:rFonts w:ascii="Times New Roman" w:eastAsia="Times New Roman" w:hAnsi="Times New Roman" w:cs="Times New Roman"/>
          <w:sz w:val="24"/>
          <w:szCs w:val="24"/>
        </w:rPr>
        <w:t>: Adequate intake</w:t>
      </w:r>
    </w:p>
    <w:p w14:paraId="686F5AA2" w14:textId="70A86290" w:rsidR="005F1A8F" w:rsidRDefault="005F1A8F" w:rsidP="00CD1D05">
      <w:pPr>
        <w:spacing w:after="0" w:line="480" w:lineRule="auto"/>
        <w:jc w:val="both"/>
        <w:rPr>
          <w:rFonts w:ascii="Times New Roman" w:eastAsia="Times New Roman" w:hAnsi="Times New Roman" w:cs="Times New Roman"/>
          <w:sz w:val="24"/>
          <w:szCs w:val="24"/>
        </w:rPr>
      </w:pPr>
      <w:r w:rsidRPr="00F82A20">
        <w:rPr>
          <w:rFonts w:ascii="Times New Roman" w:eastAsia="Times New Roman" w:hAnsi="Times New Roman" w:cs="Times New Roman"/>
          <w:b/>
          <w:bCs/>
          <w:sz w:val="24"/>
          <w:szCs w:val="24"/>
        </w:rPr>
        <w:t>AMDR</w:t>
      </w:r>
      <w:r>
        <w:rPr>
          <w:rFonts w:ascii="Times New Roman" w:eastAsia="Times New Roman" w:hAnsi="Times New Roman" w:cs="Times New Roman"/>
          <w:sz w:val="24"/>
          <w:szCs w:val="24"/>
        </w:rPr>
        <w:t>: Acceptable macronutrient distribution range</w:t>
      </w:r>
    </w:p>
    <w:p w14:paraId="06DA26E0" w14:textId="3097345C" w:rsidR="00F82A20" w:rsidRDefault="00F82A20" w:rsidP="00CD1D05">
      <w:pPr>
        <w:spacing w:after="0" w:line="480" w:lineRule="auto"/>
        <w:jc w:val="both"/>
        <w:rPr>
          <w:rFonts w:ascii="Times New Roman" w:eastAsia="Times New Roman" w:hAnsi="Times New Roman" w:cs="Times New Roman"/>
          <w:sz w:val="24"/>
          <w:szCs w:val="24"/>
        </w:rPr>
      </w:pPr>
      <w:r w:rsidRPr="00F82A20">
        <w:rPr>
          <w:rFonts w:ascii="Times New Roman" w:eastAsia="Times New Roman" w:hAnsi="Times New Roman" w:cs="Times New Roman"/>
          <w:b/>
          <w:bCs/>
          <w:sz w:val="24"/>
          <w:szCs w:val="24"/>
        </w:rPr>
        <w:lastRenderedPageBreak/>
        <w:t>CRP</w:t>
      </w:r>
      <w:r>
        <w:rPr>
          <w:rFonts w:ascii="Times New Roman" w:eastAsia="Times New Roman" w:hAnsi="Times New Roman" w:cs="Times New Roman"/>
          <w:sz w:val="24"/>
          <w:szCs w:val="24"/>
        </w:rPr>
        <w:t xml:space="preserve">: </w:t>
      </w:r>
      <w:r w:rsidRPr="00846D1C">
        <w:rPr>
          <w:rFonts w:ascii="Times New Roman" w:eastAsia="Times New Roman" w:hAnsi="Times New Roman" w:cs="Times New Roman"/>
          <w:sz w:val="24"/>
          <w:szCs w:val="24"/>
        </w:rPr>
        <w:t>C-reactive protein</w:t>
      </w:r>
    </w:p>
    <w:p w14:paraId="07E599CB" w14:textId="04E3719A" w:rsidR="002101E4" w:rsidRDefault="005F1A8F" w:rsidP="00CD1D05">
      <w:pPr>
        <w:spacing w:after="0" w:line="480" w:lineRule="auto"/>
        <w:jc w:val="both"/>
        <w:rPr>
          <w:rFonts w:ascii="Times New Roman" w:eastAsia="Times New Roman" w:hAnsi="Times New Roman" w:cs="Times New Roman"/>
          <w:sz w:val="24"/>
          <w:szCs w:val="24"/>
        </w:rPr>
      </w:pPr>
      <w:r w:rsidRPr="00F82A20">
        <w:rPr>
          <w:rFonts w:ascii="Times New Roman" w:eastAsia="Times New Roman" w:hAnsi="Times New Roman" w:cs="Times New Roman"/>
          <w:b/>
          <w:bCs/>
          <w:sz w:val="24"/>
          <w:szCs w:val="24"/>
        </w:rPr>
        <w:t>DPPH</w:t>
      </w:r>
      <w:r>
        <w:rPr>
          <w:rFonts w:ascii="Times New Roman" w:eastAsia="Times New Roman" w:hAnsi="Times New Roman" w:cs="Times New Roman"/>
          <w:sz w:val="24"/>
          <w:szCs w:val="24"/>
        </w:rPr>
        <w:t xml:space="preserve">: </w:t>
      </w:r>
      <w:r w:rsidRPr="005F1A8F">
        <w:rPr>
          <w:rFonts w:ascii="Times New Roman" w:eastAsia="Times New Roman" w:hAnsi="Times New Roman" w:cs="Times New Roman"/>
          <w:sz w:val="24"/>
          <w:szCs w:val="24"/>
        </w:rPr>
        <w:t>2, 2-Diphenyl-1-picrylhydrazyl</w:t>
      </w:r>
    </w:p>
    <w:p w14:paraId="453F725B" w14:textId="5A7F546D" w:rsidR="005F1A8F" w:rsidRDefault="005F1A8F" w:rsidP="00CD1D05">
      <w:pPr>
        <w:spacing w:after="0" w:line="480" w:lineRule="auto"/>
        <w:jc w:val="both"/>
        <w:rPr>
          <w:rFonts w:ascii="Times New Roman" w:eastAsia="Times New Roman" w:hAnsi="Times New Roman" w:cs="Times New Roman"/>
          <w:sz w:val="24"/>
          <w:szCs w:val="24"/>
        </w:rPr>
      </w:pPr>
      <w:r w:rsidRPr="00F82A20">
        <w:rPr>
          <w:rFonts w:ascii="Times New Roman" w:eastAsia="Times New Roman" w:hAnsi="Times New Roman" w:cs="Times New Roman"/>
          <w:b/>
          <w:bCs/>
          <w:sz w:val="24"/>
          <w:szCs w:val="24"/>
        </w:rPr>
        <w:t>GAE</w:t>
      </w:r>
      <w:r>
        <w:rPr>
          <w:rFonts w:ascii="Times New Roman" w:eastAsia="Times New Roman" w:hAnsi="Times New Roman" w:cs="Times New Roman"/>
          <w:sz w:val="24"/>
          <w:szCs w:val="24"/>
        </w:rPr>
        <w:t xml:space="preserve">: </w:t>
      </w:r>
      <w:r w:rsidRPr="005F1A8F">
        <w:rPr>
          <w:rFonts w:ascii="Times New Roman" w:eastAsia="Times New Roman" w:hAnsi="Times New Roman" w:cs="Times New Roman"/>
          <w:sz w:val="24"/>
          <w:szCs w:val="24"/>
        </w:rPr>
        <w:t>Gallic acid equivalent</w:t>
      </w:r>
    </w:p>
    <w:p w14:paraId="12406F9A" w14:textId="5DA319A2" w:rsidR="005F1A8F" w:rsidRDefault="005F1A8F" w:rsidP="00CD1D05">
      <w:pPr>
        <w:spacing w:after="0" w:line="480" w:lineRule="auto"/>
        <w:jc w:val="both"/>
        <w:rPr>
          <w:rFonts w:ascii="Times New Roman" w:eastAsia="Times New Roman" w:hAnsi="Times New Roman" w:cs="Times New Roman"/>
          <w:sz w:val="24"/>
          <w:szCs w:val="24"/>
        </w:rPr>
      </w:pPr>
      <w:r w:rsidRPr="00F82A20">
        <w:rPr>
          <w:rFonts w:ascii="Times New Roman" w:eastAsia="Times New Roman" w:hAnsi="Times New Roman" w:cs="Times New Roman"/>
          <w:b/>
          <w:bCs/>
          <w:sz w:val="24"/>
          <w:szCs w:val="24"/>
        </w:rPr>
        <w:t>IC</w:t>
      </w:r>
      <w:r w:rsidRPr="00F82A20">
        <w:rPr>
          <w:rFonts w:ascii="Times New Roman" w:eastAsia="Times New Roman" w:hAnsi="Times New Roman" w:cs="Times New Roman"/>
          <w:b/>
          <w:bCs/>
          <w:sz w:val="24"/>
          <w:szCs w:val="24"/>
          <w:vertAlign w:val="subscript"/>
        </w:rPr>
        <w:t>50</w:t>
      </w:r>
      <w:r>
        <w:rPr>
          <w:rFonts w:ascii="Times New Roman" w:eastAsia="Times New Roman" w:hAnsi="Times New Roman" w:cs="Times New Roman"/>
          <w:sz w:val="24"/>
          <w:szCs w:val="24"/>
        </w:rPr>
        <w:t xml:space="preserve">: </w:t>
      </w:r>
      <w:r w:rsidRPr="00846D1C">
        <w:rPr>
          <w:rFonts w:ascii="Times New Roman" w:eastAsia="Times New Roman" w:hAnsi="Times New Roman" w:cs="Times New Roman"/>
          <w:sz w:val="24"/>
          <w:szCs w:val="24"/>
        </w:rPr>
        <w:t>inhibitory concentration required to decrease the initial concentration of DPPH by 50%</w:t>
      </w:r>
    </w:p>
    <w:p w14:paraId="1E1188BB" w14:textId="1F2BD16C" w:rsidR="005F1A8F" w:rsidRDefault="005F1A8F" w:rsidP="00CD1D05">
      <w:pPr>
        <w:spacing w:after="0" w:line="480" w:lineRule="auto"/>
        <w:jc w:val="both"/>
        <w:rPr>
          <w:rFonts w:ascii="Times New Roman" w:eastAsia="Times New Roman" w:hAnsi="Times New Roman" w:cs="Times New Roman"/>
          <w:sz w:val="24"/>
          <w:szCs w:val="24"/>
        </w:rPr>
      </w:pPr>
      <w:r w:rsidRPr="00F82A20">
        <w:rPr>
          <w:rFonts w:ascii="Times New Roman" w:eastAsia="Times New Roman" w:hAnsi="Times New Roman" w:cs="Times New Roman"/>
          <w:b/>
          <w:bCs/>
          <w:sz w:val="24"/>
          <w:szCs w:val="24"/>
        </w:rPr>
        <w:t>LC-DAD-ESI-Q-TOF-MS</w:t>
      </w:r>
      <w:r>
        <w:rPr>
          <w:rFonts w:ascii="Times New Roman" w:eastAsia="Times New Roman" w:hAnsi="Times New Roman" w:cs="Times New Roman"/>
          <w:sz w:val="24"/>
          <w:szCs w:val="24"/>
        </w:rPr>
        <w:t xml:space="preserve">: </w:t>
      </w:r>
      <w:r w:rsidRPr="00846D1C">
        <w:rPr>
          <w:rFonts w:ascii="Times New Roman" w:eastAsia="Times New Roman" w:hAnsi="Times New Roman" w:cs="Times New Roman"/>
          <w:sz w:val="24"/>
          <w:szCs w:val="24"/>
        </w:rPr>
        <w:t>liquid chromatography coupled with electrospray ionization-quadrupole-time of flight-mass spectrometry</w:t>
      </w:r>
    </w:p>
    <w:p w14:paraId="68A22F81" w14:textId="2A61937C" w:rsidR="005F1A8F" w:rsidRDefault="005F1A8F" w:rsidP="00CD1D05">
      <w:pPr>
        <w:spacing w:after="0" w:line="480" w:lineRule="auto"/>
        <w:jc w:val="both"/>
        <w:rPr>
          <w:rFonts w:ascii="Times New Roman" w:eastAsia="Times New Roman" w:hAnsi="Times New Roman" w:cs="Times New Roman"/>
          <w:sz w:val="24"/>
          <w:szCs w:val="24"/>
        </w:rPr>
      </w:pPr>
      <w:r w:rsidRPr="00F82A20">
        <w:rPr>
          <w:rFonts w:ascii="Times New Roman" w:eastAsia="Times New Roman" w:hAnsi="Times New Roman" w:cs="Times New Roman"/>
          <w:b/>
          <w:bCs/>
          <w:sz w:val="24"/>
          <w:szCs w:val="24"/>
        </w:rPr>
        <w:t>NCEP</w:t>
      </w:r>
      <w:r>
        <w:rPr>
          <w:rFonts w:ascii="Times New Roman" w:eastAsia="Times New Roman" w:hAnsi="Times New Roman" w:cs="Times New Roman"/>
          <w:sz w:val="24"/>
          <w:szCs w:val="24"/>
        </w:rPr>
        <w:t>: Non-conventional edible plant</w:t>
      </w:r>
    </w:p>
    <w:p w14:paraId="7C63D3EF" w14:textId="1DDE474C" w:rsidR="005F1A8F" w:rsidRDefault="005F1A8F" w:rsidP="00CD1D05">
      <w:pPr>
        <w:spacing w:after="0" w:line="480" w:lineRule="auto"/>
        <w:jc w:val="both"/>
        <w:rPr>
          <w:rFonts w:ascii="Times New Roman" w:eastAsia="Times New Roman" w:hAnsi="Times New Roman" w:cs="Times New Roman"/>
          <w:sz w:val="24"/>
          <w:szCs w:val="24"/>
        </w:rPr>
      </w:pPr>
      <w:r w:rsidRPr="00F82A20">
        <w:rPr>
          <w:rFonts w:ascii="Times New Roman" w:eastAsia="Times New Roman" w:hAnsi="Times New Roman" w:cs="Times New Roman"/>
          <w:b/>
          <w:bCs/>
          <w:sz w:val="24"/>
          <w:szCs w:val="24"/>
        </w:rPr>
        <w:t>RDA</w:t>
      </w:r>
      <w:r>
        <w:rPr>
          <w:rFonts w:ascii="Times New Roman" w:eastAsia="Times New Roman" w:hAnsi="Times New Roman" w:cs="Times New Roman"/>
          <w:sz w:val="24"/>
          <w:szCs w:val="24"/>
        </w:rPr>
        <w:t xml:space="preserve">: </w:t>
      </w:r>
      <w:r w:rsidRPr="005F1A8F">
        <w:rPr>
          <w:rFonts w:ascii="Times New Roman" w:eastAsia="Times New Roman" w:hAnsi="Times New Roman" w:cs="Times New Roman"/>
          <w:sz w:val="24"/>
          <w:szCs w:val="24"/>
        </w:rPr>
        <w:t>Recommended dietary allowance</w:t>
      </w:r>
    </w:p>
    <w:p w14:paraId="06AEEDE3" w14:textId="5265121B" w:rsidR="005F1A8F" w:rsidRDefault="005F1A8F" w:rsidP="00CD1D05">
      <w:pPr>
        <w:spacing w:after="0" w:line="480" w:lineRule="auto"/>
        <w:jc w:val="both"/>
        <w:rPr>
          <w:rFonts w:ascii="Times New Roman" w:eastAsia="Times New Roman" w:hAnsi="Times New Roman" w:cs="Times New Roman"/>
          <w:sz w:val="24"/>
          <w:szCs w:val="24"/>
        </w:rPr>
      </w:pPr>
      <w:r w:rsidRPr="00F82A20">
        <w:rPr>
          <w:rFonts w:ascii="Times New Roman" w:eastAsia="Times New Roman" w:hAnsi="Times New Roman" w:cs="Times New Roman"/>
          <w:b/>
          <w:bCs/>
          <w:sz w:val="24"/>
          <w:szCs w:val="24"/>
        </w:rPr>
        <w:t>TPC</w:t>
      </w:r>
      <w:r>
        <w:rPr>
          <w:rFonts w:ascii="Times New Roman" w:eastAsia="Times New Roman" w:hAnsi="Times New Roman" w:cs="Times New Roman"/>
          <w:sz w:val="24"/>
          <w:szCs w:val="24"/>
        </w:rPr>
        <w:t>: Total phenol content</w:t>
      </w:r>
    </w:p>
    <w:p w14:paraId="0A7481A2" w14:textId="243F0874" w:rsidR="005F1A8F" w:rsidRPr="005F1A8F" w:rsidRDefault="005F1A8F" w:rsidP="005F1A8F">
      <w:pPr>
        <w:spacing w:line="480" w:lineRule="auto"/>
        <w:jc w:val="both"/>
        <w:rPr>
          <w:rFonts w:ascii="Times New Roman" w:eastAsia="Times New Roman" w:hAnsi="Times New Roman" w:cs="Times New Roman"/>
          <w:sz w:val="24"/>
          <w:szCs w:val="24"/>
        </w:rPr>
      </w:pPr>
      <w:r w:rsidRPr="00F82A20">
        <w:rPr>
          <w:rFonts w:ascii="Times New Roman" w:eastAsia="Times New Roman" w:hAnsi="Times New Roman" w:cs="Times New Roman"/>
          <w:b/>
          <w:bCs/>
          <w:sz w:val="24"/>
          <w:szCs w:val="24"/>
        </w:rPr>
        <w:t>UF</w:t>
      </w:r>
      <w:r w:rsidR="00816451">
        <w:rPr>
          <w:rFonts w:ascii="Times New Roman" w:eastAsia="Times New Roman" w:hAnsi="Times New Roman" w:cs="Times New Roman"/>
          <w:b/>
          <w:bCs/>
          <w:sz w:val="24"/>
          <w:szCs w:val="24"/>
        </w:rPr>
        <w:t>P</w:t>
      </w:r>
      <w:r>
        <w:rPr>
          <w:rFonts w:ascii="Times New Roman" w:eastAsia="Times New Roman" w:hAnsi="Times New Roman" w:cs="Times New Roman"/>
          <w:sz w:val="24"/>
          <w:szCs w:val="24"/>
        </w:rPr>
        <w:t>: U</w:t>
      </w:r>
      <w:r w:rsidRPr="00846D1C">
        <w:rPr>
          <w:rFonts w:ascii="Times New Roman" w:eastAsia="Times New Roman" w:hAnsi="Times New Roman" w:cs="Times New Roman"/>
          <w:sz w:val="24"/>
          <w:szCs w:val="24"/>
        </w:rPr>
        <w:t xml:space="preserve">nconventional </w:t>
      </w:r>
      <w:r w:rsidR="00816451">
        <w:rPr>
          <w:rFonts w:ascii="Times New Roman" w:eastAsia="Times New Roman" w:hAnsi="Times New Roman" w:cs="Times New Roman"/>
          <w:sz w:val="24"/>
          <w:szCs w:val="24"/>
        </w:rPr>
        <w:t>food plants</w:t>
      </w:r>
    </w:p>
    <w:p w14:paraId="22EDAB46" w14:textId="2A3D2C9F" w:rsidR="00CD1D05" w:rsidRPr="00846D1C" w:rsidRDefault="00CD1D05" w:rsidP="005F1A8F">
      <w:pPr>
        <w:spacing w:after="0" w:line="480" w:lineRule="auto"/>
        <w:jc w:val="both"/>
        <w:rPr>
          <w:rFonts w:ascii="Times New Roman" w:eastAsia="Times New Roman" w:hAnsi="Times New Roman" w:cs="Times New Roman"/>
          <w:sz w:val="24"/>
          <w:szCs w:val="24"/>
        </w:rPr>
      </w:pPr>
      <w:r w:rsidRPr="00846D1C">
        <w:rPr>
          <w:rFonts w:ascii="Times New Roman" w:eastAsia="Times New Roman" w:hAnsi="Times New Roman" w:cs="Times New Roman"/>
          <w:sz w:val="24"/>
          <w:szCs w:val="24"/>
        </w:rPr>
        <w:t>2.1 Chemicals and reagents</w:t>
      </w:r>
    </w:p>
    <w:p w14:paraId="12D071A0" w14:textId="77777777" w:rsidR="00CD1D05" w:rsidRPr="00846D1C" w:rsidRDefault="00CD1D05" w:rsidP="005F1A8F">
      <w:pPr>
        <w:spacing w:after="0" w:line="480" w:lineRule="auto"/>
        <w:ind w:firstLine="708"/>
        <w:jc w:val="both"/>
        <w:rPr>
          <w:rFonts w:ascii="Times New Roman" w:eastAsia="Times New Roman" w:hAnsi="Times New Roman" w:cs="Times New Roman"/>
          <w:sz w:val="24"/>
          <w:szCs w:val="24"/>
        </w:rPr>
      </w:pPr>
      <w:r w:rsidRPr="00846D1C">
        <w:rPr>
          <w:rFonts w:ascii="Times New Roman" w:eastAsia="Times New Roman" w:hAnsi="Times New Roman" w:cs="Times New Roman"/>
          <w:sz w:val="24"/>
          <w:szCs w:val="24"/>
        </w:rPr>
        <w:t>Commercial standards were acquired from Sigma-Aldrich</w:t>
      </w:r>
      <w:r w:rsidRPr="00846D1C">
        <w:rPr>
          <w:rFonts w:ascii="Times New Roman" w:hAnsi="Times New Roman" w:cs="Times New Roman"/>
          <w:sz w:val="24"/>
          <w:szCs w:val="24"/>
          <w:vertAlign w:val="superscript"/>
        </w:rPr>
        <w:t xml:space="preserve"> TM </w:t>
      </w:r>
      <w:r w:rsidRPr="00846D1C">
        <w:rPr>
          <w:rFonts w:ascii="Times New Roman" w:hAnsi="Times New Roman" w:cs="Times New Roman"/>
          <w:sz w:val="24"/>
          <w:szCs w:val="24"/>
        </w:rPr>
        <w:t>(St. Louis, MO, USA)</w:t>
      </w:r>
      <w:r w:rsidRPr="00846D1C">
        <w:rPr>
          <w:rFonts w:ascii="Times New Roman" w:eastAsia="Times New Roman" w:hAnsi="Times New Roman" w:cs="Times New Roman"/>
          <w:sz w:val="24"/>
          <w:szCs w:val="24"/>
        </w:rPr>
        <w:t xml:space="preserve"> and Honeywell Fluka</w:t>
      </w:r>
      <w:r w:rsidRPr="00846D1C">
        <w:rPr>
          <w:rFonts w:ascii="Times New Roman" w:eastAsia="Times New Roman" w:hAnsi="Times New Roman" w:cs="Times New Roman"/>
          <w:sz w:val="24"/>
          <w:szCs w:val="24"/>
          <w:vertAlign w:val="superscript"/>
        </w:rPr>
        <w:t xml:space="preserve">TM - </w:t>
      </w:r>
      <w:r w:rsidRPr="00846D1C">
        <w:rPr>
          <w:rFonts w:ascii="Times New Roman" w:eastAsia="Times New Roman" w:hAnsi="Times New Roman" w:cs="Times New Roman"/>
          <w:sz w:val="24"/>
          <w:szCs w:val="24"/>
        </w:rPr>
        <w:t>Fisher Scientific SAS (Illkirch Cedex, France). All solvents were purchased from Tedia (Fairfield, Connecticut, USA). Ultrapure water was obtained from a Milli-Q</w:t>
      </w:r>
      <w:r w:rsidRPr="00846D1C">
        <w:rPr>
          <w:rFonts w:ascii="Times New Roman" w:eastAsia="Times New Roman" w:hAnsi="Times New Roman" w:cs="Times New Roman"/>
          <w:sz w:val="24"/>
          <w:szCs w:val="24"/>
          <w:vertAlign w:val="superscript"/>
        </w:rPr>
        <w:t>®</w:t>
      </w:r>
      <w:r w:rsidRPr="00846D1C">
        <w:rPr>
          <w:rFonts w:ascii="Times New Roman" w:eastAsia="Times New Roman" w:hAnsi="Times New Roman" w:cs="Times New Roman"/>
          <w:sz w:val="24"/>
          <w:szCs w:val="24"/>
        </w:rPr>
        <w:t xml:space="preserve"> system (Millipore, Bedford, MA, USA).</w:t>
      </w:r>
    </w:p>
    <w:p w14:paraId="61A3CEC1" w14:textId="77777777" w:rsidR="00CD1D05" w:rsidRPr="00846D1C" w:rsidRDefault="00CD1D05" w:rsidP="00CD1D05">
      <w:pPr>
        <w:spacing w:after="0" w:line="480" w:lineRule="auto"/>
        <w:jc w:val="both"/>
        <w:rPr>
          <w:rFonts w:ascii="Times New Roman" w:eastAsia="Times New Roman" w:hAnsi="Times New Roman" w:cs="Times New Roman"/>
          <w:sz w:val="24"/>
          <w:szCs w:val="24"/>
        </w:rPr>
      </w:pPr>
      <w:r w:rsidRPr="00846D1C">
        <w:rPr>
          <w:rFonts w:ascii="Times New Roman" w:eastAsia="Times New Roman" w:hAnsi="Times New Roman" w:cs="Times New Roman"/>
          <w:sz w:val="24"/>
          <w:szCs w:val="24"/>
        </w:rPr>
        <w:t xml:space="preserve">2.2 Sample collection </w:t>
      </w:r>
    </w:p>
    <w:p w14:paraId="643FB4D4" w14:textId="77777777" w:rsidR="00CD1D05" w:rsidRPr="00846D1C" w:rsidRDefault="00CD1D05" w:rsidP="00CD1D05">
      <w:pPr>
        <w:spacing w:after="0" w:line="480" w:lineRule="auto"/>
        <w:ind w:firstLine="720"/>
        <w:jc w:val="both"/>
        <w:rPr>
          <w:rFonts w:ascii="Times New Roman" w:eastAsia="Times New Roman" w:hAnsi="Times New Roman" w:cs="Times New Roman"/>
          <w:sz w:val="24"/>
          <w:szCs w:val="24"/>
        </w:rPr>
      </w:pPr>
      <w:r w:rsidRPr="00846D1C">
        <w:rPr>
          <w:rFonts w:ascii="Times New Roman" w:eastAsia="Times New Roman" w:hAnsi="Times New Roman" w:cs="Times New Roman"/>
          <w:i/>
          <w:sz w:val="24"/>
          <w:szCs w:val="24"/>
        </w:rPr>
        <w:t>V. amazonica</w:t>
      </w:r>
      <w:r w:rsidRPr="00846D1C">
        <w:rPr>
          <w:rFonts w:ascii="Times New Roman" w:eastAsia="Times New Roman" w:hAnsi="Times New Roman" w:cs="Times New Roman"/>
          <w:sz w:val="24"/>
          <w:szCs w:val="24"/>
        </w:rPr>
        <w:t xml:space="preserve"> samples were obtained in the municipality of Careiro da Várzea, Amazonas state, Brazil </w:t>
      </w:r>
      <w:r w:rsidRPr="00846D1C">
        <w:rPr>
          <w:rFonts w:ascii="Times New Roman" w:hAnsi="Times New Roman" w:cs="Times New Roman"/>
          <w:sz w:val="24"/>
          <w:szCs w:val="24"/>
        </w:rPr>
        <w:t>(3° 4’ 59.016” S, 59° 43’ 59.844” W)</w:t>
      </w:r>
      <w:r w:rsidRPr="00846D1C">
        <w:rPr>
          <w:rFonts w:ascii="Times New Roman" w:eastAsia="Times New Roman" w:hAnsi="Times New Roman" w:cs="Times New Roman"/>
          <w:sz w:val="24"/>
          <w:szCs w:val="24"/>
        </w:rPr>
        <w:t xml:space="preserve">. </w:t>
      </w:r>
      <w:r w:rsidRPr="00162A43">
        <w:rPr>
          <w:rFonts w:ascii="Times New Roman" w:eastAsia="Times New Roman" w:hAnsi="Times New Roman" w:cs="Times New Roman"/>
          <w:sz w:val="24"/>
          <w:szCs w:val="24"/>
          <w:lang w:val="pt-BR"/>
        </w:rPr>
        <w:t xml:space="preserve">A voucher specimen was deposited in the herbarium of the Instituto Federal de Educação, Ciência e Tecnologia do Amazonas - IFAM. </w:t>
      </w:r>
      <w:r w:rsidRPr="00846D1C">
        <w:rPr>
          <w:rFonts w:ascii="Times New Roman" w:eastAsia="Times New Roman" w:hAnsi="Times New Roman" w:cs="Times New Roman"/>
          <w:sz w:val="24"/>
          <w:szCs w:val="24"/>
        </w:rPr>
        <w:t>The samples were washed and peeled manually, then the fresh petiole to be used for nutritional composition and calorimetric analysis was separated, as well as the material to be subjected to drying and grinding for solvent extraction and liquid-chromatography mass spectrometry (LC-MS) analysis.</w:t>
      </w:r>
    </w:p>
    <w:p w14:paraId="7B09065F" w14:textId="77777777" w:rsidR="00CD1D05" w:rsidRPr="00846D1C" w:rsidRDefault="00CD1D05" w:rsidP="00CD1D05">
      <w:pPr>
        <w:spacing w:before="240" w:after="0" w:line="480" w:lineRule="auto"/>
        <w:jc w:val="both"/>
        <w:rPr>
          <w:rFonts w:ascii="Times New Roman" w:eastAsia="Times New Roman" w:hAnsi="Times New Roman" w:cs="Times New Roman"/>
          <w:sz w:val="24"/>
          <w:szCs w:val="24"/>
        </w:rPr>
      </w:pPr>
      <w:r w:rsidRPr="00846D1C">
        <w:rPr>
          <w:rFonts w:ascii="Times New Roman" w:eastAsia="Times New Roman" w:hAnsi="Times New Roman" w:cs="Times New Roman"/>
          <w:sz w:val="24"/>
          <w:szCs w:val="24"/>
        </w:rPr>
        <w:t>2.3 Nutritional composition</w:t>
      </w:r>
    </w:p>
    <w:p w14:paraId="24467727" w14:textId="6D8C2400" w:rsidR="00CD1D05" w:rsidRPr="00846D1C" w:rsidRDefault="00CD1D05" w:rsidP="00CD1D05">
      <w:pPr>
        <w:spacing w:after="0" w:line="480" w:lineRule="auto"/>
        <w:jc w:val="both"/>
        <w:rPr>
          <w:rFonts w:ascii="Times New Roman" w:hAnsi="Times New Roman" w:cs="Times New Roman"/>
          <w:sz w:val="24"/>
          <w:szCs w:val="24"/>
        </w:rPr>
      </w:pPr>
      <w:r w:rsidRPr="00846D1C">
        <w:rPr>
          <w:rFonts w:ascii="Times New Roman" w:eastAsia="Times New Roman" w:hAnsi="Times New Roman" w:cs="Times New Roman"/>
          <w:sz w:val="24"/>
          <w:szCs w:val="24"/>
        </w:rPr>
        <w:lastRenderedPageBreak/>
        <w:tab/>
        <w:t xml:space="preserve">The moisture and ash contents were determined according to </w:t>
      </w:r>
      <w:r w:rsidRPr="00846D1C">
        <w:rPr>
          <w:rStyle w:val="Refdecomentrio2"/>
          <w:rFonts w:ascii="Times New Roman" w:hAnsi="Times New Roman" w:cs="Times New Roman"/>
          <w:sz w:val="24"/>
          <w:szCs w:val="24"/>
        </w:rPr>
        <w:t xml:space="preserve">AOAC International </w:t>
      </w:r>
      <w:r w:rsidRPr="00846D1C">
        <w:rPr>
          <w:rFonts w:ascii="Times New Roman" w:eastAsia="Times New Roman" w:hAnsi="Times New Roman" w:cs="Times New Roman"/>
          <w:sz w:val="24"/>
          <w:szCs w:val="24"/>
        </w:rPr>
        <w:t xml:space="preserve">methods </w:t>
      </w:r>
      <w:r w:rsidRPr="00846D1C">
        <w:rPr>
          <w:rFonts w:ascii="Times New Roman" w:hAnsi="Times New Roman" w:cs="Times New Roman"/>
          <w:sz w:val="24"/>
          <w:szCs w:val="24"/>
        </w:rPr>
        <w:t xml:space="preserve">No. 925.09 and No. 923.03 </w:t>
      </w:r>
      <w:r w:rsidR="00FE7594">
        <w:rPr>
          <w:rFonts w:ascii="Times New Roman" w:hAnsi="Times New Roman" w:cs="Times New Roman"/>
          <w:sz w:val="24"/>
          <w:szCs w:val="24"/>
        </w:rPr>
        <w:t>[</w:t>
      </w:r>
      <w:r>
        <w:rPr>
          <w:rFonts w:ascii="Times New Roman" w:hAnsi="Times New Roman" w:cs="Times New Roman"/>
          <w:sz w:val="24"/>
          <w:szCs w:val="24"/>
        </w:rPr>
        <w:t>1</w:t>
      </w:r>
      <w:r w:rsidR="00FE7594">
        <w:rPr>
          <w:rFonts w:ascii="Times New Roman" w:hAnsi="Times New Roman" w:cs="Times New Roman"/>
          <w:sz w:val="24"/>
          <w:szCs w:val="24"/>
        </w:rPr>
        <w:t>]</w:t>
      </w:r>
      <w:r w:rsidRPr="00846D1C">
        <w:rPr>
          <w:rFonts w:ascii="Times New Roman" w:hAnsi="Times New Roman" w:cs="Times New Roman"/>
          <w:sz w:val="24"/>
          <w:szCs w:val="24"/>
        </w:rPr>
        <w:t>, respectively</w:t>
      </w:r>
      <w:r w:rsidRPr="00846D1C">
        <w:rPr>
          <w:rFonts w:ascii="Times New Roman" w:eastAsia="Times New Roman" w:hAnsi="Times New Roman" w:cs="Times New Roman"/>
          <w:sz w:val="24"/>
          <w:szCs w:val="24"/>
        </w:rPr>
        <w:t xml:space="preserve">. A 5.0 g aliquot of </w:t>
      </w:r>
      <w:r w:rsidRPr="00846D1C">
        <w:rPr>
          <w:rFonts w:ascii="Times New Roman" w:eastAsia="Times New Roman" w:hAnsi="Times New Roman" w:cs="Times New Roman"/>
          <w:i/>
          <w:iCs/>
          <w:sz w:val="24"/>
          <w:szCs w:val="24"/>
        </w:rPr>
        <w:t>V. amazonica</w:t>
      </w:r>
      <w:r w:rsidRPr="00846D1C">
        <w:rPr>
          <w:rFonts w:ascii="Times New Roman" w:eastAsia="Times New Roman" w:hAnsi="Times New Roman" w:cs="Times New Roman"/>
          <w:sz w:val="24"/>
          <w:szCs w:val="24"/>
        </w:rPr>
        <w:t xml:space="preserve"> petiole was weighed and dried </w:t>
      </w:r>
      <w:r w:rsidRPr="00846D1C">
        <w:rPr>
          <w:rFonts w:ascii="Times New Roman" w:hAnsi="Times New Roman" w:cs="Times New Roman"/>
          <w:sz w:val="24"/>
          <w:szCs w:val="24"/>
        </w:rPr>
        <w:t>at 105 °C</w:t>
      </w:r>
      <w:r w:rsidRPr="00846D1C">
        <w:rPr>
          <w:rFonts w:ascii="Times New Roman" w:eastAsia="Times New Roman" w:hAnsi="Times New Roman" w:cs="Times New Roman"/>
          <w:sz w:val="24"/>
          <w:szCs w:val="24"/>
        </w:rPr>
        <w:t xml:space="preserve"> in a sterilization oven (NT512, Nova Técnica,</w:t>
      </w:r>
      <w:r w:rsidRPr="00846D1C">
        <w:rPr>
          <w:rFonts w:ascii="Times New Roman" w:hAnsi="Times New Roman" w:cs="Times New Roman"/>
          <w:sz w:val="24"/>
          <w:szCs w:val="24"/>
        </w:rPr>
        <w:t xml:space="preserve"> Piracicaba, SP, Brazil) </w:t>
      </w:r>
      <w:r w:rsidRPr="00846D1C">
        <w:rPr>
          <w:rFonts w:ascii="Times New Roman" w:eastAsia="Times New Roman" w:hAnsi="Times New Roman" w:cs="Times New Roman"/>
          <w:sz w:val="24"/>
          <w:szCs w:val="24"/>
        </w:rPr>
        <w:t xml:space="preserve">until reaching a constant weight. Ash content determination was achieved by incineration of a 2.0 g sample </w:t>
      </w:r>
      <w:r w:rsidRPr="00846D1C">
        <w:rPr>
          <w:rFonts w:ascii="Times New Roman" w:hAnsi="Times New Roman" w:cs="Times New Roman"/>
          <w:sz w:val="24"/>
          <w:szCs w:val="24"/>
        </w:rPr>
        <w:t>in a muffle furnace (Q318, Quimis, Diadema, SP, Brazil) at 550 ºC for 3 hours.</w:t>
      </w:r>
    </w:p>
    <w:p w14:paraId="3E55EAC2" w14:textId="1E8E012A" w:rsidR="00CD1D05" w:rsidRPr="00846D1C" w:rsidRDefault="00CD1D05" w:rsidP="00CD1D05">
      <w:pPr>
        <w:spacing w:line="480" w:lineRule="auto"/>
        <w:ind w:firstLine="720"/>
        <w:jc w:val="both"/>
        <w:rPr>
          <w:rFonts w:ascii="Times New Roman" w:eastAsia="Times New Roman" w:hAnsi="Times New Roman" w:cs="Times New Roman"/>
          <w:sz w:val="24"/>
          <w:szCs w:val="24"/>
        </w:rPr>
      </w:pPr>
      <w:r w:rsidRPr="00846D1C">
        <w:rPr>
          <w:rFonts w:ascii="Times New Roman" w:eastAsia="Times New Roman" w:hAnsi="Times New Roman" w:cs="Times New Roman"/>
          <w:sz w:val="24"/>
          <w:szCs w:val="24"/>
        </w:rPr>
        <w:t xml:space="preserve">Total protein content was determined based on the Kjeldahl method </w:t>
      </w:r>
      <w:r w:rsidR="00FE7594">
        <w:rPr>
          <w:rFonts w:ascii="Times New Roman" w:eastAsia="Times New Roman" w:hAnsi="Times New Roman" w:cs="Times New Roman"/>
          <w:sz w:val="24"/>
          <w:szCs w:val="24"/>
        </w:rPr>
        <w:t>[</w:t>
      </w:r>
      <w:r>
        <w:rPr>
          <w:rFonts w:ascii="Times New Roman" w:eastAsia="Times New Roman" w:hAnsi="Times New Roman" w:cs="Times New Roman"/>
          <w:sz w:val="24"/>
          <w:szCs w:val="24"/>
        </w:rPr>
        <w:t>2</w:t>
      </w:r>
      <w:r w:rsidR="00FE7594">
        <w:rPr>
          <w:rFonts w:ascii="Times New Roman" w:eastAsia="Times New Roman" w:hAnsi="Times New Roman" w:cs="Times New Roman"/>
          <w:sz w:val="24"/>
          <w:szCs w:val="24"/>
        </w:rPr>
        <w:t>]</w:t>
      </w:r>
      <w:r w:rsidRPr="00846D1C">
        <w:rPr>
          <w:rFonts w:ascii="Times New Roman" w:eastAsia="Times New Roman" w:hAnsi="Times New Roman" w:cs="Times New Roman"/>
          <w:sz w:val="24"/>
          <w:szCs w:val="24"/>
        </w:rPr>
        <w:t xml:space="preserve"> using 6.25 as the conversion factor </w:t>
      </w:r>
      <w:r w:rsidR="00FE7594">
        <w:rPr>
          <w:rFonts w:ascii="Times New Roman" w:eastAsia="Times New Roman" w:hAnsi="Times New Roman" w:cs="Times New Roman"/>
          <w:sz w:val="24"/>
          <w:szCs w:val="24"/>
        </w:rPr>
        <w:t>[</w:t>
      </w:r>
      <w:r>
        <w:rPr>
          <w:rFonts w:ascii="Times New Roman" w:eastAsia="Times New Roman" w:hAnsi="Times New Roman" w:cs="Times New Roman"/>
          <w:sz w:val="24"/>
          <w:szCs w:val="24"/>
        </w:rPr>
        <w:t>3</w:t>
      </w:r>
      <w:r w:rsidR="00FE7594">
        <w:rPr>
          <w:rFonts w:ascii="Times New Roman" w:eastAsia="Times New Roman" w:hAnsi="Times New Roman" w:cs="Times New Roman"/>
          <w:sz w:val="24"/>
          <w:szCs w:val="24"/>
        </w:rPr>
        <w:t>]</w:t>
      </w:r>
      <w:r w:rsidRPr="00846D1C">
        <w:rPr>
          <w:rFonts w:ascii="Times New Roman" w:eastAsia="Times New Roman" w:hAnsi="Times New Roman" w:cs="Times New Roman"/>
          <w:sz w:val="24"/>
          <w:szCs w:val="24"/>
        </w:rPr>
        <w:t xml:space="preserve">. Total carbohydrate determination was performed based on titration using Fehling’s test </w:t>
      </w:r>
      <w:r w:rsidR="00FE7594">
        <w:rPr>
          <w:rFonts w:ascii="Times New Roman" w:eastAsia="Times New Roman" w:hAnsi="Times New Roman" w:cs="Times New Roman"/>
          <w:sz w:val="24"/>
          <w:szCs w:val="24"/>
        </w:rPr>
        <w:t>[</w:t>
      </w:r>
      <w:r>
        <w:rPr>
          <w:rFonts w:ascii="Times New Roman" w:eastAsia="Times New Roman" w:hAnsi="Times New Roman" w:cs="Times New Roman"/>
          <w:sz w:val="24"/>
          <w:szCs w:val="24"/>
        </w:rPr>
        <w:t>1</w:t>
      </w:r>
      <w:r w:rsidR="00FE7594">
        <w:rPr>
          <w:rFonts w:ascii="Times New Roman" w:eastAsia="Times New Roman" w:hAnsi="Times New Roman" w:cs="Times New Roman"/>
          <w:sz w:val="24"/>
          <w:szCs w:val="24"/>
        </w:rPr>
        <w:t>].</w:t>
      </w:r>
      <w:r w:rsidRPr="00846D1C">
        <w:rPr>
          <w:rFonts w:ascii="Times New Roman" w:hAnsi="Times New Roman" w:cs="Times New Roman"/>
          <w:sz w:val="24"/>
          <w:szCs w:val="24"/>
        </w:rPr>
        <w:t xml:space="preserve"> The Soxhlet extraction method (</w:t>
      </w:r>
      <w:r>
        <w:rPr>
          <w:rFonts w:ascii="Times New Roman" w:hAnsi="Times New Roman" w:cs="Times New Roman"/>
          <w:sz w:val="24"/>
          <w:szCs w:val="24"/>
        </w:rPr>
        <w:t>4</w:t>
      </w:r>
      <w:r w:rsidRPr="00846D1C">
        <w:rPr>
          <w:rFonts w:ascii="Times New Roman" w:hAnsi="Times New Roman" w:cs="Times New Roman"/>
          <w:sz w:val="24"/>
          <w:szCs w:val="24"/>
        </w:rPr>
        <w:t xml:space="preserve">), using hexane as the extraction solvent, was used to quantify the total lipid content. An aliquot of 5.0 g of dried sample was used in this experiment and the solvent was replaced every 6 hours, totaling 18 h of extraction. Crude fiber content was determined according to procedure Ba 6a-05 of the </w:t>
      </w:r>
      <w:r w:rsidRPr="00846D1C">
        <w:rPr>
          <w:rStyle w:val="Refdecomentrio2"/>
          <w:rFonts w:ascii="Times New Roman" w:hAnsi="Times New Roman" w:cs="Times New Roman"/>
          <w:sz w:val="24"/>
          <w:szCs w:val="24"/>
        </w:rPr>
        <w:t>American Oil Chemists’ Society</w:t>
      </w:r>
      <w:r w:rsidRPr="00846D1C">
        <w:rPr>
          <w:rFonts w:ascii="Times New Roman" w:hAnsi="Times New Roman" w:cs="Times New Roman"/>
          <w:sz w:val="24"/>
          <w:szCs w:val="24"/>
        </w:rPr>
        <w:t xml:space="preserve"> </w:t>
      </w:r>
      <w:r w:rsidR="00FE7594">
        <w:rPr>
          <w:rFonts w:ascii="Times New Roman" w:hAnsi="Times New Roman" w:cs="Times New Roman"/>
          <w:sz w:val="24"/>
          <w:szCs w:val="24"/>
        </w:rPr>
        <w:t>[</w:t>
      </w:r>
      <w:r>
        <w:rPr>
          <w:rFonts w:ascii="Times New Roman" w:hAnsi="Times New Roman" w:cs="Times New Roman"/>
          <w:sz w:val="24"/>
          <w:szCs w:val="24"/>
        </w:rPr>
        <w:t>5</w:t>
      </w:r>
      <w:r w:rsidR="00FE7594">
        <w:rPr>
          <w:rFonts w:ascii="Times New Roman" w:hAnsi="Times New Roman" w:cs="Times New Roman"/>
          <w:sz w:val="24"/>
          <w:szCs w:val="24"/>
        </w:rPr>
        <w:t>]</w:t>
      </w:r>
      <w:r w:rsidRPr="00846D1C">
        <w:rPr>
          <w:rFonts w:ascii="Times New Roman" w:hAnsi="Times New Roman" w:cs="Times New Roman"/>
          <w:sz w:val="24"/>
          <w:szCs w:val="24"/>
        </w:rPr>
        <w:t xml:space="preserve">. </w:t>
      </w:r>
      <w:r w:rsidRPr="00846D1C">
        <w:rPr>
          <w:rFonts w:ascii="Times New Roman" w:eastAsia="Times New Roman" w:hAnsi="Times New Roman" w:cs="Times New Roman"/>
          <w:sz w:val="24"/>
          <w:szCs w:val="24"/>
        </w:rPr>
        <w:t>All analyses were performed in triplicate.</w:t>
      </w:r>
    </w:p>
    <w:p w14:paraId="011BFB48" w14:textId="77777777" w:rsidR="00CD1D05" w:rsidRPr="00846D1C" w:rsidRDefault="00CD1D05" w:rsidP="00CD1D05">
      <w:pPr>
        <w:spacing w:after="0" w:line="480" w:lineRule="auto"/>
        <w:jc w:val="both"/>
        <w:rPr>
          <w:rFonts w:ascii="Times New Roman" w:eastAsia="Times New Roman" w:hAnsi="Times New Roman" w:cs="Times New Roman"/>
          <w:sz w:val="24"/>
          <w:szCs w:val="24"/>
        </w:rPr>
      </w:pPr>
      <w:r w:rsidRPr="00846D1C">
        <w:rPr>
          <w:rFonts w:ascii="Times New Roman" w:eastAsia="Times New Roman" w:hAnsi="Times New Roman" w:cs="Times New Roman"/>
          <w:sz w:val="24"/>
          <w:szCs w:val="24"/>
        </w:rPr>
        <w:t xml:space="preserve"> 2.4 Calorimetric determination</w:t>
      </w:r>
    </w:p>
    <w:p w14:paraId="2983B4BA" w14:textId="735AB12D" w:rsidR="00CD1D05" w:rsidRPr="00846D1C" w:rsidRDefault="00CD1D05" w:rsidP="00CD1D05">
      <w:pPr>
        <w:spacing w:line="480" w:lineRule="auto"/>
        <w:ind w:firstLine="720"/>
        <w:jc w:val="both"/>
        <w:rPr>
          <w:rFonts w:ascii="Times New Roman" w:eastAsia="Times New Roman" w:hAnsi="Times New Roman" w:cs="Times New Roman"/>
          <w:sz w:val="24"/>
          <w:szCs w:val="24"/>
        </w:rPr>
      </w:pPr>
      <w:r w:rsidRPr="00846D1C">
        <w:rPr>
          <w:rFonts w:ascii="Times New Roman" w:eastAsia="Times New Roman" w:hAnsi="Times New Roman" w:cs="Times New Roman"/>
          <w:sz w:val="24"/>
          <w:szCs w:val="24"/>
        </w:rPr>
        <w:t>The calorific value of the petiole of</w:t>
      </w:r>
      <w:r w:rsidRPr="00846D1C">
        <w:rPr>
          <w:rFonts w:ascii="Times New Roman" w:eastAsia="Times New Roman" w:hAnsi="Times New Roman" w:cs="Times New Roman"/>
          <w:i/>
          <w:iCs/>
          <w:sz w:val="24"/>
          <w:szCs w:val="24"/>
        </w:rPr>
        <w:t xml:space="preserve"> V. amazonica</w:t>
      </w:r>
      <w:r w:rsidRPr="00846D1C">
        <w:rPr>
          <w:rFonts w:ascii="Times New Roman" w:eastAsia="Times New Roman" w:hAnsi="Times New Roman" w:cs="Times New Roman"/>
          <w:sz w:val="24"/>
          <w:szCs w:val="24"/>
        </w:rPr>
        <w:t xml:space="preserve"> was determined using an oxygen bomb calorimeter (C200, IKA Calorimeters, Wilmington, USA</w:t>
      </w:r>
      <w:r w:rsidRPr="009B03F8">
        <w:rPr>
          <w:rFonts w:ascii="Times New Roman" w:eastAsia="Times New Roman" w:hAnsi="Times New Roman" w:cs="Times New Roman"/>
          <w:sz w:val="24"/>
          <w:szCs w:val="24"/>
        </w:rPr>
        <w:t>)</w:t>
      </w:r>
      <w:r w:rsidRPr="00846D1C">
        <w:rPr>
          <w:rFonts w:ascii="Times New Roman" w:eastAsia="Times New Roman" w:hAnsi="Times New Roman" w:cs="Times New Roman"/>
          <w:color w:val="8496B0" w:themeColor="text2" w:themeTint="99"/>
          <w:sz w:val="24"/>
          <w:szCs w:val="24"/>
        </w:rPr>
        <w:t xml:space="preserve"> </w:t>
      </w:r>
      <w:r w:rsidRPr="00846D1C">
        <w:rPr>
          <w:rFonts w:ascii="Times New Roman" w:eastAsia="Times New Roman" w:hAnsi="Times New Roman" w:cs="Times New Roman"/>
          <w:sz w:val="24"/>
          <w:szCs w:val="24"/>
        </w:rPr>
        <w:t xml:space="preserve">according to ASTM </w:t>
      </w:r>
      <w:r w:rsidRPr="009949D0">
        <w:rPr>
          <w:rFonts w:ascii="Times New Roman" w:eastAsia="Times New Roman" w:hAnsi="Times New Roman" w:cs="Times New Roman"/>
          <w:sz w:val="24"/>
          <w:szCs w:val="24"/>
        </w:rPr>
        <w:t>D5468-95</w:t>
      </w:r>
      <w:r>
        <w:rPr>
          <w:rFonts w:ascii="Times New Roman" w:eastAsia="Times New Roman" w:hAnsi="Times New Roman" w:cs="Times New Roman"/>
          <w:sz w:val="24"/>
          <w:szCs w:val="24"/>
        </w:rPr>
        <w:t xml:space="preserve"> </w:t>
      </w:r>
      <w:r w:rsidR="00FE7594">
        <w:rPr>
          <w:rFonts w:ascii="Times New Roman" w:eastAsia="Times New Roman" w:hAnsi="Times New Roman" w:cs="Times New Roman"/>
          <w:sz w:val="24"/>
          <w:szCs w:val="24"/>
        </w:rPr>
        <w:t>[</w:t>
      </w:r>
      <w:r>
        <w:rPr>
          <w:rFonts w:ascii="Times New Roman" w:eastAsia="Times New Roman" w:hAnsi="Times New Roman" w:cs="Times New Roman"/>
          <w:sz w:val="24"/>
          <w:szCs w:val="24"/>
        </w:rPr>
        <w:t>6</w:t>
      </w:r>
      <w:r w:rsidR="00FE7594">
        <w:rPr>
          <w:rFonts w:ascii="Times New Roman" w:eastAsia="Times New Roman" w:hAnsi="Times New Roman" w:cs="Times New Roman"/>
          <w:sz w:val="24"/>
          <w:szCs w:val="24"/>
        </w:rPr>
        <w:t>]</w:t>
      </w:r>
      <w:r w:rsidRPr="00846D1C">
        <w:rPr>
          <w:rFonts w:ascii="Times New Roman" w:eastAsia="Times New Roman" w:hAnsi="Times New Roman" w:cs="Times New Roman"/>
          <w:sz w:val="24"/>
          <w:szCs w:val="24"/>
        </w:rPr>
        <w:t xml:space="preserve">. Benzoic acid was used as the standard. Subsequently, 0.5 g of the sample, previously compressed, was weighed in a combustion crucible and analyzed while in the equipment. Samples were analyzed in quintuplicate. Complementarily, </w:t>
      </w:r>
      <w:r w:rsidRPr="00846D1C">
        <w:rPr>
          <w:rStyle w:val="Refdecomentrio2"/>
          <w:rFonts w:ascii="Times New Roman" w:hAnsi="Times New Roman" w:cs="Times New Roman"/>
          <w:sz w:val="24"/>
          <w:szCs w:val="24"/>
        </w:rPr>
        <w:t>the caloric value was determined by the sum of the products of the lipid values multiplied by 9 kcal g</w:t>
      </w:r>
      <w:r w:rsidRPr="00846D1C">
        <w:rPr>
          <w:rFonts w:ascii="Times New Roman" w:hAnsi="Times New Roman" w:cs="Times New Roman"/>
          <w:bCs/>
          <w:sz w:val="24"/>
          <w:szCs w:val="24"/>
          <w:vertAlign w:val="superscript"/>
        </w:rPr>
        <w:t>-1</w:t>
      </w:r>
      <w:r w:rsidRPr="00846D1C">
        <w:rPr>
          <w:rStyle w:val="Refdecomentrio2"/>
          <w:rFonts w:ascii="Times New Roman" w:hAnsi="Times New Roman" w:cs="Times New Roman"/>
          <w:sz w:val="24"/>
          <w:szCs w:val="24"/>
        </w:rPr>
        <w:t>, carbohydrates and proteins by 4 kcal g</w:t>
      </w:r>
      <w:r w:rsidRPr="00846D1C">
        <w:rPr>
          <w:rFonts w:ascii="Times New Roman" w:hAnsi="Times New Roman" w:cs="Times New Roman"/>
          <w:bCs/>
          <w:sz w:val="24"/>
          <w:szCs w:val="24"/>
          <w:vertAlign w:val="superscript"/>
        </w:rPr>
        <w:t>-1</w:t>
      </w:r>
      <w:r w:rsidRPr="00846D1C">
        <w:rPr>
          <w:rFonts w:ascii="Times New Roman" w:hAnsi="Times New Roman" w:cs="Times New Roman"/>
          <w:bCs/>
          <w:sz w:val="24"/>
          <w:szCs w:val="24"/>
        </w:rPr>
        <w:t xml:space="preserve">, as recommended by </w:t>
      </w:r>
      <w:r>
        <w:rPr>
          <w:rFonts w:ascii="Times New Roman" w:hAnsi="Times New Roman" w:cs="Times New Roman"/>
          <w:bCs/>
          <w:sz w:val="24"/>
          <w:szCs w:val="24"/>
        </w:rPr>
        <w:t xml:space="preserve">Brazilian </w:t>
      </w:r>
      <w:r w:rsidRPr="00CD1D05">
        <w:rPr>
          <w:rFonts w:ascii="Times New Roman" w:hAnsi="Times New Roman" w:cs="Times New Roman"/>
          <w:bCs/>
          <w:sz w:val="24"/>
          <w:szCs w:val="24"/>
        </w:rPr>
        <w:t>National Health Surveillance Agency</w:t>
      </w:r>
      <w:r>
        <w:rPr>
          <w:rFonts w:ascii="Times New Roman" w:hAnsi="Times New Roman" w:cs="Times New Roman"/>
          <w:bCs/>
          <w:sz w:val="24"/>
          <w:szCs w:val="24"/>
        </w:rPr>
        <w:t xml:space="preserve"> (</w:t>
      </w:r>
      <w:r w:rsidRPr="00846D1C">
        <w:rPr>
          <w:rFonts w:ascii="Times New Roman" w:hAnsi="Times New Roman" w:cs="Times New Roman"/>
          <w:bCs/>
          <w:sz w:val="24"/>
          <w:szCs w:val="24"/>
        </w:rPr>
        <w:t>ANVISA</w:t>
      </w:r>
      <w:r>
        <w:rPr>
          <w:rFonts w:ascii="Times New Roman" w:hAnsi="Times New Roman" w:cs="Times New Roman"/>
          <w:bCs/>
          <w:sz w:val="24"/>
          <w:szCs w:val="24"/>
        </w:rPr>
        <w:t>)</w:t>
      </w:r>
      <w:r w:rsidRPr="00846D1C">
        <w:rPr>
          <w:rFonts w:ascii="Times New Roman" w:hAnsi="Times New Roman" w:cs="Times New Roman"/>
          <w:bCs/>
          <w:sz w:val="24"/>
          <w:szCs w:val="24"/>
        </w:rPr>
        <w:t xml:space="preserve"> </w:t>
      </w:r>
      <w:r w:rsidR="00FE7594">
        <w:rPr>
          <w:rFonts w:ascii="Times New Roman" w:hAnsi="Times New Roman" w:cs="Times New Roman"/>
          <w:bCs/>
          <w:sz w:val="24"/>
          <w:szCs w:val="24"/>
        </w:rPr>
        <w:t>[</w:t>
      </w:r>
      <w:r>
        <w:rPr>
          <w:rFonts w:ascii="Times New Roman" w:hAnsi="Times New Roman" w:cs="Times New Roman"/>
          <w:bCs/>
          <w:sz w:val="24"/>
          <w:szCs w:val="24"/>
        </w:rPr>
        <w:t>7</w:t>
      </w:r>
      <w:r w:rsidR="00FE7594">
        <w:rPr>
          <w:rFonts w:ascii="Times New Roman" w:hAnsi="Times New Roman" w:cs="Times New Roman"/>
          <w:bCs/>
          <w:sz w:val="24"/>
          <w:szCs w:val="24"/>
        </w:rPr>
        <w:t>]</w:t>
      </w:r>
      <w:r w:rsidRPr="00846D1C">
        <w:rPr>
          <w:rFonts w:ascii="Times New Roman" w:hAnsi="Times New Roman" w:cs="Times New Roman"/>
          <w:bCs/>
          <w:sz w:val="24"/>
          <w:szCs w:val="24"/>
        </w:rPr>
        <w:t>.</w:t>
      </w:r>
    </w:p>
    <w:p w14:paraId="3CB9068F" w14:textId="77777777" w:rsidR="00CD1D05" w:rsidRPr="00846D1C" w:rsidRDefault="00CD1D05" w:rsidP="00CD1D05">
      <w:pPr>
        <w:spacing w:after="0" w:line="480" w:lineRule="auto"/>
        <w:jc w:val="both"/>
        <w:rPr>
          <w:rFonts w:ascii="Times New Roman" w:eastAsia="Times New Roman" w:hAnsi="Times New Roman" w:cs="Times New Roman"/>
          <w:sz w:val="24"/>
          <w:szCs w:val="24"/>
        </w:rPr>
      </w:pPr>
      <w:r w:rsidRPr="00846D1C">
        <w:rPr>
          <w:rFonts w:ascii="Times New Roman" w:eastAsia="Times New Roman" w:hAnsi="Times New Roman" w:cs="Times New Roman"/>
          <w:sz w:val="24"/>
          <w:szCs w:val="24"/>
        </w:rPr>
        <w:t>2.5 Preparation of extracts and solvent partition</w:t>
      </w:r>
    </w:p>
    <w:p w14:paraId="213D69C4" w14:textId="77777777" w:rsidR="00CD1D05" w:rsidRPr="00846D1C" w:rsidRDefault="00CD1D05" w:rsidP="00CD1D05">
      <w:pPr>
        <w:spacing w:after="0" w:line="480" w:lineRule="auto"/>
        <w:jc w:val="both"/>
        <w:rPr>
          <w:rFonts w:ascii="Times New Roman" w:eastAsia="Times New Roman" w:hAnsi="Times New Roman" w:cs="Times New Roman"/>
          <w:sz w:val="24"/>
          <w:szCs w:val="24"/>
        </w:rPr>
      </w:pPr>
      <w:r w:rsidRPr="00846D1C">
        <w:rPr>
          <w:rFonts w:ascii="Times New Roman" w:eastAsia="Times New Roman" w:hAnsi="Times New Roman" w:cs="Times New Roman"/>
          <w:sz w:val="24"/>
          <w:szCs w:val="24"/>
        </w:rPr>
        <w:tab/>
        <w:t>Initially, the petioles were dried in a sterilization oven (45 °C/72 h) and were then ground in a knife mill (TE-393/2-M, Tecnal</w:t>
      </w:r>
      <w:r w:rsidRPr="00846D1C">
        <w:rPr>
          <w:rFonts w:ascii="Times New Roman" w:eastAsia="Times New Roman" w:hAnsi="Times New Roman" w:cs="Times New Roman"/>
          <w:sz w:val="24"/>
          <w:szCs w:val="24"/>
          <w:vertAlign w:val="superscript"/>
        </w:rPr>
        <w:t>®</w:t>
      </w:r>
      <w:r w:rsidRPr="00846D1C">
        <w:rPr>
          <w:rFonts w:ascii="Times New Roman" w:eastAsia="Times New Roman" w:hAnsi="Times New Roman" w:cs="Times New Roman"/>
          <w:sz w:val="24"/>
          <w:szCs w:val="24"/>
        </w:rPr>
        <w:t xml:space="preserve">, Piracicaba, </w:t>
      </w:r>
      <w:r>
        <w:rPr>
          <w:rFonts w:ascii="Times New Roman" w:eastAsia="Times New Roman" w:hAnsi="Times New Roman" w:cs="Times New Roman"/>
          <w:sz w:val="24"/>
          <w:szCs w:val="24"/>
        </w:rPr>
        <w:t>SP</w:t>
      </w:r>
      <w:r w:rsidRPr="00846D1C">
        <w:rPr>
          <w:rFonts w:ascii="Times New Roman" w:eastAsia="Times New Roman" w:hAnsi="Times New Roman" w:cs="Times New Roman"/>
          <w:sz w:val="24"/>
          <w:szCs w:val="24"/>
        </w:rPr>
        <w:t xml:space="preserve">, Brazil). The extracts were </w:t>
      </w:r>
      <w:r w:rsidRPr="00846D1C">
        <w:rPr>
          <w:rFonts w:ascii="Times New Roman" w:eastAsia="Times New Roman" w:hAnsi="Times New Roman" w:cs="Times New Roman"/>
          <w:sz w:val="24"/>
          <w:szCs w:val="24"/>
        </w:rPr>
        <w:lastRenderedPageBreak/>
        <w:t xml:space="preserve">prepared </w:t>
      </w:r>
      <w:r>
        <w:rPr>
          <w:rFonts w:ascii="Times New Roman" w:eastAsia="Times New Roman" w:hAnsi="Times New Roman" w:cs="Times New Roman"/>
          <w:sz w:val="24"/>
          <w:szCs w:val="24"/>
        </w:rPr>
        <w:t>using the</w:t>
      </w:r>
      <w:r w:rsidRPr="00846D1C">
        <w:rPr>
          <w:rFonts w:ascii="Times New Roman" w:eastAsia="Times New Roman" w:hAnsi="Times New Roman" w:cs="Times New Roman"/>
          <w:sz w:val="24"/>
          <w:szCs w:val="24"/>
        </w:rPr>
        <w:t xml:space="preserve"> Soxhlet extraction method </w:t>
      </w:r>
      <w:r>
        <w:rPr>
          <w:rFonts w:ascii="Times New Roman" w:eastAsia="Times New Roman" w:hAnsi="Times New Roman" w:cs="Times New Roman"/>
          <w:sz w:val="24"/>
          <w:szCs w:val="24"/>
        </w:rPr>
        <w:t>and</w:t>
      </w:r>
      <w:r w:rsidRPr="00846D1C">
        <w:rPr>
          <w:rFonts w:ascii="Times New Roman" w:eastAsia="Times New Roman" w:hAnsi="Times New Roman" w:cs="Times New Roman"/>
          <w:sz w:val="24"/>
          <w:szCs w:val="24"/>
        </w:rPr>
        <w:t xml:space="preserve"> a series of organic solvents</w:t>
      </w:r>
      <w:r>
        <w:rPr>
          <w:rFonts w:ascii="Times New Roman" w:eastAsia="Times New Roman" w:hAnsi="Times New Roman" w:cs="Times New Roman"/>
          <w:sz w:val="24"/>
          <w:szCs w:val="24"/>
        </w:rPr>
        <w:t>, which</w:t>
      </w:r>
      <w:r w:rsidRPr="00846D1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began</w:t>
      </w:r>
      <w:r w:rsidRPr="00846D1C">
        <w:rPr>
          <w:rFonts w:ascii="Times New Roman" w:eastAsia="Times New Roman" w:hAnsi="Times New Roman" w:cs="Times New Roman"/>
          <w:sz w:val="24"/>
          <w:szCs w:val="24"/>
        </w:rPr>
        <w:t xml:space="preserve"> with hexane and </w:t>
      </w:r>
      <w:r>
        <w:rPr>
          <w:rFonts w:ascii="Times New Roman" w:eastAsia="Times New Roman" w:hAnsi="Times New Roman" w:cs="Times New Roman"/>
          <w:sz w:val="24"/>
          <w:szCs w:val="24"/>
        </w:rPr>
        <w:t>ended</w:t>
      </w:r>
      <w:r w:rsidRPr="00846D1C">
        <w:rPr>
          <w:rFonts w:ascii="Times New Roman" w:eastAsia="Times New Roman" w:hAnsi="Times New Roman" w:cs="Times New Roman"/>
          <w:sz w:val="24"/>
          <w:szCs w:val="24"/>
        </w:rPr>
        <w:t xml:space="preserve"> with methanol, with solvent replacement every 6 hours (total 3 times). The extracts were concentrated in a rotary evaporator (801 model, Fisatom, São Paulo, SP, Brazil), and the dry mass weight was determined in order to calculate the extractive content. Then, the methanolic extract (MeOH) was partitioned using the solvents hexane (Hex), chloroform (Chl), and ethyl acetate (EtOAc). The obtained fractions were concentrated using a rotary evaporator. </w:t>
      </w:r>
    </w:p>
    <w:p w14:paraId="4C0F3CD9" w14:textId="77777777" w:rsidR="00CD1D05" w:rsidRPr="00846D1C" w:rsidRDefault="00CD1D05" w:rsidP="00CD1D05">
      <w:pPr>
        <w:spacing w:line="480" w:lineRule="auto"/>
        <w:jc w:val="both"/>
        <w:rPr>
          <w:rFonts w:ascii="Times New Roman" w:eastAsia="Times New Roman" w:hAnsi="Times New Roman" w:cs="Times New Roman"/>
          <w:sz w:val="24"/>
          <w:szCs w:val="24"/>
        </w:rPr>
      </w:pPr>
      <w:r w:rsidRPr="00846D1C">
        <w:rPr>
          <w:rFonts w:ascii="Times New Roman" w:eastAsia="Times New Roman" w:hAnsi="Times New Roman" w:cs="Times New Roman"/>
          <w:sz w:val="24"/>
          <w:szCs w:val="24"/>
        </w:rPr>
        <w:t>2.6 Phenolic content</w:t>
      </w:r>
    </w:p>
    <w:p w14:paraId="7F9E36F5" w14:textId="4C4175A5" w:rsidR="00CD1D05" w:rsidRPr="00846D1C" w:rsidRDefault="00CD1D05" w:rsidP="00CD1D05">
      <w:pPr>
        <w:spacing w:line="480" w:lineRule="auto"/>
        <w:ind w:firstLine="709"/>
        <w:jc w:val="both"/>
        <w:rPr>
          <w:rFonts w:ascii="Times New Roman" w:eastAsia="Times New Roman" w:hAnsi="Times New Roman" w:cs="Times New Roman"/>
          <w:sz w:val="24"/>
          <w:szCs w:val="24"/>
        </w:rPr>
      </w:pPr>
      <w:r w:rsidRPr="00846D1C">
        <w:rPr>
          <w:rFonts w:ascii="Times New Roman" w:eastAsia="Times New Roman" w:hAnsi="Times New Roman" w:cs="Times New Roman"/>
          <w:sz w:val="24"/>
          <w:szCs w:val="24"/>
        </w:rPr>
        <w:t xml:space="preserve">Total phenol content (TPC) was determined for the methanolic extract and solvent-partition fractions.  The procedure was performed using a colorimetric assay with the Folin-Ciocalteu reagent </w:t>
      </w:r>
      <w:r w:rsidR="00FE7594">
        <w:rPr>
          <w:rFonts w:ascii="Times New Roman" w:eastAsia="Times New Roman" w:hAnsi="Times New Roman" w:cs="Times New Roman"/>
          <w:sz w:val="24"/>
          <w:szCs w:val="24"/>
        </w:rPr>
        <w:t>[</w:t>
      </w:r>
      <w:r>
        <w:rPr>
          <w:rFonts w:ascii="Times New Roman" w:eastAsia="Times New Roman" w:hAnsi="Times New Roman" w:cs="Times New Roman"/>
          <w:sz w:val="24"/>
          <w:szCs w:val="24"/>
        </w:rPr>
        <w:t>8</w:t>
      </w:r>
      <w:r w:rsidR="00FE7594">
        <w:rPr>
          <w:rFonts w:ascii="Times New Roman" w:eastAsia="Times New Roman" w:hAnsi="Times New Roman" w:cs="Times New Roman"/>
          <w:sz w:val="24"/>
          <w:szCs w:val="24"/>
        </w:rPr>
        <w:t>]</w:t>
      </w:r>
      <w:r w:rsidRPr="00846D1C">
        <w:rPr>
          <w:rFonts w:ascii="Times New Roman" w:eastAsia="Times New Roman" w:hAnsi="Times New Roman" w:cs="Times New Roman"/>
          <w:sz w:val="24"/>
          <w:szCs w:val="24"/>
        </w:rPr>
        <w:t>. For the colorimetric reaction, 200 µL of the sample (1.0 mg mL</w:t>
      </w:r>
      <w:r w:rsidRPr="00846D1C">
        <w:rPr>
          <w:rFonts w:ascii="Times New Roman" w:eastAsia="Times New Roman" w:hAnsi="Times New Roman" w:cs="Times New Roman"/>
          <w:sz w:val="24"/>
          <w:szCs w:val="24"/>
          <w:vertAlign w:val="superscript"/>
        </w:rPr>
        <w:t>-1</w:t>
      </w:r>
      <w:r w:rsidRPr="00846D1C">
        <w:rPr>
          <w:rFonts w:ascii="Times New Roman" w:eastAsia="Times New Roman" w:hAnsi="Times New Roman" w:cs="Times New Roman"/>
          <w:sz w:val="24"/>
          <w:szCs w:val="24"/>
        </w:rPr>
        <w:t xml:space="preserve"> in methanol HPLC) was transferred to amber vials and 1.50 mL of Folin-Ciocalteu reagent (10.0% v/v in Milli-Q water) were added. After five minutes, 1.50 mL of sodium bicarbonate buffer solution (6.0 %, w/w) were added. The samples were incubated for 90 minutes in the absence of light. Absorbance was then measured in a UV/visible spectrophotometer (Femto 800xi, São Paulo, SP, Brazil) at 725 nm. Milli-Q water was used as a blank. The TPC was determined using a standard curve prepared using gallic acid </w:t>
      </w:r>
      <w:r w:rsidRPr="00846D1C">
        <w:rPr>
          <w:rFonts w:ascii="Times New Roman" w:hAnsi="Times New Roman" w:cs="Times New Roman"/>
          <w:sz w:val="24"/>
          <w:szCs w:val="24"/>
        </w:rPr>
        <w:t>(10-150 µg mL</w:t>
      </w:r>
      <w:r w:rsidRPr="00846D1C">
        <w:rPr>
          <w:rFonts w:ascii="Times New Roman" w:hAnsi="Times New Roman" w:cs="Times New Roman"/>
          <w:bCs/>
          <w:sz w:val="24"/>
          <w:szCs w:val="24"/>
          <w:vertAlign w:val="superscript"/>
        </w:rPr>
        <w:t>-1</w:t>
      </w:r>
      <w:r w:rsidRPr="00846D1C">
        <w:rPr>
          <w:rFonts w:ascii="Times New Roman" w:hAnsi="Times New Roman" w:cs="Times New Roman"/>
          <w:sz w:val="24"/>
          <w:szCs w:val="24"/>
        </w:rPr>
        <w:t xml:space="preserve">) to express the result in terms of milligrams of gallic acid equivalent (GAE) per 100 g of dry mass extract.  </w:t>
      </w:r>
    </w:p>
    <w:p w14:paraId="73AF44F2" w14:textId="77777777" w:rsidR="00CD1D05" w:rsidRPr="00846D1C" w:rsidRDefault="00CD1D05" w:rsidP="00CD1D05">
      <w:pPr>
        <w:spacing w:after="0" w:line="480" w:lineRule="auto"/>
        <w:jc w:val="both"/>
        <w:rPr>
          <w:rFonts w:ascii="Times New Roman" w:eastAsia="Times New Roman" w:hAnsi="Times New Roman" w:cs="Times New Roman"/>
          <w:sz w:val="24"/>
          <w:szCs w:val="24"/>
        </w:rPr>
      </w:pPr>
      <w:r w:rsidRPr="00846D1C">
        <w:rPr>
          <w:rFonts w:ascii="Times New Roman" w:eastAsia="Times New Roman" w:hAnsi="Times New Roman" w:cs="Times New Roman"/>
          <w:sz w:val="24"/>
          <w:szCs w:val="24"/>
        </w:rPr>
        <w:t>2.7 Antioxidant activity (DPPH radical scavenging assay)</w:t>
      </w:r>
    </w:p>
    <w:p w14:paraId="25F4E024" w14:textId="7A616245" w:rsidR="00CD1D05" w:rsidRPr="00846D1C" w:rsidRDefault="00CD1D05" w:rsidP="00CD1D05">
      <w:pPr>
        <w:spacing w:after="0" w:line="480" w:lineRule="auto"/>
        <w:jc w:val="both"/>
        <w:rPr>
          <w:rFonts w:ascii="Times New Roman" w:eastAsia="Times New Roman" w:hAnsi="Times New Roman" w:cs="Times New Roman"/>
          <w:sz w:val="24"/>
          <w:szCs w:val="24"/>
        </w:rPr>
      </w:pPr>
      <w:r w:rsidRPr="00846D1C">
        <w:rPr>
          <w:rFonts w:ascii="Times New Roman" w:eastAsia="Times New Roman" w:hAnsi="Times New Roman" w:cs="Times New Roman"/>
          <w:sz w:val="24"/>
          <w:szCs w:val="24"/>
        </w:rPr>
        <w:tab/>
        <w:t xml:space="preserve">The evaluation of free radical sequestration capacity was performed using the method described by Brand-Williams </w:t>
      </w:r>
      <w:r w:rsidR="00FE7594">
        <w:rPr>
          <w:rFonts w:ascii="Times New Roman" w:eastAsia="Times New Roman" w:hAnsi="Times New Roman" w:cs="Times New Roman"/>
          <w:sz w:val="24"/>
          <w:szCs w:val="24"/>
        </w:rPr>
        <w:t>[</w:t>
      </w:r>
      <w:r>
        <w:rPr>
          <w:rFonts w:ascii="Times New Roman" w:eastAsia="Times New Roman" w:hAnsi="Times New Roman" w:cs="Times New Roman"/>
          <w:sz w:val="24"/>
          <w:szCs w:val="24"/>
        </w:rPr>
        <w:t>9</w:t>
      </w:r>
      <w:r w:rsidR="00FE7594">
        <w:rPr>
          <w:rFonts w:ascii="Times New Roman" w:eastAsia="Times New Roman" w:hAnsi="Times New Roman" w:cs="Times New Roman"/>
          <w:sz w:val="24"/>
          <w:szCs w:val="24"/>
        </w:rPr>
        <w:t>]</w:t>
      </w:r>
      <w:r w:rsidRPr="00846D1C">
        <w:rPr>
          <w:rFonts w:ascii="Times New Roman" w:eastAsia="Times New Roman" w:hAnsi="Times New Roman" w:cs="Times New Roman"/>
          <w:sz w:val="24"/>
          <w:szCs w:val="24"/>
        </w:rPr>
        <w:t xml:space="preserve"> which uses the free radical 1,1-diphenyl-2-picrylhydrazyl (DPPH). The experiment was performed using 96-well microplates.</w:t>
      </w:r>
    </w:p>
    <w:p w14:paraId="3E479208" w14:textId="77777777" w:rsidR="00CD1D05" w:rsidRPr="00846D1C" w:rsidRDefault="00CD1D05" w:rsidP="00CD1D05">
      <w:pPr>
        <w:spacing w:line="480" w:lineRule="auto"/>
        <w:ind w:firstLine="708"/>
        <w:jc w:val="both"/>
        <w:rPr>
          <w:rFonts w:ascii="Times New Roman" w:eastAsia="Times New Roman" w:hAnsi="Times New Roman" w:cs="Times New Roman"/>
          <w:sz w:val="24"/>
          <w:szCs w:val="24"/>
        </w:rPr>
      </w:pPr>
      <w:r w:rsidRPr="00846D1C">
        <w:rPr>
          <w:rFonts w:ascii="Times New Roman" w:eastAsia="Times New Roman" w:hAnsi="Times New Roman" w:cs="Times New Roman"/>
          <w:sz w:val="24"/>
          <w:szCs w:val="24"/>
        </w:rPr>
        <w:t>Samples (methanolic extract and solvent-partition fractions) were diluted in HPLC-grade methanol (1,000 µg mL</w:t>
      </w:r>
      <w:r w:rsidRPr="00846D1C">
        <w:rPr>
          <w:rFonts w:ascii="Times New Roman" w:eastAsia="Times New Roman" w:hAnsi="Times New Roman" w:cs="Times New Roman"/>
          <w:sz w:val="24"/>
          <w:szCs w:val="24"/>
          <w:vertAlign w:val="superscript"/>
        </w:rPr>
        <w:t>-1</w:t>
      </w:r>
      <w:r w:rsidRPr="00846D1C">
        <w:rPr>
          <w:rFonts w:ascii="Times New Roman" w:eastAsia="Times New Roman" w:hAnsi="Times New Roman" w:cs="Times New Roman"/>
          <w:sz w:val="24"/>
          <w:szCs w:val="24"/>
        </w:rPr>
        <w:t xml:space="preserve">), then five dilutions were prepared from each </w:t>
      </w:r>
      <w:r w:rsidRPr="00846D1C">
        <w:rPr>
          <w:rFonts w:ascii="Times New Roman" w:eastAsia="Times New Roman" w:hAnsi="Times New Roman" w:cs="Times New Roman"/>
          <w:sz w:val="24"/>
          <w:szCs w:val="24"/>
        </w:rPr>
        <w:lastRenderedPageBreak/>
        <w:t>sample stock solution (12.5-1,000 µg mL</w:t>
      </w:r>
      <w:r w:rsidRPr="00846D1C">
        <w:rPr>
          <w:rFonts w:ascii="Times New Roman" w:eastAsia="Times New Roman" w:hAnsi="Times New Roman" w:cs="Times New Roman"/>
          <w:sz w:val="24"/>
          <w:szCs w:val="24"/>
          <w:vertAlign w:val="superscript"/>
        </w:rPr>
        <w:t>-1</w:t>
      </w:r>
      <w:r w:rsidRPr="00846D1C">
        <w:rPr>
          <w:rFonts w:ascii="Times New Roman" w:eastAsia="Times New Roman" w:hAnsi="Times New Roman" w:cs="Times New Roman"/>
          <w:sz w:val="24"/>
          <w:szCs w:val="24"/>
        </w:rPr>
        <w:t>).  DPPH was diluted in HPLC-grade methanol (100 µM) and the same solvent was used as a blank. Gallic acid (3,4,5-trihydroxybenzoic acid) was used as a reference standard for antioxidant activity. A volume of 2.5 mL of each sample and the controls was added to 1.0 mL of DPPH solution and then incubated for 30 minutes in the absence of light. The curves of the absorbance measurements as a function of extract concentration (working range) were prepared in triplicate. The absorbance of each sample was read at 515 nm in an absorbance microplate reader (ELx808</w:t>
      </w:r>
      <w:r w:rsidRPr="00846D1C">
        <w:rPr>
          <w:rFonts w:ascii="Times New Roman" w:eastAsia="Times New Roman" w:hAnsi="Times New Roman" w:cs="Times New Roman"/>
          <w:sz w:val="24"/>
          <w:szCs w:val="24"/>
          <w:vertAlign w:val="superscript"/>
        </w:rPr>
        <w:t>TM</w:t>
      </w:r>
      <w:r w:rsidRPr="00846D1C">
        <w:rPr>
          <w:rFonts w:ascii="Times New Roman" w:eastAsia="Times New Roman" w:hAnsi="Times New Roman" w:cs="Times New Roman"/>
          <w:sz w:val="24"/>
          <w:szCs w:val="24"/>
        </w:rPr>
        <w:t>, BioTek, Winooski, Vermont, USA) and the results were expressed as the inhibitory concentration (IC</w:t>
      </w:r>
      <w:r w:rsidRPr="00846D1C">
        <w:rPr>
          <w:rFonts w:ascii="Times New Roman" w:eastAsia="Times New Roman" w:hAnsi="Times New Roman" w:cs="Times New Roman"/>
          <w:sz w:val="24"/>
          <w:szCs w:val="24"/>
          <w:vertAlign w:val="subscript"/>
        </w:rPr>
        <w:t>50</w:t>
      </w:r>
      <w:r w:rsidRPr="00846D1C">
        <w:rPr>
          <w:rFonts w:ascii="Times New Roman" w:eastAsia="Times New Roman" w:hAnsi="Times New Roman" w:cs="Times New Roman"/>
          <w:sz w:val="24"/>
          <w:szCs w:val="24"/>
        </w:rPr>
        <w:t xml:space="preserve"> µg mL</w:t>
      </w:r>
      <w:r w:rsidRPr="00846D1C">
        <w:rPr>
          <w:rFonts w:ascii="Times New Roman" w:eastAsia="Times New Roman" w:hAnsi="Times New Roman" w:cs="Times New Roman"/>
          <w:sz w:val="24"/>
          <w:szCs w:val="24"/>
          <w:vertAlign w:val="superscript"/>
        </w:rPr>
        <w:t>-1</w:t>
      </w:r>
      <w:r w:rsidRPr="00846D1C">
        <w:rPr>
          <w:rFonts w:ascii="Times New Roman" w:eastAsia="Times New Roman" w:hAnsi="Times New Roman" w:cs="Times New Roman"/>
          <w:sz w:val="24"/>
          <w:szCs w:val="24"/>
        </w:rPr>
        <w:t>) required to decrease the initial concentration of DPPH by 50%.</w:t>
      </w:r>
    </w:p>
    <w:p w14:paraId="5ABA0549" w14:textId="77777777" w:rsidR="00CD1D05" w:rsidRPr="00846D1C" w:rsidRDefault="00CD1D05" w:rsidP="00CD1D05">
      <w:pPr>
        <w:spacing w:after="0" w:line="480" w:lineRule="auto"/>
        <w:jc w:val="both"/>
        <w:rPr>
          <w:rFonts w:ascii="Times New Roman" w:eastAsia="Times New Roman" w:hAnsi="Times New Roman" w:cs="Times New Roman"/>
          <w:sz w:val="24"/>
          <w:szCs w:val="24"/>
        </w:rPr>
      </w:pPr>
      <w:r w:rsidRPr="00846D1C">
        <w:rPr>
          <w:rFonts w:ascii="Times New Roman" w:eastAsia="Times New Roman" w:hAnsi="Times New Roman" w:cs="Times New Roman"/>
          <w:sz w:val="24"/>
          <w:szCs w:val="24"/>
        </w:rPr>
        <w:t>2.8 Phenolic dereplication analysis using LC-DAD-ESI-Q-TOF-MS</w:t>
      </w:r>
    </w:p>
    <w:p w14:paraId="2D69AD31" w14:textId="77777777" w:rsidR="00CD1D05" w:rsidRPr="00846D1C" w:rsidRDefault="00CD1D05" w:rsidP="00CD1D05">
      <w:pPr>
        <w:spacing w:line="480" w:lineRule="auto"/>
        <w:jc w:val="both"/>
        <w:rPr>
          <w:rFonts w:ascii="Times New Roman" w:eastAsia="Times New Roman" w:hAnsi="Times New Roman" w:cs="Times New Roman"/>
          <w:color w:val="8496B0" w:themeColor="text2" w:themeTint="99"/>
          <w:sz w:val="24"/>
          <w:szCs w:val="24"/>
        </w:rPr>
      </w:pPr>
      <w:r w:rsidRPr="00846D1C">
        <w:rPr>
          <w:rFonts w:ascii="Times New Roman" w:eastAsia="Times New Roman" w:hAnsi="Times New Roman" w:cs="Times New Roman"/>
          <w:sz w:val="24"/>
          <w:szCs w:val="24"/>
        </w:rPr>
        <w:tab/>
        <w:t>In this study, a phenolic dereplication method using liquid chromatography coupled with electrospray ionization-quadrupole-time of flight-mass spectrometry (LC-DAD-ESI-Q-TOF-MS) was developed. Identification of the constituents was made based on an in-house library of commercially available standards that were analyzed in an ultra-high-performance liquid chromatograph</w:t>
      </w:r>
      <w:r w:rsidRPr="00846D1C" w:rsidDel="00D0221B">
        <w:rPr>
          <w:rFonts w:ascii="Times New Roman" w:eastAsia="Times New Roman" w:hAnsi="Times New Roman" w:cs="Times New Roman"/>
          <w:sz w:val="24"/>
          <w:szCs w:val="24"/>
        </w:rPr>
        <w:t xml:space="preserve"> </w:t>
      </w:r>
      <w:r w:rsidRPr="00846D1C">
        <w:rPr>
          <w:rFonts w:ascii="Times New Roman" w:eastAsia="Times New Roman" w:hAnsi="Times New Roman" w:cs="Times New Roman"/>
          <w:sz w:val="24"/>
          <w:szCs w:val="24"/>
        </w:rPr>
        <w:t xml:space="preserve">(Shimadzu, Prominence, </w:t>
      </w:r>
      <w:r w:rsidRPr="00846D1C">
        <w:rPr>
          <w:rFonts w:ascii="Times New Roman" w:hAnsi="Times New Roman" w:cs="Times New Roman"/>
          <w:sz w:val="24"/>
          <w:szCs w:val="24"/>
        </w:rPr>
        <w:t>Kyoto, KYO, Japan)</w:t>
      </w:r>
      <w:r w:rsidRPr="00846D1C">
        <w:rPr>
          <w:rFonts w:ascii="Times New Roman" w:eastAsia="Times New Roman" w:hAnsi="Times New Roman" w:cs="Times New Roman"/>
          <w:sz w:val="24"/>
          <w:szCs w:val="24"/>
        </w:rPr>
        <w:t xml:space="preserve">, coupled to a mass spectrometer (Bruker Daltonics, MicroTOF Q-II, Billerica, MA, USA). The phenolic standards and methanolic extract were separated into a PFP (pentafluorophenyl) column (Kinetex, 2.6 µm, 150 × 2.10 mm, C-18, 100 Å) from Phenomenex using a gradient of acetonitrile/formic acid (ACN/HCOOH) 0.1%. The mass spectrometer was calibrated in each elution with a solution of sodium formate. Each sample was analyzed in both positive and negative modes. </w:t>
      </w:r>
    </w:p>
    <w:p w14:paraId="4A260B50" w14:textId="77777777" w:rsidR="00CD1D05" w:rsidRPr="00846D1C" w:rsidRDefault="00CD1D05" w:rsidP="00CD1D05">
      <w:pPr>
        <w:spacing w:line="480" w:lineRule="auto"/>
        <w:jc w:val="both"/>
        <w:rPr>
          <w:rFonts w:ascii="Times New Roman" w:eastAsia="Times New Roman" w:hAnsi="Times New Roman" w:cs="Times New Roman"/>
          <w:sz w:val="24"/>
          <w:szCs w:val="24"/>
        </w:rPr>
      </w:pPr>
      <w:r w:rsidRPr="00846D1C">
        <w:rPr>
          <w:rFonts w:ascii="Times New Roman" w:eastAsia="Times New Roman" w:hAnsi="Times New Roman" w:cs="Times New Roman"/>
          <w:sz w:val="24"/>
          <w:szCs w:val="24"/>
        </w:rPr>
        <w:t>2.9 Statistical analysis</w:t>
      </w:r>
    </w:p>
    <w:p w14:paraId="308CE616" w14:textId="77777777" w:rsidR="00CD1D05" w:rsidRPr="00846D1C" w:rsidRDefault="00CD1D05" w:rsidP="00CD1D05">
      <w:pPr>
        <w:spacing w:line="480" w:lineRule="auto"/>
        <w:jc w:val="both"/>
        <w:rPr>
          <w:rFonts w:ascii="Times New Roman" w:eastAsia="Times New Roman" w:hAnsi="Times New Roman" w:cs="Times New Roman"/>
          <w:sz w:val="24"/>
          <w:szCs w:val="24"/>
        </w:rPr>
      </w:pPr>
      <w:r w:rsidRPr="00846D1C">
        <w:rPr>
          <w:rFonts w:ascii="Times New Roman" w:eastAsia="Times New Roman" w:hAnsi="Times New Roman" w:cs="Times New Roman"/>
          <w:sz w:val="24"/>
          <w:szCs w:val="24"/>
        </w:rPr>
        <w:lastRenderedPageBreak/>
        <w:tab/>
      </w:r>
      <w:r>
        <w:rPr>
          <w:rFonts w:ascii="Times New Roman" w:eastAsia="Times New Roman" w:hAnsi="Times New Roman" w:cs="Times New Roman"/>
          <w:sz w:val="24"/>
          <w:szCs w:val="24"/>
        </w:rPr>
        <w:t>The r</w:t>
      </w:r>
      <w:r w:rsidRPr="00846D1C">
        <w:rPr>
          <w:rFonts w:ascii="Times New Roman" w:eastAsia="Times New Roman" w:hAnsi="Times New Roman" w:cs="Times New Roman"/>
          <w:sz w:val="24"/>
          <w:szCs w:val="24"/>
        </w:rPr>
        <w:t xml:space="preserve">esults were expressed as </w:t>
      </w:r>
      <w:r w:rsidRPr="00846D1C">
        <w:rPr>
          <w:rFonts w:ascii="Times New Roman" w:hAnsi="Times New Roman" w:cs="Times New Roman"/>
          <w:sz w:val="24"/>
          <w:szCs w:val="24"/>
        </w:rPr>
        <w:t xml:space="preserve">mean ± standard deviation. Analysis of variance (ANOVA) of the means was performed with a significance level of 95%, and </w:t>
      </w:r>
      <w:r w:rsidRPr="00335457">
        <w:rPr>
          <w:rFonts w:ascii="Times New Roman" w:hAnsi="Times New Roman" w:cs="Times New Roman"/>
          <w:sz w:val="24"/>
          <w:szCs w:val="24"/>
        </w:rPr>
        <w:t>Tukey’s multiple comparisons test was used to identify statistically significant pairwise differences</w:t>
      </w:r>
      <w:r w:rsidRPr="00846D1C">
        <w:rPr>
          <w:rFonts w:ascii="Times New Roman" w:hAnsi="Times New Roman" w:cs="Times New Roman"/>
          <w:sz w:val="24"/>
          <w:szCs w:val="24"/>
        </w:rPr>
        <w:t xml:space="preserve"> (p≤0.05).</w:t>
      </w:r>
    </w:p>
    <w:p w14:paraId="3B63BAA8" w14:textId="77777777" w:rsidR="002101E4" w:rsidRPr="005B3C82" w:rsidRDefault="002101E4" w:rsidP="002101E4">
      <w:pPr>
        <w:pStyle w:val="PargrafodaLista"/>
        <w:numPr>
          <w:ilvl w:val="0"/>
          <w:numId w:val="1"/>
        </w:numPr>
        <w:spacing w:after="0" w:line="480" w:lineRule="auto"/>
        <w:jc w:val="both"/>
        <w:rPr>
          <w:rFonts w:ascii="Times New Roman" w:hAnsi="Times New Roman" w:cs="Times New Roman"/>
          <w:sz w:val="24"/>
          <w:szCs w:val="24"/>
        </w:rPr>
      </w:pPr>
      <w:r w:rsidRPr="005B3C82">
        <w:rPr>
          <w:rFonts w:ascii="Times New Roman" w:hAnsi="Times New Roman" w:cs="Times New Roman"/>
          <w:sz w:val="24"/>
          <w:szCs w:val="24"/>
        </w:rPr>
        <w:t xml:space="preserve">AOAC - Association of Official Analytical Chemists. (2005). </w:t>
      </w:r>
      <w:r w:rsidRPr="005B3C82">
        <w:rPr>
          <w:rFonts w:ascii="Times New Roman" w:hAnsi="Times New Roman" w:cs="Times New Roman"/>
          <w:i/>
          <w:iCs/>
          <w:sz w:val="24"/>
          <w:szCs w:val="24"/>
        </w:rPr>
        <w:t>Official methods of the Association of Official Analytical Chemists</w:t>
      </w:r>
      <w:r w:rsidRPr="005B3C82">
        <w:rPr>
          <w:rFonts w:ascii="Times New Roman" w:hAnsi="Times New Roman" w:cs="Times New Roman"/>
          <w:sz w:val="24"/>
          <w:szCs w:val="24"/>
        </w:rPr>
        <w:t>, 16th ed. Arlington, TX: Association of Official Analytical Chemists.</w:t>
      </w:r>
    </w:p>
    <w:p w14:paraId="4942E0A1" w14:textId="77777777" w:rsidR="002101E4" w:rsidRPr="005B3C82" w:rsidRDefault="002101E4" w:rsidP="002101E4">
      <w:pPr>
        <w:pStyle w:val="PargrafodaLista"/>
        <w:numPr>
          <w:ilvl w:val="0"/>
          <w:numId w:val="1"/>
        </w:numPr>
        <w:spacing w:after="0" w:line="480" w:lineRule="auto"/>
        <w:jc w:val="both"/>
        <w:rPr>
          <w:rFonts w:ascii="Times New Roman" w:eastAsia="Times New Roman" w:hAnsi="Times New Roman" w:cs="Times New Roman"/>
          <w:color w:val="000000"/>
          <w:sz w:val="24"/>
          <w:szCs w:val="24"/>
          <w:lang w:val="pt-BR"/>
        </w:rPr>
      </w:pPr>
      <w:r w:rsidRPr="002101E4">
        <w:rPr>
          <w:rFonts w:ascii="Times New Roman" w:eastAsia="Times New Roman" w:hAnsi="Times New Roman" w:cs="Times New Roman"/>
          <w:sz w:val="24"/>
          <w:szCs w:val="24"/>
          <w:lang w:val="pt-BR"/>
        </w:rPr>
        <w:t xml:space="preserve">Cecchi, H. M. (2003). </w:t>
      </w:r>
      <w:r w:rsidRPr="005B3C82">
        <w:rPr>
          <w:rFonts w:ascii="Times New Roman" w:eastAsia="Times New Roman" w:hAnsi="Times New Roman" w:cs="Times New Roman"/>
          <w:sz w:val="24"/>
          <w:szCs w:val="24"/>
          <w:lang w:val="pt-BR"/>
        </w:rPr>
        <w:t>Fundamentos teóricos e práticos em análise de alimentos. (2nd ed.) Editora da Unicamp.</w:t>
      </w:r>
    </w:p>
    <w:p w14:paraId="36A1350F" w14:textId="77777777" w:rsidR="002101E4" w:rsidRPr="005B3C82" w:rsidRDefault="002101E4" w:rsidP="002101E4">
      <w:pPr>
        <w:pStyle w:val="PargrafodaLista"/>
        <w:numPr>
          <w:ilvl w:val="0"/>
          <w:numId w:val="1"/>
        </w:numPr>
        <w:spacing w:after="0" w:line="480" w:lineRule="auto"/>
        <w:jc w:val="both"/>
        <w:rPr>
          <w:rFonts w:ascii="Times New Roman" w:hAnsi="Times New Roman" w:cs="Times New Roman"/>
          <w:sz w:val="24"/>
          <w:szCs w:val="24"/>
          <w:lang w:val="pt-BR"/>
        </w:rPr>
      </w:pPr>
      <w:r w:rsidRPr="005B3C82">
        <w:rPr>
          <w:rFonts w:ascii="Times New Roman" w:hAnsi="Times New Roman" w:cs="Times New Roman"/>
          <w:sz w:val="24"/>
          <w:szCs w:val="24"/>
          <w:lang w:val="pt-BR"/>
        </w:rPr>
        <w:t xml:space="preserve">IAL - INSTITUTO ADOLFO LUTZ. (2008). </w:t>
      </w:r>
      <w:r w:rsidRPr="005B3C82">
        <w:rPr>
          <w:rFonts w:ascii="Times New Roman" w:hAnsi="Times New Roman" w:cs="Times New Roman"/>
          <w:i/>
          <w:iCs/>
          <w:sz w:val="24"/>
          <w:szCs w:val="24"/>
          <w:lang w:val="pt-BR"/>
        </w:rPr>
        <w:t>Normas Analíticas do Instituto Adolfo Lutz</w:t>
      </w:r>
      <w:r w:rsidRPr="005B3C82">
        <w:rPr>
          <w:rFonts w:ascii="Times New Roman" w:hAnsi="Times New Roman" w:cs="Times New Roman"/>
          <w:sz w:val="24"/>
          <w:szCs w:val="24"/>
          <w:lang w:val="pt-BR"/>
        </w:rPr>
        <w:t xml:space="preserve"> (4th ed.). Métodos químicos e físicos para análise de alimentos. Instituto Adolfo Lutz.</w:t>
      </w:r>
    </w:p>
    <w:p w14:paraId="731070A0" w14:textId="77777777" w:rsidR="002101E4" w:rsidRPr="005B3C82" w:rsidRDefault="002101E4" w:rsidP="002101E4">
      <w:pPr>
        <w:pStyle w:val="PargrafodaLista"/>
        <w:numPr>
          <w:ilvl w:val="0"/>
          <w:numId w:val="1"/>
        </w:numPr>
        <w:pBdr>
          <w:top w:val="nil"/>
          <w:left w:val="nil"/>
          <w:bottom w:val="nil"/>
          <w:right w:val="nil"/>
          <w:between w:val="nil"/>
        </w:pBdr>
        <w:spacing w:after="0" w:line="480" w:lineRule="auto"/>
        <w:jc w:val="both"/>
        <w:rPr>
          <w:rFonts w:ascii="Times New Roman" w:eastAsia="Times New Roman" w:hAnsi="Times New Roman" w:cs="Times New Roman"/>
          <w:color w:val="000000"/>
          <w:sz w:val="24"/>
          <w:szCs w:val="24"/>
          <w:lang w:val="pt-BR"/>
        </w:rPr>
      </w:pPr>
      <w:r w:rsidRPr="005B3C82">
        <w:rPr>
          <w:rFonts w:ascii="Times New Roman" w:eastAsia="Times New Roman" w:hAnsi="Times New Roman" w:cs="Times New Roman"/>
          <w:color w:val="000000"/>
          <w:sz w:val="24"/>
          <w:szCs w:val="24"/>
        </w:rPr>
        <w:t xml:space="preserve">Moretto, E., Fett, R., Gonzaga, L. V., Kuskoski, E. M. (2002). </w:t>
      </w:r>
      <w:r w:rsidRPr="005B3C82">
        <w:rPr>
          <w:rFonts w:ascii="Times New Roman" w:eastAsia="Times New Roman" w:hAnsi="Times New Roman" w:cs="Times New Roman"/>
          <w:color w:val="000000"/>
          <w:sz w:val="24"/>
          <w:szCs w:val="24"/>
          <w:lang w:val="pt-BR"/>
        </w:rPr>
        <w:t>Introdução a ciência dos alimentos. Florianópolis, SC. Editora da UFSC.</w:t>
      </w:r>
    </w:p>
    <w:p w14:paraId="66F2E460" w14:textId="77777777" w:rsidR="002101E4" w:rsidRPr="005B3C82" w:rsidRDefault="002101E4" w:rsidP="002101E4">
      <w:pPr>
        <w:pStyle w:val="PargrafodaLista"/>
        <w:numPr>
          <w:ilvl w:val="0"/>
          <w:numId w:val="1"/>
        </w:numPr>
        <w:spacing w:after="0" w:line="480" w:lineRule="auto"/>
        <w:jc w:val="both"/>
        <w:rPr>
          <w:rFonts w:ascii="Times New Roman" w:eastAsia="Times New Roman" w:hAnsi="Times New Roman" w:cs="Times New Roman"/>
          <w:sz w:val="24"/>
          <w:szCs w:val="24"/>
        </w:rPr>
      </w:pPr>
      <w:r w:rsidRPr="005B3C82">
        <w:rPr>
          <w:rFonts w:ascii="Times New Roman" w:eastAsia="Times New Roman" w:hAnsi="Times New Roman" w:cs="Times New Roman"/>
          <w:sz w:val="24"/>
          <w:szCs w:val="24"/>
        </w:rPr>
        <w:t xml:space="preserve">AOCS - </w:t>
      </w:r>
      <w:r w:rsidRPr="005B3C82">
        <w:rPr>
          <w:rStyle w:val="Refdecomentrio2"/>
          <w:rFonts w:ascii="Times New Roman" w:hAnsi="Times New Roman" w:cs="Times New Roman"/>
          <w:sz w:val="24"/>
          <w:szCs w:val="24"/>
        </w:rPr>
        <w:t>American Oil Chemists’ Society.</w:t>
      </w:r>
      <w:r w:rsidRPr="005B3C82">
        <w:rPr>
          <w:rFonts w:ascii="Times New Roman" w:hAnsi="Times New Roman" w:cs="Times New Roman"/>
          <w:sz w:val="24"/>
          <w:szCs w:val="24"/>
        </w:rPr>
        <w:t xml:space="preserve"> </w:t>
      </w:r>
      <w:r w:rsidRPr="005B3C82">
        <w:rPr>
          <w:rFonts w:ascii="Times New Roman" w:eastAsia="Times New Roman" w:hAnsi="Times New Roman" w:cs="Times New Roman"/>
          <w:sz w:val="24"/>
          <w:szCs w:val="24"/>
        </w:rPr>
        <w:t>Official Method Ba 6a-05 (2005) Official Methods and Recommended Practices of the AOCS, The American Oil Chemists’ Society, Champaign, IL.</w:t>
      </w:r>
    </w:p>
    <w:p w14:paraId="3BD3E74E" w14:textId="77777777" w:rsidR="002101E4" w:rsidRPr="005B3C82" w:rsidRDefault="002101E4" w:rsidP="002101E4">
      <w:pPr>
        <w:pStyle w:val="PargrafodaLista"/>
        <w:numPr>
          <w:ilvl w:val="0"/>
          <w:numId w:val="1"/>
        </w:numPr>
        <w:spacing w:after="0" w:line="480" w:lineRule="auto"/>
        <w:jc w:val="both"/>
        <w:rPr>
          <w:rFonts w:ascii="Times New Roman" w:eastAsia="Times New Roman" w:hAnsi="Times New Roman" w:cs="Times New Roman"/>
          <w:sz w:val="24"/>
          <w:szCs w:val="24"/>
        </w:rPr>
      </w:pPr>
      <w:r w:rsidRPr="005B3C82">
        <w:rPr>
          <w:rFonts w:ascii="Times New Roman" w:eastAsia="Times New Roman" w:hAnsi="Times New Roman" w:cs="Times New Roman"/>
          <w:sz w:val="24"/>
          <w:szCs w:val="24"/>
        </w:rPr>
        <w:t xml:space="preserve">ASTM D5468-95 (1995) Standard test method for gross calorifc and ash value of waste materials. Retrieved from </w:t>
      </w:r>
      <w:hyperlink r:id="rId7" w:history="1">
        <w:r w:rsidRPr="005B3C82">
          <w:rPr>
            <w:rFonts w:ascii="Times New Roman" w:eastAsia="Times New Roman" w:hAnsi="Times New Roman" w:cs="Times New Roman"/>
            <w:sz w:val="24"/>
            <w:szCs w:val="24"/>
          </w:rPr>
          <w:t>https://www.astm.org/d5468-95.html</w:t>
        </w:r>
      </w:hyperlink>
      <w:r w:rsidRPr="005B3C82">
        <w:rPr>
          <w:rFonts w:ascii="Times New Roman" w:eastAsia="Times New Roman" w:hAnsi="Times New Roman" w:cs="Times New Roman"/>
          <w:sz w:val="24"/>
          <w:szCs w:val="24"/>
        </w:rPr>
        <w:t>. Accessed September 13, 2022.</w:t>
      </w:r>
    </w:p>
    <w:p w14:paraId="1DFCDB3E" w14:textId="77777777" w:rsidR="002101E4" w:rsidRPr="005B3C82" w:rsidRDefault="002101E4" w:rsidP="002101E4">
      <w:pPr>
        <w:pStyle w:val="PargrafodaLista"/>
        <w:numPr>
          <w:ilvl w:val="0"/>
          <w:numId w:val="1"/>
        </w:numPr>
        <w:spacing w:after="0" w:line="480" w:lineRule="auto"/>
        <w:jc w:val="both"/>
        <w:rPr>
          <w:rFonts w:ascii="Times New Roman" w:hAnsi="Times New Roman" w:cs="Times New Roman"/>
          <w:sz w:val="24"/>
          <w:szCs w:val="24"/>
        </w:rPr>
      </w:pPr>
      <w:r w:rsidRPr="005B3C82">
        <w:rPr>
          <w:rFonts w:ascii="Times New Roman" w:hAnsi="Times New Roman" w:cs="Times New Roman"/>
          <w:sz w:val="24"/>
          <w:szCs w:val="24"/>
          <w:lang w:val="pt-BR"/>
        </w:rPr>
        <w:t xml:space="preserve">ANVISA - Agência Nacional de Vigilância Sanitária. (2003). </w:t>
      </w:r>
      <w:bookmarkStart w:id="2" w:name="page100R_mcid6288"/>
      <w:bookmarkEnd w:id="2"/>
      <w:r w:rsidRPr="005B3C82">
        <w:rPr>
          <w:rFonts w:ascii="Times New Roman" w:hAnsi="Times New Roman" w:cs="Times New Roman"/>
          <w:sz w:val="24"/>
          <w:szCs w:val="24"/>
          <w:lang w:val="pt-BR"/>
        </w:rPr>
        <w:t>Resolução RDC N</w:t>
      </w:r>
      <w:bookmarkStart w:id="3" w:name="page100R_mcid6289"/>
      <w:bookmarkStart w:id="4" w:name="page100R_mcid6290"/>
      <w:bookmarkEnd w:id="3"/>
      <w:bookmarkEnd w:id="4"/>
      <w:r w:rsidRPr="005B3C82">
        <w:rPr>
          <w:rFonts w:ascii="Times New Roman" w:hAnsi="Times New Roman" w:cs="Times New Roman"/>
          <w:sz w:val="24"/>
          <w:szCs w:val="24"/>
          <w:lang w:val="pt-BR"/>
        </w:rPr>
        <w:t xml:space="preserve">° 360, de 23 de dezembro de 2003. </w:t>
      </w:r>
      <w:bookmarkStart w:id="5" w:name="page100R_mcid6291"/>
      <w:bookmarkEnd w:id="5"/>
      <w:r w:rsidRPr="005B3C82">
        <w:rPr>
          <w:rFonts w:ascii="Times New Roman" w:hAnsi="Times New Roman" w:cs="Times New Roman"/>
          <w:sz w:val="24"/>
          <w:szCs w:val="24"/>
          <w:lang w:val="pt-BR"/>
        </w:rPr>
        <w:t xml:space="preserve">Aprova regulamento técnico sobre rotulagem nutricional </w:t>
      </w:r>
      <w:bookmarkStart w:id="6" w:name="page100R_mcid6292"/>
      <w:bookmarkEnd w:id="6"/>
      <w:r w:rsidRPr="005B3C82">
        <w:rPr>
          <w:rFonts w:ascii="Times New Roman" w:hAnsi="Times New Roman" w:cs="Times New Roman"/>
          <w:sz w:val="24"/>
          <w:szCs w:val="24"/>
          <w:lang w:val="pt-BR"/>
        </w:rPr>
        <w:t>de alimentos embalados, tornando obrigatória a rotulagem</w:t>
      </w:r>
      <w:bookmarkStart w:id="7" w:name="page100R_mcid6293"/>
      <w:bookmarkEnd w:id="7"/>
      <w:r w:rsidRPr="005B3C82">
        <w:rPr>
          <w:rFonts w:ascii="Times New Roman" w:hAnsi="Times New Roman" w:cs="Times New Roman"/>
          <w:sz w:val="24"/>
          <w:szCs w:val="24"/>
          <w:lang w:val="pt-BR"/>
        </w:rPr>
        <w:t xml:space="preserve"> nutricional. </w:t>
      </w:r>
      <w:r w:rsidRPr="005B3C82">
        <w:rPr>
          <w:rFonts w:ascii="Times New Roman" w:hAnsi="Times New Roman" w:cs="Times New Roman"/>
          <w:i/>
          <w:iCs/>
          <w:sz w:val="24"/>
          <w:szCs w:val="24"/>
        </w:rPr>
        <w:t>Diário Oficial União</w:t>
      </w:r>
      <w:r w:rsidRPr="005B3C82">
        <w:rPr>
          <w:rFonts w:ascii="Times New Roman" w:hAnsi="Times New Roman" w:cs="Times New Roman"/>
          <w:sz w:val="24"/>
          <w:szCs w:val="24"/>
        </w:rPr>
        <w:t xml:space="preserve">. 26 dez 2003. </w:t>
      </w:r>
    </w:p>
    <w:p w14:paraId="38638D5A" w14:textId="77777777" w:rsidR="002101E4" w:rsidRPr="005B3C82" w:rsidRDefault="002101E4" w:rsidP="002101E4">
      <w:pPr>
        <w:pStyle w:val="PargrafodaLista"/>
        <w:numPr>
          <w:ilvl w:val="0"/>
          <w:numId w:val="1"/>
        </w:numPr>
        <w:spacing w:after="0" w:line="480" w:lineRule="auto"/>
        <w:jc w:val="both"/>
        <w:rPr>
          <w:rFonts w:ascii="Times New Roman" w:eastAsia="Times New Roman" w:hAnsi="Times New Roman" w:cs="Times New Roman"/>
          <w:sz w:val="24"/>
          <w:szCs w:val="24"/>
        </w:rPr>
      </w:pPr>
      <w:r w:rsidRPr="002101E4">
        <w:rPr>
          <w:rFonts w:ascii="Times New Roman" w:eastAsia="Times New Roman" w:hAnsi="Times New Roman" w:cs="Times New Roman"/>
          <w:sz w:val="24"/>
          <w:szCs w:val="24"/>
          <w:lang w:val="pt-BR"/>
        </w:rPr>
        <w:lastRenderedPageBreak/>
        <w:t xml:space="preserve">Velioglu, Y. S., Mazza, G., Gao, L., Oomah, B. D. (1998). </w:t>
      </w:r>
      <w:r w:rsidRPr="005B3C82">
        <w:rPr>
          <w:rFonts w:ascii="Times New Roman" w:eastAsia="Times New Roman" w:hAnsi="Times New Roman" w:cs="Times New Roman"/>
          <w:sz w:val="24"/>
          <w:szCs w:val="24"/>
        </w:rPr>
        <w:t xml:space="preserve">Antioxidant activity and total phenolics in selected fruits, vegetables and grain products. </w:t>
      </w:r>
      <w:r w:rsidRPr="005B3C82">
        <w:rPr>
          <w:rFonts w:ascii="Times New Roman" w:eastAsia="Times New Roman" w:hAnsi="Times New Roman" w:cs="Times New Roman"/>
          <w:i/>
          <w:sz w:val="24"/>
          <w:szCs w:val="24"/>
        </w:rPr>
        <w:t>Journal of Agricultural and Food Chemistry</w:t>
      </w:r>
      <w:r w:rsidRPr="005B3C82">
        <w:rPr>
          <w:rFonts w:ascii="Times New Roman" w:eastAsia="Times New Roman" w:hAnsi="Times New Roman" w:cs="Times New Roman"/>
          <w:sz w:val="24"/>
          <w:szCs w:val="24"/>
        </w:rPr>
        <w:t>. 46, 4113-4117.</w:t>
      </w:r>
    </w:p>
    <w:p w14:paraId="05F54EBA" w14:textId="77777777" w:rsidR="002101E4" w:rsidRPr="005B3C82" w:rsidRDefault="002101E4" w:rsidP="002101E4">
      <w:pPr>
        <w:pStyle w:val="PargrafodaLista"/>
        <w:numPr>
          <w:ilvl w:val="0"/>
          <w:numId w:val="1"/>
        </w:numPr>
        <w:spacing w:after="0" w:line="480" w:lineRule="auto"/>
        <w:jc w:val="both"/>
        <w:rPr>
          <w:rFonts w:ascii="Times New Roman" w:eastAsia="Times New Roman" w:hAnsi="Times New Roman" w:cs="Times New Roman"/>
          <w:sz w:val="24"/>
          <w:szCs w:val="24"/>
        </w:rPr>
      </w:pPr>
      <w:r w:rsidRPr="005B3C82">
        <w:rPr>
          <w:rFonts w:ascii="Times New Roman" w:eastAsia="Times New Roman" w:hAnsi="Times New Roman" w:cs="Times New Roman"/>
          <w:sz w:val="24"/>
          <w:szCs w:val="24"/>
        </w:rPr>
        <w:t xml:space="preserve">Brand-Williams, W., Cuvelier, M. E., Berset, C. (1995). Use of a free radical method to evaluate antioxidant activity. </w:t>
      </w:r>
      <w:r w:rsidRPr="005B3C82">
        <w:rPr>
          <w:rFonts w:ascii="Times New Roman" w:eastAsia="Times New Roman" w:hAnsi="Times New Roman" w:cs="Times New Roman"/>
          <w:i/>
          <w:sz w:val="24"/>
          <w:szCs w:val="24"/>
        </w:rPr>
        <w:t>Food Science and Technology</w:t>
      </w:r>
      <w:r w:rsidRPr="005B3C82">
        <w:rPr>
          <w:rFonts w:ascii="Times New Roman" w:eastAsia="Times New Roman" w:hAnsi="Times New Roman" w:cs="Times New Roman"/>
          <w:sz w:val="24"/>
          <w:szCs w:val="24"/>
        </w:rPr>
        <w:t xml:space="preserve">, </w:t>
      </w:r>
      <w:r w:rsidRPr="005B3C82">
        <w:rPr>
          <w:rFonts w:ascii="Times New Roman" w:eastAsia="Times New Roman" w:hAnsi="Times New Roman" w:cs="Times New Roman"/>
          <w:i/>
          <w:iCs/>
          <w:sz w:val="24"/>
          <w:szCs w:val="24"/>
        </w:rPr>
        <w:t>28</w:t>
      </w:r>
      <w:r w:rsidRPr="005B3C82">
        <w:rPr>
          <w:rFonts w:ascii="Times New Roman" w:eastAsia="Times New Roman" w:hAnsi="Times New Roman" w:cs="Times New Roman"/>
          <w:sz w:val="24"/>
          <w:szCs w:val="24"/>
        </w:rPr>
        <w:t>, 25-30. https://doi.org/10.1016/S0023-6438(95)80008-5.</w:t>
      </w:r>
    </w:p>
    <w:p w14:paraId="52462A69" w14:textId="18C2D86B" w:rsidR="00CD1D05" w:rsidRDefault="00CD1D05" w:rsidP="002101E4">
      <w:pPr>
        <w:pStyle w:val="PargrafodaLista"/>
      </w:pPr>
    </w:p>
    <w:sectPr w:rsidR="00CD1D05" w:rsidSect="002101E4">
      <w:headerReference w:type="default" r:id="rId8"/>
      <w:pgSz w:w="11906" w:h="16838"/>
      <w:pgMar w:top="1417" w:right="1701" w:bottom="1417" w:left="1701"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25AA83" w14:textId="77777777" w:rsidR="00536657" w:rsidRDefault="00536657" w:rsidP="002101E4">
      <w:pPr>
        <w:spacing w:after="0" w:line="240" w:lineRule="auto"/>
      </w:pPr>
      <w:r>
        <w:separator/>
      </w:r>
    </w:p>
  </w:endnote>
  <w:endnote w:type="continuationSeparator" w:id="0">
    <w:p w14:paraId="7EB0E89B" w14:textId="77777777" w:rsidR="00536657" w:rsidRDefault="00536657" w:rsidP="002101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B88E38" w14:textId="77777777" w:rsidR="00536657" w:rsidRDefault="00536657" w:rsidP="002101E4">
      <w:pPr>
        <w:spacing w:after="0" w:line="240" w:lineRule="auto"/>
      </w:pPr>
      <w:r>
        <w:separator/>
      </w:r>
    </w:p>
  </w:footnote>
  <w:footnote w:type="continuationSeparator" w:id="0">
    <w:p w14:paraId="78462C7F" w14:textId="77777777" w:rsidR="00536657" w:rsidRDefault="00536657" w:rsidP="002101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03D232" w14:textId="2D5F9BE8" w:rsidR="002101E4" w:rsidRPr="00816451" w:rsidRDefault="002101E4">
    <w:pPr>
      <w:pStyle w:val="Cabealho"/>
      <w:rPr>
        <w:rFonts w:ascii="Times New Roman" w:hAnsi="Times New Roman" w:cs="Times New Roman"/>
        <w:b/>
        <w:bCs/>
        <w:color w:val="3B3838" w:themeColor="background2" w:themeShade="40"/>
        <w:sz w:val="24"/>
        <w:szCs w:val="24"/>
      </w:rPr>
    </w:pPr>
    <w:r w:rsidRPr="00816451">
      <w:rPr>
        <w:rFonts w:ascii="Times New Roman" w:hAnsi="Times New Roman" w:cs="Times New Roman"/>
        <w:b/>
        <w:bCs/>
        <w:color w:val="3B3838" w:themeColor="background2" w:themeShade="40"/>
        <w:sz w:val="24"/>
        <w:szCs w:val="24"/>
      </w:rPr>
      <w:t>Supplementary Material</w:t>
    </w:r>
  </w:p>
  <w:p w14:paraId="47ECE0C2" w14:textId="791EDB6E" w:rsidR="008B4272" w:rsidRPr="00816451" w:rsidRDefault="008B4272" w:rsidP="008B4272">
    <w:pPr>
      <w:pStyle w:val="Cabealho"/>
      <w:jc w:val="right"/>
      <w:rPr>
        <w:rFonts w:ascii="Times New Roman" w:hAnsi="Times New Roman" w:cs="Times New Roman"/>
        <w:i/>
        <w:iCs/>
        <w:color w:val="3B3838" w:themeColor="background2" w:themeShade="40"/>
        <w:sz w:val="24"/>
        <w:szCs w:val="24"/>
      </w:rPr>
    </w:pPr>
    <w:r w:rsidRPr="00816451">
      <w:rPr>
        <w:rFonts w:ascii="Times New Roman" w:hAnsi="Times New Roman" w:cs="Times New Roman"/>
        <w:i/>
        <w:iCs/>
        <w:color w:val="3B3838" w:themeColor="background2" w:themeShade="40"/>
        <w:sz w:val="24"/>
        <w:szCs w:val="24"/>
      </w:rPr>
      <w:t>Plant Foods for Human Nutrition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F72205"/>
    <w:multiLevelType w:val="hybridMultilevel"/>
    <w:tmpl w:val="D70EDBB2"/>
    <w:lvl w:ilvl="0" w:tplc="3522B36C">
      <w:start w:val="1"/>
      <w:numFmt w:val="decimal"/>
      <w:lvlText w:val="%1."/>
      <w:lvlJc w:val="left"/>
      <w:pPr>
        <w:ind w:left="720" w:hanging="360"/>
      </w:pPr>
      <w:rPr>
        <w:rFonts w:ascii="Times New Roman" w:hAnsi="Times New Roman" w:cs="Times New Roman" w:hint="default"/>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3F2A747E"/>
    <w:multiLevelType w:val="hybridMultilevel"/>
    <w:tmpl w:val="9098AA0A"/>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899365845">
    <w:abstractNumId w:val="0"/>
  </w:num>
  <w:num w:numId="2" w16cid:durableId="6653976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D05"/>
    <w:rsid w:val="001133B3"/>
    <w:rsid w:val="002101E4"/>
    <w:rsid w:val="005225B7"/>
    <w:rsid w:val="00536657"/>
    <w:rsid w:val="005F1A8F"/>
    <w:rsid w:val="007A7203"/>
    <w:rsid w:val="00816451"/>
    <w:rsid w:val="00822D45"/>
    <w:rsid w:val="008B4272"/>
    <w:rsid w:val="00BA3F1C"/>
    <w:rsid w:val="00CD1D05"/>
    <w:rsid w:val="00F82A20"/>
    <w:rsid w:val="00FA618C"/>
    <w:rsid w:val="00FE759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2F078B"/>
  <w15:chartTrackingRefBased/>
  <w15:docId w15:val="{75A49006-D2C4-47B6-896C-05CEF32C78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CD1D05"/>
    <w:pPr>
      <w:spacing w:after="200" w:line="276" w:lineRule="auto"/>
    </w:pPr>
    <w:rPr>
      <w:rFonts w:ascii="Calibri" w:eastAsia="Calibri" w:hAnsi="Calibri" w:cs="Calibri"/>
      <w:lang w:val="en-US"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Refdecomentrio2">
    <w:name w:val="Ref. de comentário2"/>
    <w:rsid w:val="00CD1D05"/>
    <w:rPr>
      <w:sz w:val="16"/>
      <w:szCs w:val="16"/>
    </w:rPr>
  </w:style>
  <w:style w:type="paragraph" w:styleId="PargrafodaLista">
    <w:name w:val="List Paragraph"/>
    <w:basedOn w:val="Normal"/>
    <w:uiPriority w:val="34"/>
    <w:qFormat/>
    <w:rsid w:val="00CD1D05"/>
    <w:pPr>
      <w:ind w:left="720"/>
      <w:contextualSpacing/>
    </w:pPr>
  </w:style>
  <w:style w:type="paragraph" w:styleId="Cabealho">
    <w:name w:val="header"/>
    <w:basedOn w:val="Normal"/>
    <w:link w:val="CabealhoChar"/>
    <w:uiPriority w:val="99"/>
    <w:unhideWhenUsed/>
    <w:rsid w:val="002101E4"/>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101E4"/>
    <w:rPr>
      <w:rFonts w:ascii="Calibri" w:eastAsia="Calibri" w:hAnsi="Calibri" w:cs="Calibri"/>
      <w:lang w:val="en-US" w:eastAsia="pt-BR"/>
    </w:rPr>
  </w:style>
  <w:style w:type="paragraph" w:styleId="Rodap">
    <w:name w:val="footer"/>
    <w:basedOn w:val="Normal"/>
    <w:link w:val="RodapChar"/>
    <w:uiPriority w:val="99"/>
    <w:unhideWhenUsed/>
    <w:rsid w:val="002101E4"/>
    <w:pPr>
      <w:tabs>
        <w:tab w:val="center" w:pos="4252"/>
        <w:tab w:val="right" w:pos="8504"/>
      </w:tabs>
      <w:spacing w:after="0" w:line="240" w:lineRule="auto"/>
    </w:pPr>
  </w:style>
  <w:style w:type="character" w:customStyle="1" w:styleId="RodapChar">
    <w:name w:val="Rodapé Char"/>
    <w:basedOn w:val="Fontepargpadro"/>
    <w:link w:val="Rodap"/>
    <w:uiPriority w:val="99"/>
    <w:rsid w:val="002101E4"/>
    <w:rPr>
      <w:rFonts w:ascii="Calibri" w:eastAsia="Calibri" w:hAnsi="Calibri" w:cs="Calibri"/>
      <w:lang w:val="en-US" w:eastAsia="pt-BR"/>
    </w:rPr>
  </w:style>
  <w:style w:type="character" w:styleId="Nmerodelinha">
    <w:name w:val="line number"/>
    <w:basedOn w:val="Fontepargpadro"/>
    <w:uiPriority w:val="99"/>
    <w:semiHidden/>
    <w:unhideWhenUsed/>
    <w:rsid w:val="002101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astm.org/d5468-95.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7</Pages>
  <Words>1616</Words>
  <Characters>8731</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Lorena Motta</dc:creator>
  <cp:keywords/>
  <dc:description/>
  <cp:lastModifiedBy>Lorena Motta</cp:lastModifiedBy>
  <cp:revision>7</cp:revision>
  <dcterms:created xsi:type="dcterms:W3CDTF">2022-10-31T19:53:00Z</dcterms:created>
  <dcterms:modified xsi:type="dcterms:W3CDTF">2022-11-04T22:30:00Z</dcterms:modified>
</cp:coreProperties>
</file>