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8B4" w:rsidRDefault="00FF2C34" w:rsidP="002F064D">
      <w:pPr>
        <w:jc w:val="center"/>
        <w:rPr>
          <w:rFonts w:ascii="Times New Roman" w:hAnsi="Times New Roman" w:cs="Times New Roman"/>
          <w:b/>
          <w:bCs/>
          <w:sz w:val="44"/>
          <w:szCs w:val="44"/>
          <w:lang w:bidi="fa-IR"/>
        </w:rPr>
      </w:pPr>
      <w:r w:rsidRPr="002F064D">
        <w:rPr>
          <w:rFonts w:ascii="Times New Roman" w:hAnsi="Times New Roman" w:cs="Times New Roman"/>
          <w:b/>
          <w:bCs/>
          <w:sz w:val="44"/>
          <w:szCs w:val="44"/>
          <w:lang w:bidi="fa-IR"/>
        </w:rPr>
        <w:t>Additional files</w:t>
      </w:r>
    </w:p>
    <w:p w:rsidR="00292A7F" w:rsidRDefault="00292A7F" w:rsidP="002F064D">
      <w:pPr>
        <w:jc w:val="center"/>
        <w:rPr>
          <w:rFonts w:ascii="Times New Roman" w:hAnsi="Times New Roman" w:cs="Times New Roman"/>
          <w:b/>
          <w:bCs/>
          <w:sz w:val="44"/>
          <w:szCs w:val="44"/>
          <w:lang w:bidi="fa-IR"/>
        </w:rPr>
      </w:pPr>
      <w:r w:rsidRPr="00904481">
        <w:rPr>
          <w:noProof/>
        </w:rPr>
        <w:drawing>
          <wp:inline distT="0" distB="0" distL="0" distR="0" wp14:anchorId="4B73DB60" wp14:editId="36B3DD9F">
            <wp:extent cx="5505450" cy="2295525"/>
            <wp:effectExtent l="0" t="0" r="0" b="952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92A7F" w:rsidRPr="00DC0647" w:rsidRDefault="00292A7F" w:rsidP="00292A7F">
      <w:pPr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DC0647">
        <w:rPr>
          <w:rFonts w:ascii="Times New Roman" w:hAnsi="Times New Roman" w:cs="Times New Roman"/>
          <w:b/>
          <w:bCs/>
          <w:sz w:val="24"/>
          <w:szCs w:val="24"/>
          <w:lang w:bidi="fa-IR"/>
        </w:rPr>
        <w:t>S1</w:t>
      </w:r>
      <w:r w:rsidRPr="00904481">
        <w:rPr>
          <w:rFonts w:ascii="Times New Roman" w:hAnsi="Times New Roman" w:cs="Times New Roman"/>
          <w:lang w:bidi="fa-IR"/>
        </w:rPr>
        <w:t>-</w:t>
      </w:r>
      <w:r w:rsidRPr="00DC0647">
        <w:rPr>
          <w:rFonts w:ascii="Times New Roman" w:hAnsi="Times New Roman" w:cs="Times New Roman"/>
          <w:sz w:val="24"/>
          <w:szCs w:val="24"/>
          <w:lang w:bidi="fa-IR"/>
        </w:rPr>
        <w:t xml:space="preserve">The effect of modified composition of inoculation and co-cultivation media on kanamycin resistant </w:t>
      </w:r>
      <w:proofErr w:type="spellStart"/>
      <w:r w:rsidRPr="00DC0647">
        <w:rPr>
          <w:rFonts w:ascii="Times New Roman" w:hAnsi="Times New Roman" w:cs="Times New Roman"/>
          <w:sz w:val="24"/>
          <w:szCs w:val="24"/>
          <w:lang w:bidi="fa-IR"/>
        </w:rPr>
        <w:t>calli</w:t>
      </w:r>
      <w:proofErr w:type="spellEnd"/>
      <w:r w:rsidRPr="00DC0647">
        <w:rPr>
          <w:rFonts w:ascii="Times New Roman" w:hAnsi="Times New Roman" w:cs="Times New Roman"/>
          <w:sz w:val="24"/>
          <w:szCs w:val="24"/>
          <w:lang w:bidi="fa-IR"/>
        </w:rPr>
        <w:t xml:space="preserve"> (%) of various carnation cultivars</w:t>
      </w:r>
    </w:p>
    <w:p w:rsidR="00292A7F" w:rsidRPr="002F064D" w:rsidRDefault="00292A7F" w:rsidP="002F064D">
      <w:pPr>
        <w:jc w:val="center"/>
        <w:rPr>
          <w:rFonts w:ascii="Times New Roman" w:hAnsi="Times New Roman" w:cs="Times New Roman"/>
          <w:b/>
          <w:bCs/>
          <w:sz w:val="44"/>
          <w:szCs w:val="44"/>
          <w:lang w:bidi="fa-IR"/>
        </w:rPr>
      </w:pPr>
    </w:p>
    <w:p w:rsidR="003508B4" w:rsidRDefault="003508B4" w:rsidP="003508B4">
      <w:pPr>
        <w:rPr>
          <w:rFonts w:ascii="Times New Roman" w:hAnsi="Times New Roman" w:cs="Times New Roman"/>
          <w:sz w:val="24"/>
          <w:szCs w:val="24"/>
          <w:lang w:bidi="fa-IR"/>
        </w:rPr>
      </w:pPr>
      <w:r w:rsidRPr="0088231A">
        <w:rPr>
          <w:noProof/>
        </w:rPr>
        <w:drawing>
          <wp:inline distT="0" distB="0" distL="0" distR="0" wp14:anchorId="17578050" wp14:editId="12E24020">
            <wp:extent cx="5476875" cy="2762250"/>
            <wp:effectExtent l="0" t="0" r="0" b="0"/>
            <wp:docPr id="2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508B4" w:rsidRDefault="002F064D" w:rsidP="00292A7F">
      <w:pPr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201E98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 w:rsidR="00292A7F">
        <w:rPr>
          <w:rFonts w:ascii="Times New Roman" w:hAnsi="Times New Roman" w:cs="Times New Roman"/>
          <w:b/>
          <w:bCs/>
          <w:sz w:val="24"/>
          <w:szCs w:val="24"/>
          <w:lang w:bidi="fa-IR"/>
        </w:rPr>
        <w:t>2</w:t>
      </w:r>
      <w:r w:rsidR="003508B4" w:rsidRPr="00201E98">
        <w:rPr>
          <w:rFonts w:ascii="Times New Roman" w:hAnsi="Times New Roman" w:cs="Times New Roman"/>
          <w:sz w:val="24"/>
          <w:szCs w:val="24"/>
          <w:lang w:bidi="fa-IR"/>
        </w:rPr>
        <w:t>-The effect of modified composition of inoculation and co-cultivation media on gene transformation rate of various carnation cultivars</w:t>
      </w:r>
    </w:p>
    <w:p w:rsidR="00292A7F" w:rsidRDefault="00292A7F" w:rsidP="00292A7F">
      <w:pPr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292A7F" w:rsidRDefault="00A80285" w:rsidP="00292A7F">
      <w:pPr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  <w:rtl/>
        </w:rPr>
        <w:drawing>
          <wp:anchor distT="0" distB="0" distL="114300" distR="114300" simplePos="0" relativeHeight="251660288" behindDoc="0" locked="0" layoutInCell="1" allowOverlap="1" wp14:anchorId="20F818A8" wp14:editId="68D6BB92">
            <wp:simplePos x="0" y="0"/>
            <wp:positionH relativeFrom="margin">
              <wp:posOffset>1031240</wp:posOffset>
            </wp:positionH>
            <wp:positionV relativeFrom="margin">
              <wp:posOffset>33744</wp:posOffset>
            </wp:positionV>
            <wp:extent cx="3008630" cy="2669540"/>
            <wp:effectExtent l="0" t="0" r="127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  2 full length 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63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2A7F" w:rsidRDefault="00292A7F" w:rsidP="00292A7F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292A7F" w:rsidRDefault="00292A7F" w:rsidP="00292A7F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A80285" w:rsidRDefault="00A80285" w:rsidP="00292A7F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A80285" w:rsidRDefault="00A80285" w:rsidP="00292A7F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A80285" w:rsidRDefault="00A80285" w:rsidP="00292A7F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A80285" w:rsidRDefault="00A80285" w:rsidP="00292A7F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292A7F" w:rsidRPr="00201E98" w:rsidRDefault="00292A7F" w:rsidP="00292A7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S3</w:t>
      </w:r>
      <w:r w:rsidRPr="00201E98">
        <w:rPr>
          <w:rFonts w:asciiTheme="majorBidi" w:hAnsiTheme="majorBidi" w:cstheme="majorBidi"/>
          <w:b/>
          <w:bCs/>
          <w:sz w:val="24"/>
          <w:szCs w:val="24"/>
          <w:lang w:bidi="fa-IR"/>
        </w:rPr>
        <w:t>-</w:t>
      </w:r>
      <w:r w:rsidRPr="00201E98">
        <w:rPr>
          <w:rFonts w:asciiTheme="majorBidi" w:hAnsiTheme="majorBidi" w:cstheme="majorBidi"/>
          <w:noProof/>
          <w:sz w:val="24"/>
          <w:szCs w:val="24"/>
          <w:lang w:bidi="fa-IR"/>
        </w:rPr>
        <w:t xml:space="preserve"> </w:t>
      </w:r>
      <w:r w:rsidRPr="00201E98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Original gel image</w:t>
      </w:r>
      <w:r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 of Fig 2</w:t>
      </w:r>
      <w:r w:rsidRPr="00201E98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: </w:t>
      </w:r>
      <w:r w:rsidRPr="00201E98">
        <w:rPr>
          <w:rFonts w:ascii="Times New Roman" w:hAnsi="Times New Roman" w:cs="Times New Roman"/>
          <w:sz w:val="24"/>
          <w:szCs w:val="24"/>
        </w:rPr>
        <w:t>PCR positive shoots recovered from all media</w:t>
      </w:r>
    </w:p>
    <w:p w:rsidR="00292A7F" w:rsidRPr="00201E98" w:rsidRDefault="00292A7F" w:rsidP="00292A7F">
      <w:pPr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3508B4" w:rsidRDefault="003508B4" w:rsidP="003508B4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3508B4" w:rsidRDefault="003508B4" w:rsidP="003508B4">
      <w:pPr>
        <w:rPr>
          <w:rFonts w:ascii="Times New Roman" w:hAnsi="Times New Roman" w:cs="Times New Roman"/>
          <w:sz w:val="24"/>
          <w:szCs w:val="24"/>
          <w:lang w:bidi="fa-IR"/>
        </w:rPr>
      </w:pPr>
      <w:r w:rsidRPr="0088231A">
        <w:rPr>
          <w:noProof/>
        </w:rPr>
        <w:t xml:space="preserve"> </w:t>
      </w:r>
      <w:r w:rsidRPr="0088231A">
        <w:rPr>
          <w:noProof/>
        </w:rPr>
        <w:drawing>
          <wp:inline distT="0" distB="0" distL="0" distR="0" wp14:anchorId="0CC2D4E9" wp14:editId="296E947C">
            <wp:extent cx="5476875" cy="2762250"/>
            <wp:effectExtent l="0" t="0" r="0" b="0"/>
            <wp:docPr id="3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508B4" w:rsidRPr="00201E98" w:rsidRDefault="002F064D" w:rsidP="00EF66AC">
      <w:pPr>
        <w:rPr>
          <w:rFonts w:ascii="Times New Roman" w:hAnsi="Times New Roman" w:cs="Times New Roman"/>
          <w:sz w:val="24"/>
          <w:szCs w:val="24"/>
          <w:lang w:bidi="fa-IR"/>
        </w:rPr>
      </w:pPr>
      <w:r w:rsidRPr="00201E98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 w:rsidR="00EF66AC">
        <w:rPr>
          <w:rFonts w:ascii="Times New Roman" w:hAnsi="Times New Roman" w:cs="Times New Roman"/>
          <w:b/>
          <w:bCs/>
          <w:sz w:val="24"/>
          <w:szCs w:val="24"/>
          <w:lang w:bidi="fa-IR"/>
        </w:rPr>
        <w:t>4</w:t>
      </w:r>
      <w:bookmarkStart w:id="0" w:name="_GoBack"/>
      <w:bookmarkEnd w:id="0"/>
      <w:r w:rsidR="003508B4" w:rsidRPr="00201E98">
        <w:rPr>
          <w:rFonts w:ascii="Times New Roman" w:hAnsi="Times New Roman" w:cs="Times New Roman"/>
          <w:sz w:val="24"/>
          <w:szCs w:val="24"/>
          <w:lang w:bidi="fa-IR"/>
        </w:rPr>
        <w:t>-The effect of supplementation of melatonin and LA in inoculation and co-cultivation media on gene transformation rate of various carnation cultivars</w:t>
      </w:r>
    </w:p>
    <w:p w:rsidR="00FE70F2" w:rsidRDefault="00FE70F2" w:rsidP="003508B4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FE70F2" w:rsidRDefault="00A80285" w:rsidP="00FE70F2">
      <w:pPr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918402</wp:posOffset>
            </wp:positionH>
            <wp:positionV relativeFrom="margin">
              <wp:posOffset>-80202</wp:posOffset>
            </wp:positionV>
            <wp:extent cx="3332287" cy="2364475"/>
            <wp:effectExtent l="0" t="0" r="190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 5 full lenghth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2287" cy="236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70F2" w:rsidRDefault="00FE70F2">
      <w:pPr>
        <w:rPr>
          <w:rFonts w:ascii="Times New Roman" w:hAnsi="Times New Roman" w:cs="Times New Roman"/>
          <w:noProof/>
          <w:sz w:val="24"/>
          <w:szCs w:val="24"/>
          <w:lang w:bidi="fa-IR"/>
        </w:rPr>
      </w:pPr>
    </w:p>
    <w:p w:rsidR="00FE70F2" w:rsidRDefault="00FE70F2"/>
    <w:p w:rsidR="00292A7F" w:rsidRDefault="00292A7F" w:rsidP="00F03423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292A7F" w:rsidRDefault="00292A7F" w:rsidP="00F03423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292A7F" w:rsidRDefault="00292A7F" w:rsidP="00F03423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BD45B1" w:rsidRPr="00201E98" w:rsidRDefault="00292A7F" w:rsidP="00F0342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S5</w:t>
      </w:r>
      <w:r w:rsidR="00F03423" w:rsidRPr="00201E98">
        <w:rPr>
          <w:rFonts w:asciiTheme="majorBidi" w:hAnsiTheme="majorBidi" w:cstheme="majorBidi"/>
          <w:sz w:val="24"/>
          <w:szCs w:val="24"/>
          <w:lang w:bidi="fa-IR"/>
        </w:rPr>
        <w:t xml:space="preserve">: </w:t>
      </w:r>
      <w:r w:rsidR="00BD45B1" w:rsidRPr="00201E98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Original</w:t>
      </w:r>
      <w:r w:rsidR="00F03423" w:rsidRPr="00201E98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 gel image</w:t>
      </w:r>
      <w:r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 of Fig. 5</w:t>
      </w:r>
      <w:r w:rsidR="00BD45B1" w:rsidRPr="00201E98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:</w:t>
      </w:r>
      <w:r w:rsidR="00BD45B1" w:rsidRPr="00201E98">
        <w:rPr>
          <w:rFonts w:ascii="Times New Roman" w:hAnsi="Times New Roman" w:cs="Times New Roman"/>
          <w:sz w:val="24"/>
          <w:szCs w:val="24"/>
        </w:rPr>
        <w:t xml:space="preserve"> PCR positive shoots recovered from all media</w:t>
      </w:r>
    </w:p>
    <w:p w:rsidR="00D14812" w:rsidRPr="00B571CB" w:rsidRDefault="00D14812" w:rsidP="00BD45B1">
      <w:pPr>
        <w:rPr>
          <w:rFonts w:asciiTheme="majorBidi" w:hAnsiTheme="majorBidi" w:cstheme="majorBidi"/>
        </w:rPr>
      </w:pPr>
    </w:p>
    <w:sectPr w:rsidR="00D14812" w:rsidRPr="00B571CB" w:rsidSect="003960C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8B4"/>
    <w:rsid w:val="00185113"/>
    <w:rsid w:val="00201E98"/>
    <w:rsid w:val="00292A7F"/>
    <w:rsid w:val="002F064D"/>
    <w:rsid w:val="003508B4"/>
    <w:rsid w:val="003960C1"/>
    <w:rsid w:val="00705A8E"/>
    <w:rsid w:val="007529BC"/>
    <w:rsid w:val="00A355A2"/>
    <w:rsid w:val="00A80285"/>
    <w:rsid w:val="00B571CB"/>
    <w:rsid w:val="00BD45B1"/>
    <w:rsid w:val="00D14812"/>
    <w:rsid w:val="00DC0647"/>
    <w:rsid w:val="00E16C75"/>
    <w:rsid w:val="00EF66AC"/>
    <w:rsid w:val="00F03423"/>
    <w:rsid w:val="00FE70F2"/>
    <w:rsid w:val="00FF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901093-922E-491A-AB3D-7F95A024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8B4"/>
    <w:pPr>
      <w:spacing w:line="480" w:lineRule="auto"/>
    </w:pPr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52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chart" Target="charts/chart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new%20carnation%20submission%20for%20scienticis%20rep\source%20of%20new%20fig%20according%20to%20reviewe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'new fig'!$C$2</c:f>
              <c:strCache>
                <c:ptCount val="1"/>
                <c:pt idx="0">
                  <c:v>kanamycin resistant calli (%)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'new fig'!$A$3:$B$22</c:f>
              <c:multiLvlStrCache>
                <c:ptCount val="20"/>
                <c:lvl>
                  <c:pt idx="0">
                    <c:v>MS1</c:v>
                  </c:pt>
                  <c:pt idx="1">
                    <c:v>MS 2</c:v>
                  </c:pt>
                  <c:pt idx="2">
                    <c:v>MS 3</c:v>
                  </c:pt>
                  <c:pt idx="3">
                    <c:v>MS 4</c:v>
                  </c:pt>
                  <c:pt idx="4">
                    <c:v>MS 5</c:v>
                  </c:pt>
                  <c:pt idx="5">
                    <c:v>MS1</c:v>
                  </c:pt>
                  <c:pt idx="6">
                    <c:v>MS 2</c:v>
                  </c:pt>
                  <c:pt idx="7">
                    <c:v>MS 3</c:v>
                  </c:pt>
                  <c:pt idx="8">
                    <c:v>MS 4</c:v>
                  </c:pt>
                  <c:pt idx="9">
                    <c:v>MS 5</c:v>
                  </c:pt>
                  <c:pt idx="10">
                    <c:v>MS1</c:v>
                  </c:pt>
                  <c:pt idx="11">
                    <c:v>MS 2</c:v>
                  </c:pt>
                  <c:pt idx="12">
                    <c:v>MS 3</c:v>
                  </c:pt>
                  <c:pt idx="13">
                    <c:v>MS 4</c:v>
                  </c:pt>
                  <c:pt idx="14">
                    <c:v>MS 5</c:v>
                  </c:pt>
                  <c:pt idx="15">
                    <c:v>MS1</c:v>
                  </c:pt>
                  <c:pt idx="16">
                    <c:v>MS 2</c:v>
                  </c:pt>
                  <c:pt idx="17">
                    <c:v>MS 3</c:v>
                  </c:pt>
                  <c:pt idx="18">
                    <c:v>MS 4</c:v>
                  </c:pt>
                  <c:pt idx="19">
                    <c:v>MS 5</c:v>
                  </c:pt>
                </c:lvl>
                <c:lvl>
                  <c:pt idx="0">
                    <c:v>W. Liberty</c:v>
                  </c:pt>
                  <c:pt idx="5">
                    <c:v>Tabasco</c:v>
                  </c:pt>
                  <c:pt idx="10">
                    <c:v>Cameron</c:v>
                  </c:pt>
                  <c:pt idx="15">
                    <c:v>Nobless</c:v>
                  </c:pt>
                </c:lvl>
              </c:multiLvlStrCache>
            </c:multiLvlStrRef>
          </c:cat>
          <c:val>
            <c:numRef>
              <c:f>'new fig'!$C$3:$C$22</c:f>
              <c:numCache>
                <c:formatCode>0.00</c:formatCode>
                <c:ptCount val="20"/>
                <c:pt idx="0">
                  <c:v>8.75</c:v>
                </c:pt>
                <c:pt idx="1">
                  <c:v>10</c:v>
                </c:pt>
                <c:pt idx="2">
                  <c:v>15</c:v>
                </c:pt>
                <c:pt idx="3">
                  <c:v>12.5</c:v>
                </c:pt>
                <c:pt idx="4">
                  <c:v>5</c:v>
                </c:pt>
                <c:pt idx="5">
                  <c:v>21.25</c:v>
                </c:pt>
                <c:pt idx="6">
                  <c:v>25</c:v>
                </c:pt>
                <c:pt idx="7">
                  <c:v>32.5</c:v>
                </c:pt>
                <c:pt idx="8">
                  <c:v>32.5</c:v>
                </c:pt>
                <c:pt idx="9">
                  <c:v>13.75</c:v>
                </c:pt>
                <c:pt idx="10">
                  <c:v>2.5</c:v>
                </c:pt>
                <c:pt idx="11">
                  <c:v>3.75</c:v>
                </c:pt>
                <c:pt idx="12">
                  <c:v>8.75</c:v>
                </c:pt>
                <c:pt idx="13">
                  <c:v>6.25</c:v>
                </c:pt>
                <c:pt idx="14">
                  <c:v>1.25</c:v>
                </c:pt>
                <c:pt idx="15">
                  <c:v>18.75</c:v>
                </c:pt>
                <c:pt idx="16">
                  <c:v>27.5</c:v>
                </c:pt>
                <c:pt idx="17">
                  <c:v>35</c:v>
                </c:pt>
                <c:pt idx="18">
                  <c:v>27.5</c:v>
                </c:pt>
                <c:pt idx="19">
                  <c:v>17.5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3E6-474B-98A7-6BA9CDEA1A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3"/>
        <c:overlap val="-27"/>
        <c:axId val="360207520"/>
        <c:axId val="534718736"/>
      </c:barChart>
      <c:catAx>
        <c:axId val="360207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accent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4718736"/>
        <c:crosses val="autoZero"/>
        <c:auto val="1"/>
        <c:lblAlgn val="ctr"/>
        <c:lblOffset val="100"/>
        <c:noMultiLvlLbl val="0"/>
      </c:catAx>
      <c:valAx>
        <c:axId val="53471873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Kanamycin resistant calli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0207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means!$C$1</c:f>
              <c:strCache>
                <c:ptCount val="1"/>
                <c:pt idx="0">
                  <c:v>Gene transformation (%)</c:v>
                </c:pt>
              </c:strCache>
            </c:strRef>
          </c:tx>
          <c:spPr>
            <a:solidFill>
              <a:srgbClr val="5B9BD5"/>
            </a:solidFill>
            <a:ln w="25382">
              <a:noFill/>
            </a:ln>
          </c:spPr>
          <c:invertIfNegative val="0"/>
          <c:cat>
            <c:multiLvlStrRef>
              <c:f>means!$A$2:$B$21</c:f>
              <c:multiLvlStrCache>
                <c:ptCount val="20"/>
                <c:lvl>
                  <c:pt idx="0">
                    <c:v>Tabasco</c:v>
                  </c:pt>
                  <c:pt idx="1">
                    <c:v>W.Liberty</c:v>
                  </c:pt>
                  <c:pt idx="2">
                    <c:v>Cameron</c:v>
                  </c:pt>
                  <c:pt idx="3">
                    <c:v>Noblesse</c:v>
                  </c:pt>
                  <c:pt idx="4">
                    <c:v>Tabasco</c:v>
                  </c:pt>
                  <c:pt idx="5">
                    <c:v>W.Liberty</c:v>
                  </c:pt>
                  <c:pt idx="6">
                    <c:v>Cameron</c:v>
                  </c:pt>
                  <c:pt idx="7">
                    <c:v>Noblesse</c:v>
                  </c:pt>
                  <c:pt idx="8">
                    <c:v>Tabasco</c:v>
                  </c:pt>
                  <c:pt idx="9">
                    <c:v>W.Liberty</c:v>
                  </c:pt>
                  <c:pt idx="10">
                    <c:v>Cameron</c:v>
                  </c:pt>
                  <c:pt idx="11">
                    <c:v>Noblesse</c:v>
                  </c:pt>
                  <c:pt idx="12">
                    <c:v>Tabasco</c:v>
                  </c:pt>
                  <c:pt idx="13">
                    <c:v>W.Liberty</c:v>
                  </c:pt>
                  <c:pt idx="14">
                    <c:v>Cameron</c:v>
                  </c:pt>
                  <c:pt idx="15">
                    <c:v>Noblesse</c:v>
                  </c:pt>
                  <c:pt idx="16">
                    <c:v>Tabasco</c:v>
                  </c:pt>
                  <c:pt idx="17">
                    <c:v>W.Liberty</c:v>
                  </c:pt>
                  <c:pt idx="18">
                    <c:v>Cameron</c:v>
                  </c:pt>
                  <c:pt idx="19">
                    <c:v>Noblesse</c:v>
                  </c:pt>
                </c:lvl>
                <c:lvl>
                  <c:pt idx="0">
                    <c:v>MS01</c:v>
                  </c:pt>
                  <c:pt idx="4">
                    <c:v>MS02</c:v>
                  </c:pt>
                  <c:pt idx="8">
                    <c:v>MS03</c:v>
                  </c:pt>
                  <c:pt idx="12">
                    <c:v>MS04</c:v>
                  </c:pt>
                  <c:pt idx="16">
                    <c:v>MS05</c:v>
                  </c:pt>
                </c:lvl>
              </c:multiLvlStrCache>
            </c:multiLvlStrRef>
          </c:cat>
          <c:val>
            <c:numRef>
              <c:f>means!$C$2:$C$21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2.5</c:v>
                </c:pt>
                <c:pt idx="4">
                  <c:v>0</c:v>
                </c:pt>
                <c:pt idx="5">
                  <c:v>2.5</c:v>
                </c:pt>
                <c:pt idx="6">
                  <c:v>2.5</c:v>
                </c:pt>
                <c:pt idx="7">
                  <c:v>0</c:v>
                </c:pt>
                <c:pt idx="8">
                  <c:v>7.5</c:v>
                </c:pt>
                <c:pt idx="9">
                  <c:v>5</c:v>
                </c:pt>
                <c:pt idx="10">
                  <c:v>2.5</c:v>
                </c:pt>
                <c:pt idx="11">
                  <c:v>5</c:v>
                </c:pt>
                <c:pt idx="12">
                  <c:v>2.5</c:v>
                </c:pt>
                <c:pt idx="13">
                  <c:v>2.5</c:v>
                </c:pt>
                <c:pt idx="14">
                  <c:v>2.5</c:v>
                </c:pt>
                <c:pt idx="15">
                  <c:v>5</c:v>
                </c:pt>
                <c:pt idx="16">
                  <c:v>2.5</c:v>
                </c:pt>
                <c:pt idx="17">
                  <c:v>0</c:v>
                </c:pt>
                <c:pt idx="18">
                  <c:v>2.5</c:v>
                </c:pt>
                <c:pt idx="1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A0E-4FFB-924B-B6051F9E1C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534718176"/>
        <c:axId val="477252544"/>
      </c:barChart>
      <c:catAx>
        <c:axId val="534718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18" cap="flat" cmpd="sng" algn="ctr">
            <a:solidFill>
              <a:schemeClr val="accent1"/>
            </a:solidFill>
            <a:round/>
          </a:ln>
          <a:effectLst/>
        </c:spPr>
        <c:txPr>
          <a:bodyPr rot="-5400000" vert="horz"/>
          <a:lstStyle/>
          <a:p>
            <a:pPr>
              <a:defRPr sz="899" b="0" i="0" u="none" strike="noStrike" baseline="0">
                <a:solidFill>
                  <a:srgbClr val="333333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477252544"/>
        <c:crosses val="autoZero"/>
        <c:auto val="1"/>
        <c:lblAlgn val="ctr"/>
        <c:lblOffset val="100"/>
        <c:noMultiLvlLbl val="0"/>
      </c:catAx>
      <c:valAx>
        <c:axId val="47725254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999" b="0" i="0" u="none" strike="noStrike" baseline="0">
                    <a:solidFill>
                      <a:srgbClr val="333333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en-US"/>
                  <a:t>Gene transformation (%)</a:t>
                </a:r>
              </a:p>
            </c:rich>
          </c:tx>
          <c:overlay val="0"/>
          <c:spPr>
            <a:noFill/>
            <a:ln w="25382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noFill/>
          <a:ln cap="flat">
            <a:solidFill>
              <a:schemeClr val="accent1"/>
            </a:solidFill>
            <a:round/>
          </a:ln>
          <a:effectLst/>
        </c:spPr>
        <c:txPr>
          <a:bodyPr rot="0" vert="horz"/>
          <a:lstStyle/>
          <a:p>
            <a:pPr>
              <a:defRPr sz="899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534718176"/>
        <c:crosses val="autoZero"/>
        <c:crossBetween val="between"/>
      </c:valAx>
      <c:spPr>
        <a:noFill/>
        <a:ln w="12691">
          <a:solidFill>
            <a:schemeClr val="accent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1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means!$C$25</c:f>
              <c:strCache>
                <c:ptCount val="1"/>
                <c:pt idx="0">
                  <c:v>Gene  transformation</c:v>
                </c:pt>
              </c:strCache>
            </c:strRef>
          </c:tx>
          <c:spPr>
            <a:solidFill>
              <a:srgbClr val="5B9BD5"/>
            </a:solidFill>
            <a:ln w="25382">
              <a:noFill/>
            </a:ln>
          </c:spPr>
          <c:invertIfNegative val="0"/>
          <c:cat>
            <c:multiLvlStrRef>
              <c:f>means!$A$26:$B$45</c:f>
              <c:multiLvlStrCache>
                <c:ptCount val="20"/>
                <c:lvl>
                  <c:pt idx="0">
                    <c:v>Tabasco</c:v>
                  </c:pt>
                  <c:pt idx="1">
                    <c:v>W.Liberty</c:v>
                  </c:pt>
                  <c:pt idx="2">
                    <c:v>Cameron</c:v>
                  </c:pt>
                  <c:pt idx="3">
                    <c:v>Noblesse</c:v>
                  </c:pt>
                  <c:pt idx="4">
                    <c:v>Tabasco</c:v>
                  </c:pt>
                  <c:pt idx="5">
                    <c:v>W.Liberty</c:v>
                  </c:pt>
                  <c:pt idx="6">
                    <c:v>Cameron</c:v>
                  </c:pt>
                  <c:pt idx="7">
                    <c:v>Noblesse</c:v>
                  </c:pt>
                  <c:pt idx="8">
                    <c:v>Tabasco</c:v>
                  </c:pt>
                  <c:pt idx="9">
                    <c:v>W.Liberty</c:v>
                  </c:pt>
                  <c:pt idx="10">
                    <c:v>Cameron</c:v>
                  </c:pt>
                  <c:pt idx="11">
                    <c:v>Noblesse</c:v>
                  </c:pt>
                  <c:pt idx="12">
                    <c:v>Tabasco</c:v>
                  </c:pt>
                  <c:pt idx="13">
                    <c:v>W.Liberty</c:v>
                  </c:pt>
                  <c:pt idx="14">
                    <c:v>Cameron</c:v>
                  </c:pt>
                  <c:pt idx="15">
                    <c:v>Noblesse</c:v>
                  </c:pt>
                  <c:pt idx="16">
                    <c:v>Tabasco</c:v>
                  </c:pt>
                  <c:pt idx="17">
                    <c:v>W.Liberty</c:v>
                  </c:pt>
                  <c:pt idx="18">
                    <c:v>Cameron</c:v>
                  </c:pt>
                  <c:pt idx="19">
                    <c:v>Noblesse</c:v>
                  </c:pt>
                </c:lvl>
                <c:lvl>
                  <c:pt idx="0">
                    <c:v>Control</c:v>
                  </c:pt>
                  <c:pt idx="4">
                    <c:v>Melatonin 2 mg/l</c:v>
                  </c:pt>
                  <c:pt idx="8">
                    <c:v>Melatonin 20 mg/l</c:v>
                  </c:pt>
                  <c:pt idx="12">
                    <c:v>LA 2 mg/l</c:v>
                  </c:pt>
                  <c:pt idx="16">
                    <c:v>LA 20 mg/l</c:v>
                  </c:pt>
                </c:lvl>
              </c:multiLvlStrCache>
            </c:multiLvlStrRef>
          </c:cat>
          <c:val>
            <c:numRef>
              <c:f>means!$C$26:$C$45</c:f>
              <c:numCache>
                <c:formatCode>General</c:formatCode>
                <c:ptCount val="20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7.5</c:v>
                </c:pt>
                <c:pt idx="4">
                  <c:v>25</c:v>
                </c:pt>
                <c:pt idx="5">
                  <c:v>32.5</c:v>
                </c:pt>
                <c:pt idx="6">
                  <c:v>22.5</c:v>
                </c:pt>
                <c:pt idx="7">
                  <c:v>17.5</c:v>
                </c:pt>
                <c:pt idx="8">
                  <c:v>2.5</c:v>
                </c:pt>
                <c:pt idx="9">
                  <c:v>2.5</c:v>
                </c:pt>
                <c:pt idx="10">
                  <c:v>2.5</c:v>
                </c:pt>
                <c:pt idx="11">
                  <c:v>2.5</c:v>
                </c:pt>
                <c:pt idx="12">
                  <c:v>10</c:v>
                </c:pt>
                <c:pt idx="13">
                  <c:v>7.5</c:v>
                </c:pt>
                <c:pt idx="14">
                  <c:v>10</c:v>
                </c:pt>
                <c:pt idx="15">
                  <c:v>10</c:v>
                </c:pt>
                <c:pt idx="16">
                  <c:v>2.5</c:v>
                </c:pt>
                <c:pt idx="17">
                  <c:v>5</c:v>
                </c:pt>
                <c:pt idx="18">
                  <c:v>5</c:v>
                </c:pt>
                <c:pt idx="19">
                  <c:v>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C61-4FA2-89DE-F924F153C5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402908608"/>
        <c:axId val="487827568"/>
      </c:barChart>
      <c:catAx>
        <c:axId val="402908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18" cap="flat" cmpd="sng" algn="ctr">
            <a:solidFill>
              <a:schemeClr val="accent1"/>
            </a:solidFill>
            <a:round/>
          </a:ln>
          <a:effectLst/>
        </c:spPr>
        <c:txPr>
          <a:bodyPr rot="-5400000" vert="horz"/>
          <a:lstStyle/>
          <a:p>
            <a:pPr>
              <a:defRPr sz="899" b="0" i="0" u="none" strike="noStrike" baseline="0">
                <a:solidFill>
                  <a:srgbClr val="333333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487827568"/>
        <c:crosses val="autoZero"/>
        <c:auto val="1"/>
        <c:lblAlgn val="ctr"/>
        <c:lblOffset val="100"/>
        <c:noMultiLvlLbl val="0"/>
      </c:catAx>
      <c:valAx>
        <c:axId val="48782756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999" b="0" i="0" u="none" strike="noStrike" baseline="0">
                    <a:solidFill>
                      <a:srgbClr val="333333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en-US"/>
                  <a:t>Gene transformation (%)</a:t>
                </a:r>
              </a:p>
            </c:rich>
          </c:tx>
          <c:overlay val="0"/>
          <c:spPr>
            <a:noFill/>
            <a:ln w="25382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noFill/>
          <a:ln cap="flat">
            <a:solidFill>
              <a:schemeClr val="accent1"/>
            </a:solidFill>
            <a:round/>
          </a:ln>
          <a:effectLst/>
        </c:spPr>
        <c:txPr>
          <a:bodyPr rot="0" vert="horz"/>
          <a:lstStyle/>
          <a:p>
            <a:pPr>
              <a:defRPr sz="899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402908608"/>
        <c:crosses val="autoZero"/>
        <c:crossBetween val="between"/>
      </c:valAx>
      <c:spPr>
        <a:noFill/>
        <a:ln w="12691">
          <a:solidFill>
            <a:schemeClr val="accent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1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Referee</cp:lastModifiedBy>
  <cp:revision>4</cp:revision>
  <dcterms:created xsi:type="dcterms:W3CDTF">2022-11-01T10:02:00Z</dcterms:created>
  <dcterms:modified xsi:type="dcterms:W3CDTF">2022-11-01T10:30:00Z</dcterms:modified>
</cp:coreProperties>
</file>