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D7D3A" w14:textId="77777777" w:rsidR="005778B9" w:rsidRPr="00174B2E" w:rsidRDefault="005778B9" w:rsidP="005778B9">
      <w:pPr>
        <w:widowControl/>
        <w:spacing w:line="480" w:lineRule="auto"/>
        <w:jc w:val="left"/>
        <w:rPr>
          <w:rFonts w:ascii="Times New Roman" w:eastAsia="游明朝" w:hAnsi="Times New Roman"/>
          <w:b/>
          <w:bCs/>
          <w:sz w:val="24"/>
          <w:szCs w:val="24"/>
        </w:rPr>
      </w:pPr>
      <w:r w:rsidRPr="00174B2E">
        <w:rPr>
          <w:rFonts w:ascii="Times New Roman" w:eastAsia="游明朝" w:hAnsi="Times New Roman"/>
          <w:b/>
          <w:bCs/>
          <w:sz w:val="24"/>
          <w:szCs w:val="24"/>
        </w:rPr>
        <w:t>Supplementary Materials and Methods</w:t>
      </w:r>
    </w:p>
    <w:p w14:paraId="2B79ED51"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7F920EB2"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hAnsi="Times New Roman"/>
          <w:b/>
          <w:bCs/>
          <w:sz w:val="24"/>
          <w:szCs w:val="24"/>
        </w:rPr>
        <w:t>Immunohistochemical analysis of 8B or 9G glioblastoma tissue</w:t>
      </w:r>
    </w:p>
    <w:p w14:paraId="214AAD70" w14:textId="77777777" w:rsidR="005778B9" w:rsidRPr="00174B2E" w:rsidRDefault="005778B9" w:rsidP="005778B9">
      <w:pPr>
        <w:spacing w:line="480" w:lineRule="auto"/>
        <w:rPr>
          <w:rFonts w:ascii="Times New Roman" w:hAnsi="Times New Roman"/>
          <w:sz w:val="24"/>
          <w:szCs w:val="24"/>
        </w:rPr>
      </w:pPr>
      <w:r w:rsidRPr="00174B2E">
        <w:rPr>
          <w:rFonts w:ascii="Times New Roman" w:hAnsi="Times New Roman"/>
          <w:sz w:val="24"/>
          <w:szCs w:val="24"/>
        </w:rPr>
        <w:t xml:space="preserve">Brain samples were embedded in Tissue-Tek OCT (Sakura </w:t>
      </w:r>
      <w:proofErr w:type="spellStart"/>
      <w:r w:rsidRPr="00174B2E">
        <w:rPr>
          <w:rFonts w:ascii="Times New Roman" w:hAnsi="Times New Roman"/>
          <w:sz w:val="24"/>
          <w:szCs w:val="24"/>
        </w:rPr>
        <w:t>Finetek</w:t>
      </w:r>
      <w:proofErr w:type="spellEnd"/>
      <w:r w:rsidRPr="00174B2E">
        <w:rPr>
          <w:rFonts w:ascii="Times New Roman" w:hAnsi="Times New Roman"/>
          <w:sz w:val="24"/>
          <w:szCs w:val="24"/>
        </w:rPr>
        <w:t xml:space="preserve">, Torrance, CA, USA). 5-µm-thick sections were stained and analysed. For immunohistochemical analysis, the sections were stained with primary antibody and then treated with an appropriate secondary antibody conjugated with Alexa555. The antibodies used were as follows: anti-CD3 (17A2), -CD19 (6D5), -Ly6g (1A8), -Ly6c (HK1.4), -F4/80 (BM8), -CD11b (M1/70), -CD169 (3D6.112), -CD11c (N418) and -CD38 (90). These primary antibodies were purchased from </w:t>
      </w:r>
      <w:proofErr w:type="spellStart"/>
      <w:r w:rsidRPr="00174B2E">
        <w:rPr>
          <w:rFonts w:ascii="Times New Roman" w:hAnsi="Times New Roman"/>
          <w:sz w:val="24"/>
          <w:szCs w:val="24"/>
        </w:rPr>
        <w:t>BioLegend</w:t>
      </w:r>
      <w:proofErr w:type="spellEnd"/>
      <w:r w:rsidRPr="00174B2E">
        <w:rPr>
          <w:rFonts w:ascii="Times New Roman" w:hAnsi="Times New Roman"/>
          <w:sz w:val="24"/>
          <w:szCs w:val="24"/>
        </w:rPr>
        <w:t xml:space="preserve"> (San Diego, CA, USA). The FITC-conjugated anti-CD3ζ (H146-968) monoclonal antibody was purchased from Abcam (San Francisco, CA, USA). Nuclei were counterstained with 4’,6-diamidino-2-phenylidole dihydrochloride (DAPI; Sigma Aldrich, St. Louis, MO, USA). For multiple immunofluorescent staining, the Opal 4-color fluorescent IHC kit (</w:t>
      </w:r>
      <w:proofErr w:type="gramStart"/>
      <w:r w:rsidRPr="00174B2E">
        <w:rPr>
          <w:rFonts w:ascii="Times New Roman" w:hAnsi="Times New Roman"/>
          <w:sz w:val="24"/>
          <w:szCs w:val="24"/>
        </w:rPr>
        <w:t>Perkin-Elmer</w:t>
      </w:r>
      <w:proofErr w:type="gramEnd"/>
      <w:r w:rsidRPr="00174B2E">
        <w:rPr>
          <w:rFonts w:ascii="Times New Roman" w:hAnsi="Times New Roman"/>
          <w:sz w:val="24"/>
          <w:szCs w:val="24"/>
        </w:rPr>
        <w:t>) was used.</w:t>
      </w:r>
    </w:p>
    <w:p w14:paraId="48EC7562"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32600652"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hAnsi="Times New Roman"/>
          <w:b/>
          <w:bCs/>
          <w:sz w:val="24"/>
          <w:szCs w:val="24"/>
        </w:rPr>
        <w:t xml:space="preserve">Specific cell depletion by </w:t>
      </w:r>
      <w:r w:rsidRPr="00174B2E">
        <w:rPr>
          <w:rFonts w:ascii="Times New Roman" w:hAnsi="Times New Roman"/>
          <w:b/>
          <w:bCs/>
          <w:i/>
          <w:iCs/>
          <w:sz w:val="24"/>
          <w:szCs w:val="24"/>
        </w:rPr>
        <w:t xml:space="preserve">in vivo </w:t>
      </w:r>
      <w:r w:rsidRPr="00174B2E">
        <w:rPr>
          <w:rFonts w:ascii="Times New Roman" w:hAnsi="Times New Roman"/>
          <w:b/>
          <w:bCs/>
          <w:sz w:val="24"/>
          <w:szCs w:val="24"/>
        </w:rPr>
        <w:t xml:space="preserve">monoclonal antibody administration </w:t>
      </w:r>
    </w:p>
    <w:p w14:paraId="28DF49D6" w14:textId="77777777" w:rsidR="005778B9" w:rsidRPr="00174B2E" w:rsidRDefault="005778B9" w:rsidP="005778B9">
      <w:pPr>
        <w:spacing w:line="480" w:lineRule="auto"/>
        <w:rPr>
          <w:rFonts w:ascii="Times New Roman" w:hAnsi="Times New Roman"/>
          <w:sz w:val="24"/>
          <w:szCs w:val="24"/>
        </w:rPr>
      </w:pPr>
      <w:r w:rsidRPr="00174B2E">
        <w:rPr>
          <w:rFonts w:ascii="Times New Roman" w:hAnsi="Times New Roman"/>
          <w:sz w:val="24"/>
          <w:szCs w:val="24"/>
        </w:rPr>
        <w:t>8B cells (1 × 10</w:t>
      </w:r>
      <w:r w:rsidRPr="00174B2E">
        <w:rPr>
          <w:rFonts w:ascii="Times New Roman" w:hAnsi="Times New Roman"/>
          <w:sz w:val="24"/>
          <w:szCs w:val="24"/>
          <w:vertAlign w:val="superscript"/>
        </w:rPr>
        <w:t>4</w:t>
      </w:r>
      <w:r w:rsidRPr="00174B2E">
        <w:rPr>
          <w:rFonts w:ascii="Times New Roman" w:hAnsi="Times New Roman"/>
          <w:sz w:val="24"/>
          <w:szCs w:val="24"/>
        </w:rPr>
        <w:t xml:space="preserve">) were transplanted into the C57BL/6 mouse brain as described. One day before tumour inoculation, 200 </w:t>
      </w:r>
      <w:proofErr w:type="spellStart"/>
      <w:r w:rsidRPr="00174B2E">
        <w:rPr>
          <w:rFonts w:ascii="Times New Roman" w:hAnsi="Times New Roman"/>
          <w:sz w:val="24"/>
          <w:szCs w:val="24"/>
        </w:rPr>
        <w:t>μg</w:t>
      </w:r>
      <w:proofErr w:type="spellEnd"/>
      <w:r w:rsidRPr="00174B2E">
        <w:rPr>
          <w:rFonts w:ascii="Times New Roman" w:hAnsi="Times New Roman"/>
          <w:sz w:val="24"/>
          <w:szCs w:val="24"/>
        </w:rPr>
        <w:t xml:space="preserve"> of anti-Gr-1 antibody (clone; RB6-8C5, </w:t>
      </w:r>
      <w:proofErr w:type="spellStart"/>
      <w:r w:rsidRPr="00174B2E">
        <w:rPr>
          <w:rFonts w:ascii="Times New Roman" w:hAnsi="Times New Roman"/>
          <w:sz w:val="24"/>
          <w:szCs w:val="24"/>
        </w:rPr>
        <w:t>BioLegend</w:t>
      </w:r>
      <w:proofErr w:type="spellEnd"/>
      <w:r w:rsidRPr="00174B2E">
        <w:rPr>
          <w:rFonts w:ascii="Times New Roman" w:hAnsi="Times New Roman"/>
          <w:sz w:val="24"/>
          <w:szCs w:val="24"/>
        </w:rPr>
        <w:t xml:space="preserve">, San Diego, CA, USA), anti-CD11b antibody (clone; M1/70, Biolegend), or rat IgG (Jackson </w:t>
      </w:r>
      <w:proofErr w:type="spellStart"/>
      <w:r w:rsidRPr="00174B2E">
        <w:rPr>
          <w:rFonts w:ascii="Times New Roman" w:hAnsi="Times New Roman"/>
          <w:sz w:val="24"/>
          <w:szCs w:val="24"/>
        </w:rPr>
        <w:t>ImmunoResearch</w:t>
      </w:r>
      <w:proofErr w:type="spellEnd"/>
      <w:r w:rsidRPr="00174B2E">
        <w:rPr>
          <w:rFonts w:ascii="Times New Roman" w:hAnsi="Times New Roman"/>
          <w:sz w:val="24"/>
          <w:szCs w:val="24"/>
        </w:rPr>
        <w:t xml:space="preserve">, PA, USA) (n=5, each) were intraperitoneally injected. Twenty-one days later, 100 </w:t>
      </w:r>
      <w:proofErr w:type="spellStart"/>
      <w:r w:rsidRPr="00174B2E">
        <w:rPr>
          <w:rFonts w:ascii="Times New Roman" w:hAnsi="Times New Roman"/>
          <w:sz w:val="24"/>
          <w:szCs w:val="24"/>
        </w:rPr>
        <w:t>μg</w:t>
      </w:r>
      <w:proofErr w:type="spellEnd"/>
      <w:r w:rsidRPr="00174B2E">
        <w:rPr>
          <w:rFonts w:ascii="Times New Roman" w:hAnsi="Times New Roman"/>
          <w:sz w:val="24"/>
          <w:szCs w:val="24"/>
        </w:rPr>
        <w:t xml:space="preserve"> of each antibody was </w:t>
      </w:r>
      <w:r w:rsidRPr="00174B2E">
        <w:rPr>
          <w:rFonts w:ascii="Times New Roman" w:hAnsi="Times New Roman"/>
          <w:sz w:val="24"/>
          <w:szCs w:val="24"/>
        </w:rPr>
        <w:lastRenderedPageBreak/>
        <w:t xml:space="preserve">injected again. Then mouse survival was continuously observed </w:t>
      </w:r>
      <w:proofErr w:type="gramStart"/>
      <w:r w:rsidRPr="00174B2E">
        <w:rPr>
          <w:rFonts w:ascii="Times New Roman" w:hAnsi="Times New Roman"/>
          <w:sz w:val="24"/>
          <w:szCs w:val="24"/>
        </w:rPr>
        <w:t>during</w:t>
      </w:r>
      <w:proofErr w:type="gramEnd"/>
      <w:r w:rsidRPr="00174B2E">
        <w:rPr>
          <w:rFonts w:ascii="Times New Roman" w:hAnsi="Times New Roman"/>
          <w:sz w:val="24"/>
          <w:szCs w:val="24"/>
        </w:rPr>
        <w:t xml:space="preserve"> one year. The frequency of mouse death at day 365 among RB6-8C5, M1/70, or rat IgG treated groups was compared using the Chi-square test of independence. Mouse overall survival was analysed by the Kaplan-Meier method. Multiple testing corrections were carried out using the Bonferroni method.</w:t>
      </w:r>
    </w:p>
    <w:p w14:paraId="19206C9D"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0BF37CA9"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hAnsi="Times New Roman"/>
          <w:b/>
          <w:bCs/>
          <w:sz w:val="24"/>
          <w:szCs w:val="24"/>
        </w:rPr>
        <w:t>Identification of signalling pathway of IL-6 in 8B cells</w:t>
      </w:r>
    </w:p>
    <w:p w14:paraId="170206A9" w14:textId="77777777" w:rsidR="005778B9" w:rsidRPr="00174B2E" w:rsidRDefault="005778B9" w:rsidP="005778B9">
      <w:pPr>
        <w:spacing w:line="480" w:lineRule="auto"/>
        <w:ind w:left="120" w:hangingChars="50" w:hanging="120"/>
        <w:rPr>
          <w:rFonts w:ascii="Times New Roman" w:hAnsi="Times New Roman"/>
          <w:sz w:val="24"/>
          <w:szCs w:val="24"/>
        </w:rPr>
      </w:pPr>
      <w:r w:rsidRPr="00174B2E">
        <w:rPr>
          <w:rFonts w:ascii="Times New Roman" w:hAnsi="Times New Roman"/>
          <w:sz w:val="24"/>
          <w:szCs w:val="24"/>
        </w:rPr>
        <w:t xml:space="preserve">To determine the signalling pathway involved in IL-6 production by 8B cells, 20 </w:t>
      </w:r>
      <w:r w:rsidRPr="00174B2E">
        <w:rPr>
          <w:rFonts w:ascii="Symbol" w:hAnsi="Symbol" w:hint="eastAsia"/>
          <w:sz w:val="24"/>
          <w:szCs w:val="24"/>
        </w:rPr>
        <w:t>m</w:t>
      </w:r>
      <w:r w:rsidRPr="00174B2E">
        <w:rPr>
          <w:rFonts w:ascii="Times New Roman" w:hAnsi="Times New Roman"/>
          <w:sz w:val="24"/>
          <w:szCs w:val="24"/>
        </w:rPr>
        <w:t>M of PD0325901 (</w:t>
      </w:r>
      <w:proofErr w:type="spellStart"/>
      <w:r w:rsidRPr="00174B2E">
        <w:rPr>
          <w:rFonts w:ascii="Times New Roman" w:hAnsi="Times New Roman"/>
          <w:sz w:val="24"/>
          <w:szCs w:val="24"/>
        </w:rPr>
        <w:t>AdooQ</w:t>
      </w:r>
      <w:proofErr w:type="spellEnd"/>
      <w:r w:rsidRPr="00174B2E">
        <w:rPr>
          <w:rFonts w:ascii="Times New Roman" w:hAnsi="Times New Roman"/>
          <w:sz w:val="24"/>
          <w:szCs w:val="24"/>
        </w:rPr>
        <w:t>, Irvine, CA, USA) (MEK1/2 inhibitor), U0126 (Cayman Chemical, Ann Arbor, MI, USA) (MEK1/2 inhibitor), LY294002 (Cayman Chemical) (PI3K inhibitor), BAY117082 (Wako, Osaka, Japan) (NF</w:t>
      </w:r>
      <w:r w:rsidRPr="00174B2E">
        <w:rPr>
          <w:rFonts w:ascii="Symbol" w:hAnsi="Symbol" w:hint="eastAsia"/>
          <w:sz w:val="24"/>
          <w:szCs w:val="24"/>
        </w:rPr>
        <w:t>k</w:t>
      </w:r>
      <w:r w:rsidRPr="00174B2E">
        <w:rPr>
          <w:rFonts w:ascii="Times New Roman" w:hAnsi="Times New Roman"/>
          <w:sz w:val="24"/>
          <w:szCs w:val="24"/>
        </w:rPr>
        <w:t>B inhibitor), SB203580 (Cayman Chemical) (p38 inhibitor), and SP600125 (</w:t>
      </w:r>
      <w:proofErr w:type="spellStart"/>
      <w:r w:rsidRPr="00174B2E">
        <w:rPr>
          <w:rFonts w:ascii="Times New Roman" w:hAnsi="Times New Roman"/>
          <w:sz w:val="24"/>
          <w:szCs w:val="24"/>
        </w:rPr>
        <w:t>AdooQ</w:t>
      </w:r>
      <w:proofErr w:type="spellEnd"/>
      <w:r w:rsidRPr="00174B2E">
        <w:rPr>
          <w:rFonts w:ascii="Times New Roman" w:hAnsi="Times New Roman"/>
          <w:sz w:val="24"/>
          <w:szCs w:val="24"/>
        </w:rPr>
        <w:t xml:space="preserve">) (JNK inhibitor) or vehicle (dimethyl sulfoxide) was added to the 8B culture. 24 h later, the culture medium was discarded completely and fresh medium containing the inhibitors was added. After another 24 h, the accumulation of IL-6 in each supernatant was analysed by </w:t>
      </w:r>
      <w:proofErr w:type="spellStart"/>
      <w:r w:rsidRPr="00174B2E">
        <w:rPr>
          <w:rFonts w:ascii="Times New Roman" w:hAnsi="Times New Roman"/>
          <w:sz w:val="24"/>
          <w:szCs w:val="24"/>
        </w:rPr>
        <w:t>Legendplex</w:t>
      </w:r>
      <w:proofErr w:type="spellEnd"/>
      <w:r w:rsidRPr="00174B2E">
        <w:rPr>
          <w:rFonts w:ascii="Times New Roman" w:hAnsi="Times New Roman"/>
          <w:sz w:val="24"/>
          <w:szCs w:val="24"/>
        </w:rPr>
        <w:t xml:space="preserve"> (</w:t>
      </w:r>
      <w:proofErr w:type="spellStart"/>
      <w:r w:rsidRPr="00174B2E">
        <w:rPr>
          <w:rFonts w:ascii="Times New Roman" w:hAnsi="Times New Roman"/>
          <w:sz w:val="24"/>
          <w:szCs w:val="24"/>
        </w:rPr>
        <w:t>BioLegend</w:t>
      </w:r>
      <w:proofErr w:type="spellEnd"/>
      <w:r w:rsidRPr="00174B2E">
        <w:rPr>
          <w:rFonts w:ascii="Times New Roman" w:hAnsi="Times New Roman"/>
          <w:sz w:val="24"/>
          <w:szCs w:val="24"/>
        </w:rPr>
        <w:t>) using an FC500 instrument. Cell proliferation under each culture condition was also monitored by an MTT assay (see below).</w:t>
      </w:r>
    </w:p>
    <w:p w14:paraId="43C63BC4" w14:textId="77777777" w:rsidR="005778B9" w:rsidRPr="00174B2E" w:rsidRDefault="005778B9" w:rsidP="005778B9">
      <w:pPr>
        <w:spacing w:line="480" w:lineRule="auto"/>
        <w:rPr>
          <w:rFonts w:ascii="Times New Roman" w:hAnsi="Times New Roman"/>
          <w:sz w:val="24"/>
          <w:szCs w:val="24"/>
        </w:rPr>
      </w:pPr>
    </w:p>
    <w:p w14:paraId="26EF94CA"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hAnsi="Times New Roman"/>
          <w:b/>
          <w:bCs/>
          <w:sz w:val="24"/>
          <w:szCs w:val="24"/>
        </w:rPr>
        <w:t>MTT assay</w:t>
      </w:r>
    </w:p>
    <w:p w14:paraId="502BC0E7" w14:textId="77777777" w:rsidR="005778B9" w:rsidRPr="00174B2E" w:rsidRDefault="005778B9" w:rsidP="005778B9">
      <w:pPr>
        <w:spacing w:line="480" w:lineRule="auto"/>
        <w:rPr>
          <w:rFonts w:ascii="Times New Roman" w:hAnsi="Times New Roman"/>
          <w:sz w:val="24"/>
          <w:szCs w:val="24"/>
        </w:rPr>
      </w:pPr>
      <w:r w:rsidRPr="00174B2E">
        <w:rPr>
          <w:rFonts w:ascii="Times New Roman" w:hAnsi="Times New Roman"/>
          <w:sz w:val="24"/>
          <w:szCs w:val="24"/>
        </w:rPr>
        <w:t>Cell proliferation was analysed using a Cell Proliferation Kit I (MTT) following the manufacturer’s instructions (Merck, Billerica, MA, USA).</w:t>
      </w:r>
    </w:p>
    <w:p w14:paraId="39944E9C" w14:textId="77777777" w:rsidR="005778B9" w:rsidRPr="00174B2E" w:rsidRDefault="005778B9" w:rsidP="005778B9">
      <w:pPr>
        <w:spacing w:line="480" w:lineRule="auto"/>
        <w:rPr>
          <w:rFonts w:ascii="Times New Roman" w:hAnsi="Times New Roman"/>
          <w:sz w:val="24"/>
          <w:szCs w:val="24"/>
        </w:rPr>
      </w:pPr>
    </w:p>
    <w:p w14:paraId="099897B5"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hAnsi="Times New Roman"/>
          <w:b/>
          <w:bCs/>
          <w:sz w:val="24"/>
          <w:szCs w:val="24"/>
        </w:rPr>
        <w:t>Oxidative stress detection assay</w:t>
      </w:r>
    </w:p>
    <w:p w14:paraId="3E00B6D9" w14:textId="77777777" w:rsidR="005778B9" w:rsidRPr="00174B2E" w:rsidRDefault="005778B9" w:rsidP="005778B9">
      <w:pPr>
        <w:spacing w:line="480" w:lineRule="auto"/>
        <w:rPr>
          <w:rFonts w:ascii="Times New Roman" w:hAnsi="Times New Roman"/>
          <w:sz w:val="24"/>
          <w:szCs w:val="24"/>
        </w:rPr>
      </w:pPr>
      <w:r w:rsidRPr="00174B2E">
        <w:rPr>
          <w:rFonts w:ascii="Times New Roman" w:hAnsi="Times New Roman"/>
          <w:sz w:val="24"/>
          <w:szCs w:val="24"/>
        </w:rPr>
        <w:t xml:space="preserve">Oxidative stress in 8B and 9G cells was measured </w:t>
      </w:r>
      <w:bookmarkStart w:id="0" w:name="_Hlk63363312"/>
      <w:r w:rsidRPr="00174B2E">
        <w:rPr>
          <w:rFonts w:ascii="Times New Roman" w:hAnsi="Times New Roman"/>
          <w:sz w:val="24"/>
          <w:szCs w:val="24"/>
        </w:rPr>
        <w:t>by reactive oxygen species (ROS</w:t>
      </w:r>
      <w:bookmarkEnd w:id="0"/>
      <w:r w:rsidRPr="00174B2E">
        <w:rPr>
          <w:rFonts w:ascii="Times New Roman" w:hAnsi="Times New Roman"/>
          <w:sz w:val="24"/>
          <w:szCs w:val="24"/>
        </w:rPr>
        <w:t xml:space="preserve">) production using </w:t>
      </w:r>
      <w:proofErr w:type="spellStart"/>
      <w:r w:rsidRPr="00174B2E">
        <w:rPr>
          <w:rFonts w:ascii="Times New Roman" w:hAnsi="Times New Roman"/>
          <w:sz w:val="24"/>
          <w:szCs w:val="24"/>
        </w:rPr>
        <w:t>CellROX</w:t>
      </w:r>
      <w:proofErr w:type="spellEnd"/>
      <w:r w:rsidRPr="00174B2E">
        <w:rPr>
          <w:rFonts w:ascii="Times New Roman" w:hAnsi="Times New Roman"/>
          <w:sz w:val="24"/>
          <w:szCs w:val="24"/>
          <w:vertAlign w:val="superscript"/>
        </w:rPr>
        <w:t>®</w:t>
      </w:r>
      <w:r w:rsidRPr="00174B2E">
        <w:rPr>
          <w:rFonts w:ascii="Times New Roman" w:hAnsi="Times New Roman"/>
          <w:sz w:val="24"/>
          <w:szCs w:val="24"/>
        </w:rPr>
        <w:t xml:space="preserve"> Deep Red staining kit. 8B or 9G cells were cultured in glioma medium without </w:t>
      </w:r>
      <w:bookmarkStart w:id="1" w:name="_Hlk63363325"/>
      <w:r w:rsidRPr="00174B2E">
        <w:rPr>
          <w:rFonts w:ascii="Times New Roman" w:hAnsi="Times New Roman"/>
          <w:i/>
          <w:iCs/>
          <w:sz w:val="24"/>
          <w:szCs w:val="24"/>
        </w:rPr>
        <w:t>N</w:t>
      </w:r>
      <w:r w:rsidRPr="00174B2E">
        <w:rPr>
          <w:rFonts w:ascii="Times New Roman" w:hAnsi="Times New Roman"/>
          <w:sz w:val="24"/>
          <w:szCs w:val="24"/>
        </w:rPr>
        <w:t xml:space="preserve">-acetylcysteine (NAC) </w:t>
      </w:r>
      <w:bookmarkEnd w:id="1"/>
      <w:r w:rsidRPr="00174B2E">
        <w:rPr>
          <w:rFonts w:ascii="Times New Roman" w:hAnsi="Times New Roman"/>
          <w:sz w:val="24"/>
          <w:szCs w:val="24"/>
        </w:rPr>
        <w:t xml:space="preserve">overnight; then, several concentrations of NAC were added and cultured for 2 h. The cells were further cultured with </w:t>
      </w:r>
      <w:proofErr w:type="spellStart"/>
      <w:r w:rsidRPr="00174B2E">
        <w:rPr>
          <w:rFonts w:ascii="Times New Roman" w:hAnsi="Times New Roman"/>
          <w:sz w:val="24"/>
          <w:szCs w:val="24"/>
        </w:rPr>
        <w:t>CellROX</w:t>
      </w:r>
      <w:proofErr w:type="spellEnd"/>
      <w:r w:rsidRPr="00174B2E">
        <w:rPr>
          <w:rFonts w:ascii="Times New Roman" w:hAnsi="Times New Roman"/>
          <w:sz w:val="24"/>
          <w:szCs w:val="24"/>
          <w:vertAlign w:val="superscript"/>
        </w:rPr>
        <w:t>®</w:t>
      </w:r>
      <w:r w:rsidRPr="00174B2E">
        <w:rPr>
          <w:rFonts w:ascii="Times New Roman" w:hAnsi="Times New Roman"/>
          <w:sz w:val="24"/>
          <w:szCs w:val="24"/>
        </w:rPr>
        <w:t xml:space="preserve"> Deep Red staining solution, followed by analysis of ROS levels by flow cytometry.</w:t>
      </w:r>
    </w:p>
    <w:p w14:paraId="3C73703C"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33A579A0"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6E37C211"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6C1D094C"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30FAA404"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1A730D97"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4ADD0F0E"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1D976494"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14BCBD95" w14:textId="77777777" w:rsidR="005778B9" w:rsidRPr="00174B2E" w:rsidRDefault="005778B9" w:rsidP="005778B9">
      <w:pPr>
        <w:widowControl/>
        <w:spacing w:line="480" w:lineRule="auto"/>
        <w:jc w:val="left"/>
        <w:rPr>
          <w:rFonts w:ascii="Times New Roman" w:eastAsia="游明朝" w:hAnsi="Times New Roman"/>
          <w:b/>
          <w:bCs/>
          <w:sz w:val="24"/>
          <w:szCs w:val="24"/>
        </w:rPr>
      </w:pPr>
    </w:p>
    <w:p w14:paraId="4F1848F2" w14:textId="77777777" w:rsidR="0056223E" w:rsidRPr="005778B9" w:rsidRDefault="0056223E"/>
    <w:sectPr w:rsidR="0056223E" w:rsidRPr="005778B9" w:rsidSect="00307295">
      <w:footerReference w:type="default" r:id="rId6"/>
      <w:pgSz w:w="11906" w:h="16838"/>
      <w:pgMar w:top="1440" w:right="1080" w:bottom="1440" w:left="1080"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0F6E3" w14:textId="77777777" w:rsidR="00F71721" w:rsidRDefault="00F71721">
      <w:r>
        <w:separator/>
      </w:r>
    </w:p>
  </w:endnote>
  <w:endnote w:type="continuationSeparator" w:id="0">
    <w:p w14:paraId="0571F0D7" w14:textId="77777777" w:rsidR="00F71721" w:rsidRDefault="00F71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altName w:val="Yu Mincho"/>
    <w:panose1 w:val="02020400000000000000"/>
    <w:charset w:val="80"/>
    <w:family w:val="roman"/>
    <w:pitch w:val="variable"/>
    <w:sig w:usb0="800002E7" w:usb1="2AC7FCFF" w:usb2="00000012" w:usb3="00000000" w:csb0="0002009F" w:csb1="00000000"/>
  </w:font>
  <w:font w:name="Times New Roman">
    <w:altName w:val="MS Mincho"/>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8FA4" w14:textId="77777777" w:rsidR="007266C3" w:rsidRDefault="00000000">
    <w:pPr>
      <w:pStyle w:val="a3"/>
      <w:jc w:val="center"/>
    </w:pPr>
    <w:r>
      <w:fldChar w:fldCharType="begin"/>
    </w:r>
    <w:r>
      <w:instrText>PAGE   \* MERGEFORMAT</w:instrText>
    </w:r>
    <w:r>
      <w:fldChar w:fldCharType="separate"/>
    </w:r>
    <w:r>
      <w:rPr>
        <w:lang w:val="ja-JP"/>
      </w:rPr>
      <w:t>2</w:t>
    </w:r>
    <w:r>
      <w:fldChar w:fldCharType="end"/>
    </w:r>
  </w:p>
  <w:p w14:paraId="24524A8A" w14:textId="77777777" w:rsidR="007266C3"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0A487" w14:textId="77777777" w:rsidR="00F71721" w:rsidRDefault="00F71721">
      <w:r>
        <w:separator/>
      </w:r>
    </w:p>
  </w:footnote>
  <w:footnote w:type="continuationSeparator" w:id="0">
    <w:p w14:paraId="3EEDE577" w14:textId="77777777" w:rsidR="00F71721" w:rsidRDefault="00F717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8B9"/>
    <w:rsid w:val="00147CE6"/>
    <w:rsid w:val="00174B2E"/>
    <w:rsid w:val="00261F7B"/>
    <w:rsid w:val="0056223E"/>
    <w:rsid w:val="005778B9"/>
    <w:rsid w:val="008D638F"/>
    <w:rsid w:val="00A06344"/>
    <w:rsid w:val="00AC174E"/>
    <w:rsid w:val="00F71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1FBC68"/>
  <w15:chartTrackingRefBased/>
  <w15:docId w15:val="{F70A3A4C-807A-42A0-B84B-CD42A094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78B9"/>
    <w:pPr>
      <w:widowControl w:val="0"/>
      <w:jc w:val="both"/>
    </w:pPr>
    <w:rPr>
      <w:rFonts w:cs="Times New Roman"/>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778B9"/>
    <w:pPr>
      <w:tabs>
        <w:tab w:val="center" w:pos="4680"/>
        <w:tab w:val="right" w:pos="9360"/>
      </w:tabs>
    </w:pPr>
  </w:style>
  <w:style w:type="character" w:customStyle="1" w:styleId="a4">
    <w:name w:val="フッター (文字)"/>
    <w:basedOn w:val="a0"/>
    <w:link w:val="a3"/>
    <w:uiPriority w:val="99"/>
    <w:rsid w:val="005778B9"/>
    <w:rPr>
      <w:rFonts w:cs="Times New Roman"/>
      <w:lang w:val="en-GB"/>
    </w:rPr>
  </w:style>
  <w:style w:type="character" w:styleId="a5">
    <w:name w:val="line number"/>
    <w:basedOn w:val="a0"/>
    <w:uiPriority w:val="99"/>
    <w:semiHidden/>
    <w:unhideWhenUsed/>
    <w:rsid w:val="0057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483</Words>
  <Characters>2758</Characters>
  <Application>Microsoft Office Word</Application>
  <DocSecurity>0</DocSecurity>
  <Lines>22</Lines>
  <Paragraphs>6</Paragraphs>
  <ScaleCrop>false</ScaleCrop>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Wada Haruka</dc:creator>
  <cp:keywords/>
  <dc:description/>
  <cp:lastModifiedBy>Wada Haruka</cp:lastModifiedBy>
  <cp:revision>3</cp:revision>
  <dcterms:created xsi:type="dcterms:W3CDTF">2022-11-04T06:36:00Z</dcterms:created>
  <dcterms:modified xsi:type="dcterms:W3CDTF">2022-11-04T06:36:00Z</dcterms:modified>
</cp:coreProperties>
</file>