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360" w:lineRule="auto"/>
        <w:jc w:val="center"/>
        <w:rPr>
          <w:rFonts w:ascii="Times New Roman" w:hAnsi="Times New Roman" w:eastAsia="宋体" w:cs="Times New Roman"/>
          <w:bCs/>
          <w:kern w:val="0"/>
          <w:sz w:val="28"/>
          <w:szCs w:val="24"/>
        </w:rPr>
      </w:pPr>
      <w:r>
        <w:rPr>
          <w:rFonts w:ascii="Times New Roman" w:hAnsi="Times New Roman" w:eastAsia="宋体" w:cs="Times New Roman"/>
          <w:b/>
          <w:kern w:val="0"/>
          <w:sz w:val="28"/>
          <w:szCs w:val="24"/>
        </w:rPr>
        <w:t xml:space="preserve">Supplementary </w:t>
      </w:r>
      <w:r>
        <w:rPr>
          <w:rFonts w:hint="eastAsia" w:ascii="Times New Roman" w:hAnsi="Times New Roman" w:eastAsia="宋体" w:cs="Times New Roman"/>
          <w:b/>
          <w:kern w:val="0"/>
          <w:sz w:val="28"/>
          <w:szCs w:val="24"/>
        </w:rPr>
        <w:t>Information</w:t>
      </w:r>
    </w:p>
    <w:p>
      <w:pPr>
        <w:spacing w:line="360" w:lineRule="auto"/>
        <w:rPr>
          <w:rFonts w:ascii="Times New Roman" w:hAnsi="Times New Roman" w:cs="Times New Roman"/>
          <w:b/>
          <w:sz w:val="24"/>
          <w:szCs w:val="24"/>
        </w:rPr>
      </w:pPr>
      <w:r>
        <w:rPr>
          <w:rFonts w:hint="eastAsia" w:ascii="Times New Roman" w:hAnsi="Times New Roman" w:cs="Times New Roman"/>
          <w:b/>
          <w:sz w:val="24"/>
          <w:szCs w:val="24"/>
        </w:rPr>
        <w:t>Undercoordinating OH</w:t>
      </w:r>
      <w:r>
        <w:rPr>
          <w:rFonts w:hint="eastAsia" w:ascii="Times New Roman" w:hAnsi="Times New Roman" w:cs="Times New Roman"/>
          <w:b/>
          <w:sz w:val="24"/>
          <w:szCs w:val="24"/>
          <w:vertAlign w:val="superscript"/>
        </w:rPr>
        <w:t>-</w:t>
      </w:r>
      <w:r>
        <w:rPr>
          <w:rFonts w:hint="eastAsia" w:ascii="Times New Roman" w:hAnsi="Times New Roman" w:cs="Times New Roman"/>
          <w:b/>
          <w:sz w:val="24"/>
          <w:szCs w:val="24"/>
        </w:rPr>
        <w:t xml:space="preserve"> network via dispersed electrostatic fields for ultralow overpotential of oxygen evolution in alkaline electrolyte</w:t>
      </w: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sdt>
      <w:sdtPr>
        <w:rPr>
          <w:rFonts w:ascii="宋体" w:hAnsi="宋体" w:eastAsia="宋体"/>
        </w:rPr>
        <w:id w:val="147462946"/>
        <w15:color w:val="DBDBDB"/>
        <w:docPartObj>
          <w:docPartGallery w:val="Table of Contents"/>
          <w:docPartUnique/>
        </w:docPartObj>
      </w:sdtPr>
      <w:sdtEndPr>
        <w:rPr>
          <w:rFonts w:ascii="宋体" w:hAnsi="宋体" w:eastAsia="宋体"/>
          <w:b/>
        </w:rPr>
      </w:sdtEndPr>
      <w:sdtContent>
        <w:p>
          <w:pPr>
            <w:jc w:val="center"/>
            <w:rPr>
              <w:rFonts w:ascii="Times New Roman" w:hAnsi="Times New Roman" w:eastAsia="宋体" w:cs="Times New Roman"/>
              <w:b/>
              <w:bCs/>
            </w:rPr>
          </w:pPr>
          <w:bookmarkStart w:id="28" w:name="_GoBack"/>
          <w:bookmarkEnd w:id="28"/>
          <w:r>
            <w:rPr>
              <w:rFonts w:ascii="Times New Roman" w:hAnsi="Times New Roman" w:eastAsia="宋体" w:cs="Times New Roman"/>
              <w:b/>
              <w:bCs/>
            </w:rPr>
            <w:t>Contents</w:t>
          </w:r>
        </w:p>
        <w:p>
          <w:pPr>
            <w:pStyle w:val="6"/>
            <w:tabs>
              <w:tab w:val="right" w:leader="dot" w:pos="8306"/>
            </w:tabs>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TOC \o "1-2" \h \u </w:instrText>
          </w:r>
          <w:r>
            <w:rPr>
              <w:rFonts w:ascii="Times New Roman" w:hAnsi="Times New Roman" w:cs="Times New Roman"/>
            </w:rPr>
            <w:fldChar w:fldCharType="separate"/>
          </w:r>
          <w:r>
            <w:fldChar w:fldCharType="begin"/>
          </w:r>
          <w:r>
            <w:instrText xml:space="preserve"> HYPERLINK \l "_Toc29759" </w:instrText>
          </w:r>
          <w:r>
            <w:fldChar w:fldCharType="separate"/>
          </w:r>
          <w:r>
            <w:rPr>
              <w:rFonts w:ascii="Times New Roman" w:hAnsi="Times New Roman" w:cs="Times New Roman"/>
              <w:bCs/>
            </w:rPr>
            <w:t>1. Supplementary Figures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_Toc29759 \h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"_Toc5937" </w:instrText>
          </w:r>
          <w:r>
            <w:fldChar w:fldCharType="separate"/>
          </w:r>
          <w:r>
            <w:rPr>
              <w:rFonts w:ascii="Times New Roman" w:hAnsi="Times New Roman" w:cs="Times New Roman"/>
              <w:bCs/>
              <w:szCs w:val="21"/>
            </w:rPr>
            <w:t>Supplementary Fig.</w:t>
          </w:r>
          <w:r>
            <w:rPr>
              <w:rFonts w:ascii="Times New Roman" w:hAnsi="Times New Roman" w:eastAsia="微软雅黑" w:cs="Times New Roman"/>
              <w:bCs/>
              <w:kern w:val="24"/>
              <w:szCs w:val="21"/>
            </w:rPr>
            <w:t xml:space="preserve"> 1</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_Toc5937 \h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"_Toc251" </w:instrText>
          </w:r>
          <w:r>
            <w:fldChar w:fldCharType="separate"/>
          </w:r>
          <w:r>
            <w:rPr>
              <w:rFonts w:ascii="Times New Roman" w:hAnsi="Times New Roman" w:cs="Times New Roman"/>
              <w:bCs/>
              <w:szCs w:val="21"/>
            </w:rPr>
            <w:t>Supplementary Fig.</w:t>
          </w:r>
          <w:r>
            <w:rPr>
              <w:rFonts w:ascii="Times New Roman" w:hAnsi="Times New Roman" w:eastAsia="微软雅黑" w:cs="Times New Roman"/>
              <w:bCs/>
              <w:kern w:val="24"/>
              <w:szCs w:val="21"/>
            </w:rPr>
            <w:t xml:space="preserve"> 2</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_Toc251 \h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"_Toc26791"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szCs w:val="21"/>
            </w:rPr>
            <w:t>3</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_Toc26791 \h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"_Toc11195" </w:instrText>
          </w:r>
          <w:r>
            <w:fldChar w:fldCharType="separate"/>
          </w:r>
          <w:r>
            <w:rPr>
              <w:rFonts w:ascii="Times New Roman" w:hAnsi="Times New Roman" w:cs="Times New Roman"/>
              <w:bCs/>
            </w:rPr>
            <w:t xml:space="preserve">Supplementary Fig. </w:t>
          </w:r>
          <w:r>
            <w:rPr>
              <w:rFonts w:ascii="Times New Roman" w:hAnsi="Times New Roman" w:eastAsia="微软雅黑" w:cs="Times New Roman"/>
              <w:bCs/>
              <w:kern w:val="24"/>
            </w:rPr>
            <w:t>4</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_Toc11195 \h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"_Toc30892"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5</w:t>
          </w:r>
          <w:r>
            <w:rPr>
              <w:rFonts w:ascii="Times New Roman" w:hAnsi="Times New Roman" w:cs="Times New Roman"/>
              <w:bCs/>
              <w:szCs w:val="21"/>
            </w:rPr>
            <w:t xml:space="preserve"> </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_Toc30892 \h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"_Toc514"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6</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_Toc514 \h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"_Toc15732"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7</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_Toc15732 \h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"_Toc19695"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8</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_Toc19695 \h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"_Toc16501"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9</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_Toc16501 \h </w:instrText>
          </w:r>
          <w:r>
            <w:rPr>
              <w:rFonts w:ascii="Times New Roman" w:hAnsi="Times New Roman" w:cs="Times New Roman"/>
            </w:rPr>
            <w:fldChar w:fldCharType="separate"/>
          </w:r>
          <w:r>
            <w:rPr>
              <w:rFonts w:ascii="Times New Roman" w:hAnsi="Times New Roman" w:cs="Times New Roman"/>
            </w:rPr>
            <w:t>7</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"_Toc2479"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10</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_Toc2479 \h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"_Toc25998"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11</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_Toc25998 \h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"_Toc635"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12</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_Toc635 \h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"_Toc21633"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13</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_Toc21633 \h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"_Toc29884"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14</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_Toc29884 \h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"_Toc24346"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15</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_Toc24346 \h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"_Toc21759" </w:instrText>
          </w:r>
          <w:r>
            <w:fldChar w:fldCharType="separate"/>
          </w:r>
          <w:r>
            <w:rPr>
              <w:rFonts w:ascii="Times New Roman" w:hAnsi="Times New Roman" w:cs="Times New Roman"/>
              <w:bCs/>
              <w:szCs w:val="21"/>
            </w:rPr>
            <w:t xml:space="preserve">Supplementary Fig. </w:t>
          </w:r>
          <w:r>
            <w:rPr>
              <w:rFonts w:ascii="Times New Roman" w:hAnsi="Times New Roman" w:eastAsia="微软雅黑" w:cs="Times New Roman"/>
              <w:bCs/>
              <w:kern w:val="24"/>
            </w:rPr>
            <w:t>16</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_Toc21759 \h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r>
            <w:rPr>
              <w:rFonts w:ascii="Times New Roman" w:hAnsi="Times New Roman" w:cs="Times New Roman"/>
            </w:rPr>
            <w:fldChar w:fldCharType="end"/>
          </w:r>
        </w:p>
        <w:p>
          <w:pPr>
            <w:pStyle w:val="6"/>
            <w:tabs>
              <w:tab w:val="right" w:leader="dot" w:pos="8306"/>
            </w:tabs>
            <w:rPr>
              <w:rFonts w:ascii="Times New Roman" w:hAnsi="Times New Roman" w:cs="Times New Roman"/>
            </w:rPr>
          </w:pPr>
          <w:r>
            <w:fldChar w:fldCharType="begin"/>
          </w:r>
          <w:r>
            <w:instrText xml:space="preserve"> HYPERLINK \l "_Toc20927" </w:instrText>
          </w:r>
          <w:r>
            <w:fldChar w:fldCharType="separate"/>
          </w:r>
          <w:r>
            <w:rPr>
              <w:rFonts w:ascii="Times New Roman" w:hAnsi="Times New Roman" w:eastAsia="微软雅黑" w:cs="Times New Roman"/>
              <w:kern w:val="24"/>
              <w:szCs w:val="21"/>
            </w:rPr>
            <w:t xml:space="preserve">2. </w:t>
          </w:r>
          <w:r>
            <w:rPr>
              <w:rFonts w:ascii="Times New Roman" w:hAnsi="Times New Roman" w:cs="Times New Roman"/>
              <w:bCs/>
            </w:rPr>
            <w:t>Supplementary Tables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_Toc20927 \h </w:instrText>
          </w:r>
          <w:r>
            <w:rPr>
              <w:rFonts w:ascii="Times New Roman" w:hAnsi="Times New Roman" w:cs="Times New Roman"/>
            </w:rPr>
            <w:fldChar w:fldCharType="separate"/>
          </w:r>
          <w:r>
            <w:rPr>
              <w:rFonts w:ascii="Times New Roman" w:hAnsi="Times New Roman" w:cs="Times New Roman"/>
            </w:rPr>
            <w:t>14</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"_Toc2019" </w:instrText>
          </w:r>
          <w:r>
            <w:fldChar w:fldCharType="separate"/>
          </w:r>
          <w:r>
            <w:rPr>
              <w:rFonts w:ascii="Times New Roman" w:hAnsi="Times New Roman" w:eastAsia="微软雅黑" w:cs="Times New Roman"/>
              <w:kern w:val="24"/>
              <w:szCs w:val="21"/>
            </w:rPr>
            <w:t>Supplementary table 1</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_Toc2019 \h </w:instrText>
          </w:r>
          <w:r>
            <w:rPr>
              <w:rFonts w:ascii="Times New Roman" w:hAnsi="Times New Roman" w:cs="Times New Roman"/>
            </w:rPr>
            <w:fldChar w:fldCharType="separate"/>
          </w:r>
          <w:r>
            <w:rPr>
              <w:rFonts w:ascii="Times New Roman" w:hAnsi="Times New Roman" w:cs="Times New Roman"/>
            </w:rPr>
            <w:t>14</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"_Toc18743" </w:instrText>
          </w:r>
          <w:r>
            <w:fldChar w:fldCharType="separate"/>
          </w:r>
          <w:r>
            <w:rPr>
              <w:rFonts w:ascii="Times New Roman" w:hAnsi="Times New Roman" w:eastAsia="微软雅黑" w:cs="Times New Roman"/>
              <w:kern w:val="24"/>
              <w:szCs w:val="21"/>
            </w:rPr>
            <w:t>Supplementary table 2</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_Toc18743 \h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"_Toc24365" </w:instrText>
          </w:r>
          <w:r>
            <w:fldChar w:fldCharType="separate"/>
          </w:r>
          <w:r>
            <w:rPr>
              <w:rFonts w:ascii="Times New Roman" w:hAnsi="Times New Roman" w:eastAsia="微软雅黑" w:cs="Times New Roman"/>
              <w:kern w:val="24"/>
              <w:szCs w:val="21"/>
            </w:rPr>
            <w:t>Supplementary table 3</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_Toc24365 \h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"_Toc16359" </w:instrText>
          </w:r>
          <w:r>
            <w:fldChar w:fldCharType="separate"/>
          </w:r>
          <w:r>
            <w:rPr>
              <w:rFonts w:ascii="Times New Roman" w:hAnsi="Times New Roman" w:eastAsia="微软雅黑" w:cs="Times New Roman"/>
              <w:kern w:val="24"/>
              <w:szCs w:val="21"/>
            </w:rPr>
            <w:t>Supplementary table 4</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_Toc16359 \h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"_Toc25751" </w:instrText>
          </w:r>
          <w:r>
            <w:fldChar w:fldCharType="separate"/>
          </w:r>
          <w:r>
            <w:rPr>
              <w:rFonts w:ascii="Times New Roman" w:hAnsi="Times New Roman" w:eastAsia="微软雅黑" w:cs="Times New Roman"/>
              <w:kern w:val="24"/>
              <w:szCs w:val="21"/>
            </w:rPr>
            <w:t>Supplementary table 5</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_Toc25751 \h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"_Toc21985" </w:instrText>
          </w:r>
          <w:r>
            <w:fldChar w:fldCharType="separate"/>
          </w:r>
          <w:r>
            <w:rPr>
              <w:rFonts w:ascii="Times New Roman" w:hAnsi="Times New Roman" w:eastAsia="微软雅黑" w:cs="Times New Roman"/>
              <w:kern w:val="24"/>
              <w:szCs w:val="21"/>
            </w:rPr>
            <w:t>Supplementary table 6</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_Toc21985 \h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r>
            <w:rPr>
              <w:rFonts w:ascii="Times New Roman" w:hAnsi="Times New Roman" w:cs="Times New Roman"/>
            </w:rPr>
            <w:fldChar w:fldCharType="end"/>
          </w:r>
        </w:p>
        <w:p>
          <w:pPr>
            <w:pStyle w:val="7"/>
            <w:tabs>
              <w:tab w:val="right" w:leader="dot" w:pos="8306"/>
            </w:tabs>
            <w:rPr>
              <w:rFonts w:ascii="Times New Roman" w:hAnsi="Times New Roman" w:cs="Times New Roman"/>
            </w:rPr>
          </w:pPr>
          <w:r>
            <w:fldChar w:fldCharType="begin"/>
          </w:r>
          <w:r>
            <w:instrText xml:space="preserve"> HYPERLINK \l "_Toc2083" </w:instrText>
          </w:r>
          <w:r>
            <w:fldChar w:fldCharType="separate"/>
          </w:r>
          <w:r>
            <w:rPr>
              <w:rFonts w:ascii="Times New Roman" w:hAnsi="Times New Roman" w:eastAsia="微软雅黑" w:cs="Times New Roman"/>
              <w:kern w:val="24"/>
              <w:szCs w:val="21"/>
            </w:rPr>
            <w:t>Supplementary table 7</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_Toc2083 \h </w:instrText>
          </w:r>
          <w:r>
            <w:rPr>
              <w:rFonts w:ascii="Times New Roman" w:hAnsi="Times New Roman" w:cs="Times New Roman"/>
            </w:rPr>
            <w:fldChar w:fldCharType="separate"/>
          </w:r>
          <w:r>
            <w:rPr>
              <w:rFonts w:ascii="Times New Roman" w:hAnsi="Times New Roman" w:cs="Times New Roman"/>
            </w:rPr>
            <w:t>17</w:t>
          </w:r>
          <w:r>
            <w:rPr>
              <w:rFonts w:ascii="Times New Roman" w:hAnsi="Times New Roman" w:cs="Times New Roman"/>
            </w:rPr>
            <w:fldChar w:fldCharType="end"/>
          </w:r>
          <w:r>
            <w:rPr>
              <w:rFonts w:ascii="Times New Roman" w:hAnsi="Times New Roman" w:cs="Times New Roman"/>
            </w:rPr>
            <w:fldChar w:fldCharType="end"/>
          </w:r>
        </w:p>
        <w:p>
          <w:pPr>
            <w:pStyle w:val="6"/>
            <w:tabs>
              <w:tab w:val="right" w:leader="dot" w:pos="8306"/>
            </w:tabs>
            <w:rPr>
              <w:rFonts w:ascii="Times New Roman" w:hAnsi="Times New Roman" w:cs="Times New Roman"/>
            </w:rPr>
          </w:pPr>
          <w:r>
            <w:fldChar w:fldCharType="begin"/>
          </w:r>
          <w:r>
            <w:instrText xml:space="preserve"> HYPERLINK \l "_Toc12914" </w:instrText>
          </w:r>
          <w:r>
            <w:fldChar w:fldCharType="separate"/>
          </w:r>
          <w:r>
            <w:rPr>
              <w:rFonts w:ascii="Times New Roman" w:hAnsi="Times New Roman" w:cs="Times New Roman"/>
              <w:bCs/>
              <w:szCs w:val="21"/>
            </w:rPr>
            <w:t>Supplementary References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_Toc12914 \h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r>
            <w:rPr>
              <w:rFonts w:ascii="Times New Roman" w:hAnsi="Times New Roman" w:cs="Times New Roman"/>
            </w:rPr>
            <w:fldChar w:fldCharType="end"/>
          </w:r>
        </w:p>
        <w:p>
          <w:pPr>
            <w:spacing w:line="360" w:lineRule="auto"/>
            <w:rPr>
              <w:rFonts w:ascii="宋体" w:hAnsi="宋体" w:eastAsia="宋体"/>
              <w:b/>
            </w:rPr>
          </w:pPr>
          <w:r>
            <w:rPr>
              <w:rFonts w:ascii="Times New Roman" w:hAnsi="Times New Roman" w:cs="Times New Roman"/>
            </w:rPr>
            <w:fldChar w:fldCharType="end"/>
          </w:r>
        </w:p>
      </w:sdtContent>
    </w:sdt>
    <w:p>
      <w:pPr>
        <w:spacing w:line="360" w:lineRule="auto"/>
        <w:rPr>
          <w:rFonts w:ascii="宋体" w:hAnsi="宋体" w:eastAsia="宋体"/>
          <w:b/>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spacing w:line="360" w:lineRule="auto"/>
        <w:rPr>
          <w:rFonts w:ascii="Times New Roman" w:hAnsi="Times New Roman" w:cs="Times New Roman"/>
          <w:color w:val="000000"/>
          <w:sz w:val="22"/>
        </w:rPr>
      </w:pPr>
    </w:p>
    <w:p>
      <w:pPr>
        <w:numPr>
          <w:ilvl w:val="0"/>
          <w:numId w:val="1"/>
        </w:numPr>
        <w:spacing w:line="360" w:lineRule="auto"/>
        <w:outlineLvl w:val="0"/>
        <w:rPr>
          <w:rFonts w:ascii="Times New Roman" w:hAnsi="Times New Roman" w:cs="Times New Roman"/>
          <w:b/>
          <w:bCs/>
          <w:color w:val="000000"/>
          <w:sz w:val="22"/>
        </w:rPr>
      </w:pPr>
      <w:bookmarkStart w:id="0" w:name="_Toc29759"/>
      <w:r>
        <w:rPr>
          <w:rFonts w:ascii="Times New Roman" w:hAnsi="Times New Roman" w:cs="Times New Roman"/>
          <w:b/>
          <w:bCs/>
          <w:color w:val="000000"/>
          <w:sz w:val="22"/>
        </w:rPr>
        <w:t>Supplementary</w:t>
      </w:r>
      <w:r>
        <w:rPr>
          <w:rFonts w:hint="eastAsia" w:ascii="Times New Roman" w:hAnsi="Times New Roman" w:cs="Times New Roman"/>
          <w:b/>
          <w:bCs/>
          <w:color w:val="000000"/>
          <w:sz w:val="22"/>
        </w:rPr>
        <w:t xml:space="preserve"> Figures</w:t>
      </w:r>
      <w:bookmarkEnd w:id="0"/>
    </w:p>
    <w:p>
      <w:pPr>
        <w:spacing w:line="360" w:lineRule="auto"/>
        <w:jc w:val="center"/>
        <w:rPr>
          <w:rFonts w:ascii="Times New Roman" w:hAnsi="Times New Roman" w:cs="Times New Roman"/>
          <w:color w:val="000000"/>
          <w:sz w:val="22"/>
        </w:rPr>
      </w:pPr>
      <w:r>
        <w:rPr>
          <w:rFonts w:ascii="Times New Roman" w:hAnsi="Times New Roman" w:cs="Times New Roman"/>
        </w:rPr>
        <w:drawing>
          <wp:inline distT="0" distB="0" distL="0" distR="0">
            <wp:extent cx="3841115" cy="2879725"/>
            <wp:effectExtent l="0" t="0" r="1460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3841563" cy="2880000"/>
                    </a:xfrm>
                    <a:prstGeom prst="rect">
                      <a:avLst/>
                    </a:prstGeom>
                    <a:noFill/>
                    <a:ln>
                      <a:noFill/>
                    </a:ln>
                  </pic:spPr>
                </pic:pic>
              </a:graphicData>
            </a:graphic>
          </wp:inline>
        </w:drawing>
      </w:r>
    </w:p>
    <w:p>
      <w:pPr>
        <w:spacing w:line="360" w:lineRule="auto"/>
        <w:jc w:val="center"/>
        <w:outlineLvl w:val="1"/>
        <w:rPr>
          <w:rFonts w:ascii="Times New Roman" w:hAnsi="Times New Roman" w:eastAsia="微软雅黑" w:cs="Times New Roman"/>
          <w:b/>
          <w:kern w:val="24"/>
          <w:szCs w:val="21"/>
        </w:rPr>
      </w:pPr>
      <w:bookmarkStart w:id="1" w:name="_Toc5937"/>
      <w:r>
        <w:rPr>
          <w:rFonts w:ascii="Times New Roman" w:hAnsi="Times New Roman" w:cs="Times New Roman"/>
          <w:b/>
          <w:bCs/>
          <w:szCs w:val="21"/>
        </w:rPr>
        <w:t>Supplementary Fig</w:t>
      </w:r>
      <w:r>
        <w:rPr>
          <w:rFonts w:hint="eastAsia" w:ascii="Times New Roman" w:hAnsi="Times New Roman" w:cs="Times New Roman"/>
          <w:b/>
          <w:bCs/>
          <w:szCs w:val="21"/>
        </w:rPr>
        <w:t>.</w:t>
      </w:r>
      <w:r>
        <w:rPr>
          <w:rFonts w:ascii="Times New Roman" w:hAnsi="Times New Roman" w:eastAsia="微软雅黑" w:cs="Times New Roman"/>
          <w:b/>
          <w:bCs/>
          <w:kern w:val="24"/>
          <w:szCs w:val="21"/>
        </w:rPr>
        <w:t xml:space="preserve"> 1</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bCs/>
          <w:kern w:val="24"/>
          <w:szCs w:val="21"/>
        </w:rPr>
        <w:t>Scanning electron microscope (SEM) of kaolin NS.</w:t>
      </w:r>
      <w:bookmarkEnd w:id="1"/>
    </w:p>
    <w:p>
      <w:pPr>
        <w:jc w:val="center"/>
        <w:rPr>
          <w:rFonts w:ascii="Times New Roman" w:hAnsi="Times New Roman" w:eastAsia="微软雅黑" w:cs="Times New Roman"/>
          <w:kern w:val="24"/>
          <w:szCs w:val="21"/>
        </w:rPr>
      </w:pPr>
      <w:r>
        <w:rPr>
          <w:rFonts w:ascii="Times New Roman" w:hAnsi="Times New Roman" w:eastAsia="微软雅黑" w:cs="Times New Roman"/>
          <w:kern w:val="24"/>
          <w:szCs w:val="21"/>
        </w:rPr>
        <w:drawing>
          <wp:inline distT="0" distB="0" distL="0" distR="0">
            <wp:extent cx="4639945" cy="3542665"/>
            <wp:effectExtent l="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6"/>
                    <a:stretch>
                      <a:fillRect/>
                    </a:stretch>
                  </pic:blipFill>
                  <pic:spPr>
                    <a:xfrm>
                      <a:off x="0" y="0"/>
                      <a:ext cx="4640400" cy="3543163"/>
                    </a:xfrm>
                    <a:prstGeom prst="rect">
                      <a:avLst/>
                    </a:prstGeom>
                  </pic:spPr>
                </pic:pic>
              </a:graphicData>
            </a:graphic>
          </wp:inline>
        </w:drawing>
      </w:r>
    </w:p>
    <w:p>
      <w:pPr>
        <w:spacing w:line="360" w:lineRule="auto"/>
        <w:outlineLvl w:val="1"/>
        <w:rPr>
          <w:rFonts w:ascii="Times New Roman" w:hAnsi="Times New Roman" w:eastAsia="微软雅黑" w:cs="Times New Roman"/>
          <w:kern w:val="24"/>
          <w:szCs w:val="21"/>
        </w:rPr>
      </w:pPr>
      <w:bookmarkStart w:id="2" w:name="_Toc251"/>
      <w:r>
        <w:rPr>
          <w:rFonts w:ascii="Times New Roman" w:hAnsi="Times New Roman" w:cs="Times New Roman"/>
          <w:b/>
          <w:bCs/>
          <w:szCs w:val="21"/>
        </w:rPr>
        <w:t>Supplementary Fig</w:t>
      </w:r>
      <w:r>
        <w:rPr>
          <w:rFonts w:hint="eastAsia" w:ascii="Times New Roman" w:hAnsi="Times New Roman" w:cs="Times New Roman"/>
          <w:b/>
          <w:bCs/>
          <w:szCs w:val="21"/>
        </w:rPr>
        <w:t>.</w:t>
      </w:r>
      <w:r>
        <w:rPr>
          <w:rFonts w:ascii="Times New Roman" w:hAnsi="Times New Roman" w:eastAsia="微软雅黑" w:cs="Times New Roman"/>
          <w:b/>
          <w:bCs/>
          <w:kern w:val="24"/>
          <w:szCs w:val="21"/>
        </w:rPr>
        <w:t xml:space="preserve"> 2</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kern w:val="24"/>
          <w:szCs w:val="21"/>
        </w:rPr>
        <w:t>LSV of ITO/Ni@Ni(OH)</w:t>
      </w:r>
      <w:r>
        <w:rPr>
          <w:rFonts w:ascii="Times New Roman" w:hAnsi="Times New Roman" w:eastAsia="微软雅黑" w:cs="Times New Roman"/>
          <w:b/>
          <w:kern w:val="24"/>
          <w:szCs w:val="21"/>
          <w:vertAlign w:val="subscript"/>
        </w:rPr>
        <w:t>2</w:t>
      </w:r>
      <w:r>
        <w:rPr>
          <w:rFonts w:ascii="Times New Roman" w:hAnsi="Times New Roman" w:eastAsia="微软雅黑" w:cs="Times New Roman"/>
          <w:b/>
          <w:kern w:val="24"/>
          <w:szCs w:val="21"/>
        </w:rPr>
        <w:t xml:space="preserve"> electrodes. </w:t>
      </w:r>
      <w:r>
        <w:rPr>
          <w:rFonts w:ascii="Times New Roman" w:hAnsi="Times New Roman" w:eastAsia="微软雅黑" w:cs="Times New Roman"/>
          <w:kern w:val="24"/>
          <w:szCs w:val="21"/>
        </w:rPr>
        <w:t xml:space="preserve">LSV tested in 1.0 M KOH electrolyte and the borate buffer electrolytes </w:t>
      </w:r>
      <w:bookmarkStart w:id="3" w:name="_Hlk108366216"/>
      <w:r>
        <w:rPr>
          <w:rFonts w:ascii="Times New Roman" w:hAnsi="Times New Roman" w:eastAsia="微软雅黑" w:cs="Times New Roman"/>
          <w:kern w:val="24"/>
          <w:szCs w:val="21"/>
        </w:rPr>
        <w:t>[pH = 9.76</w:t>
      </w:r>
      <w:bookmarkEnd w:id="3"/>
      <w:r>
        <w:rPr>
          <w:rFonts w:ascii="Times New Roman" w:hAnsi="Times New Roman" w:eastAsia="微软雅黑" w:cs="Times New Roman"/>
          <w:kern w:val="24"/>
          <w:szCs w:val="21"/>
        </w:rPr>
        <w:t xml:space="preserve"> (1.0 M KOH +1.7 M H</w:t>
      </w:r>
      <w:r>
        <w:rPr>
          <w:rFonts w:ascii="Times New Roman" w:hAnsi="Times New Roman" w:eastAsia="微软雅黑" w:cs="Times New Roman"/>
          <w:kern w:val="24"/>
          <w:szCs w:val="21"/>
          <w:vertAlign w:val="subscript"/>
        </w:rPr>
        <w:t>3</w:t>
      </w:r>
      <w:r>
        <w:rPr>
          <w:rFonts w:ascii="Times New Roman" w:hAnsi="Times New Roman" w:eastAsia="微软雅黑" w:cs="Times New Roman"/>
          <w:kern w:val="24"/>
          <w:szCs w:val="21"/>
        </w:rPr>
        <w:t>BO</w:t>
      </w:r>
      <w:r>
        <w:rPr>
          <w:rFonts w:ascii="Times New Roman" w:hAnsi="Times New Roman" w:eastAsia="微软雅黑" w:cs="Times New Roman"/>
          <w:kern w:val="24"/>
          <w:szCs w:val="21"/>
          <w:vertAlign w:val="subscript"/>
        </w:rPr>
        <w:t>3</w:t>
      </w:r>
      <w:r>
        <w:rPr>
          <w:rFonts w:ascii="Times New Roman" w:hAnsi="Times New Roman" w:eastAsia="微软雅黑" w:cs="Times New Roman"/>
          <w:kern w:val="24"/>
          <w:szCs w:val="21"/>
        </w:rPr>
        <w:t>) and pH = 11.34 (1.0 M KOH +1.7 M H</w:t>
      </w:r>
      <w:r>
        <w:rPr>
          <w:rFonts w:ascii="Times New Roman" w:hAnsi="Times New Roman" w:eastAsia="微软雅黑" w:cs="Times New Roman"/>
          <w:kern w:val="24"/>
          <w:szCs w:val="21"/>
          <w:vertAlign w:val="subscript"/>
        </w:rPr>
        <w:t>3</w:t>
      </w:r>
      <w:r>
        <w:rPr>
          <w:rFonts w:ascii="Times New Roman" w:hAnsi="Times New Roman" w:eastAsia="微软雅黑" w:cs="Times New Roman"/>
          <w:kern w:val="24"/>
          <w:szCs w:val="21"/>
        </w:rPr>
        <w:t>BO</w:t>
      </w:r>
      <w:r>
        <w:rPr>
          <w:rFonts w:ascii="Times New Roman" w:hAnsi="Times New Roman" w:eastAsia="微软雅黑" w:cs="Times New Roman"/>
          <w:kern w:val="24"/>
          <w:szCs w:val="21"/>
          <w:vertAlign w:val="subscript"/>
        </w:rPr>
        <w:t>3</w:t>
      </w:r>
      <w:r>
        <w:rPr>
          <w:rFonts w:ascii="Times New Roman" w:hAnsi="Times New Roman" w:eastAsia="微软雅黑" w:cs="Times New Roman"/>
          <w:kern w:val="24"/>
          <w:szCs w:val="21"/>
        </w:rPr>
        <w:t>)] with and without 30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xml:space="preserve"> kaolin NS. The scan rate is 50 mV s</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w:t>
      </w:r>
      <w:bookmarkEnd w:id="2"/>
    </w:p>
    <w:p>
      <w:pPr>
        <w:jc w:val="center"/>
        <w:rPr>
          <w:rFonts w:ascii="Times New Roman" w:hAnsi="Times New Roman" w:eastAsia="微软雅黑" w:cs="Times New Roman"/>
          <w:kern w:val="24"/>
          <w:szCs w:val="21"/>
        </w:rPr>
      </w:pPr>
      <w:r>
        <w:drawing>
          <wp:inline distT="0" distB="0" distL="0" distR="0">
            <wp:extent cx="5274310" cy="394462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274310" cy="3945202"/>
                    </a:xfrm>
                    <a:prstGeom prst="rect">
                      <a:avLst/>
                    </a:prstGeom>
                    <a:noFill/>
                    <a:ln>
                      <a:noFill/>
                    </a:ln>
                  </pic:spPr>
                </pic:pic>
              </a:graphicData>
            </a:graphic>
          </wp:inline>
        </w:drawing>
      </w:r>
    </w:p>
    <w:p>
      <w:pPr>
        <w:widowControl/>
        <w:spacing w:line="360" w:lineRule="auto"/>
        <w:jc w:val="left"/>
        <w:outlineLvl w:val="1"/>
        <w:rPr>
          <w:rFonts w:ascii="Times New Roman" w:hAnsi="Times New Roman" w:cs="Times New Roman"/>
          <w:kern w:val="0"/>
          <w:sz w:val="24"/>
          <w:szCs w:val="24"/>
        </w:rPr>
      </w:pPr>
      <w:bookmarkStart w:id="4" w:name="_Toc26791"/>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szCs w:val="21"/>
        </w:rPr>
        <w:t>3</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cs="Times New Roman"/>
          <w:b/>
          <w:bCs/>
        </w:rPr>
        <w:t xml:space="preserve">Theoretical structural model. </w:t>
      </w:r>
      <w:r>
        <w:rPr>
          <w:rFonts w:ascii="Times New Roman" w:hAnsi="Times New Roman" w:cs="Times New Roman"/>
        </w:rPr>
        <w:t>Calculated models for (</w:t>
      </w:r>
      <w:r>
        <w:rPr>
          <w:rFonts w:ascii="Times New Roman" w:hAnsi="Times New Roman" w:cs="Times New Roman"/>
          <w:b/>
          <w:bCs/>
        </w:rPr>
        <w:t>a</w:t>
      </w:r>
      <w:r>
        <w:rPr>
          <w:rFonts w:ascii="Times New Roman" w:hAnsi="Times New Roman" w:cs="Times New Roman"/>
        </w:rPr>
        <w:t>) OH</w:t>
      </w:r>
      <w:r>
        <w:rPr>
          <w:rFonts w:ascii="Times New Roman" w:hAnsi="Times New Roman" w:cs="Times New Roman"/>
          <w:vertAlign w:val="superscript"/>
        </w:rPr>
        <w:t>-</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O and (</w:t>
      </w:r>
      <w:r>
        <w:rPr>
          <w:rFonts w:ascii="Times New Roman" w:hAnsi="Times New Roman" w:cs="Times New Roman"/>
          <w:b/>
          <w:bCs/>
        </w:rPr>
        <w:t>b</w:t>
      </w:r>
      <w:r>
        <w:rPr>
          <w:rFonts w:ascii="Times New Roman" w:hAnsi="Times New Roman" w:cs="Times New Roman"/>
        </w:rPr>
        <w:t>) OH</w:t>
      </w:r>
      <w:r>
        <w:rPr>
          <w:rFonts w:ascii="Times New Roman" w:hAnsi="Times New Roman" w:cs="Times New Roman"/>
          <w:vertAlign w:val="superscript"/>
        </w:rPr>
        <w:t>-</w:t>
      </w:r>
      <w:r>
        <w:rPr>
          <w:rFonts w:ascii="Times New Roman" w:hAnsi="Times New Roman" w:cs="Times New Roman"/>
        </w:rPr>
        <w:t>/H</w:t>
      </w:r>
      <w:r>
        <w:rPr>
          <w:rFonts w:ascii="Times New Roman" w:hAnsi="Times New Roman" w:cs="Times New Roman"/>
          <w:vertAlign w:val="subscript"/>
        </w:rPr>
        <w:t>2</w:t>
      </w:r>
      <w:r>
        <w:rPr>
          <w:rFonts w:ascii="Times New Roman" w:hAnsi="Times New Roman" w:cs="Times New Roman"/>
        </w:rPr>
        <w:t>O+kaolin.</w:t>
      </w:r>
      <w:bookmarkEnd w:id="4"/>
      <w:r>
        <w:rPr>
          <w:rFonts w:ascii="Times New Roman" w:hAnsi="Times New Roman" w:cs="Times New Roman"/>
          <w:kern w:val="0"/>
          <w:sz w:val="24"/>
          <w:szCs w:val="24"/>
        </w:rPr>
        <w:t xml:space="preserve"> </w:t>
      </w:r>
    </w:p>
    <w:p>
      <w:pPr>
        <w:rPr>
          <w:rFonts w:ascii="Times New Roman" w:hAnsi="Times New Roman" w:eastAsia="微软雅黑" w:cs="Times New Roman"/>
          <w:b/>
          <w:kern w:val="24"/>
          <w:szCs w:val="21"/>
        </w:rPr>
      </w:pPr>
      <w:r>
        <w:drawing>
          <wp:inline distT="0" distB="0" distL="0" distR="0">
            <wp:extent cx="5274310" cy="200660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74310" cy="2006980"/>
                    </a:xfrm>
                    <a:prstGeom prst="rect">
                      <a:avLst/>
                    </a:prstGeom>
                    <a:noFill/>
                    <a:ln>
                      <a:noFill/>
                    </a:ln>
                  </pic:spPr>
                </pic:pic>
              </a:graphicData>
            </a:graphic>
          </wp:inline>
        </w:drawing>
      </w:r>
    </w:p>
    <w:p>
      <w:pPr>
        <w:pStyle w:val="16"/>
        <w:spacing w:line="360" w:lineRule="auto"/>
        <w:outlineLvl w:val="1"/>
        <w:rPr>
          <w:bCs/>
        </w:rPr>
      </w:pPr>
      <w:bookmarkStart w:id="5" w:name="_Toc11195"/>
      <w:r>
        <w:rPr>
          <w:b/>
          <w:bCs/>
        </w:rPr>
        <w:t>Supplementary Fig</w:t>
      </w:r>
      <w:r>
        <w:rPr>
          <w:rFonts w:hint="eastAsia"/>
          <w:b/>
          <w:bCs/>
        </w:rPr>
        <w:t xml:space="preserve">. </w:t>
      </w:r>
      <w:r>
        <w:rPr>
          <w:rFonts w:eastAsia="微软雅黑"/>
          <w:b/>
          <w:bCs/>
          <w:kern w:val="24"/>
        </w:rPr>
        <w:t>4</w:t>
      </w:r>
      <w:r>
        <w:rPr>
          <w:b/>
          <w:bCs/>
        </w:rPr>
        <w:t xml:space="preserve"> |</w:t>
      </w:r>
      <w:r>
        <w:rPr>
          <w:bCs/>
        </w:rPr>
        <w:t xml:space="preserve"> </w:t>
      </w:r>
      <w:r>
        <w:rPr>
          <w:rFonts w:eastAsia="微软雅黑"/>
          <w:b/>
          <w:kern w:val="24"/>
        </w:rPr>
        <w:t>SEM of ITO/Ni@Ni(OH)</w:t>
      </w:r>
      <w:r>
        <w:rPr>
          <w:rFonts w:eastAsia="微软雅黑"/>
          <w:b/>
          <w:kern w:val="24"/>
          <w:vertAlign w:val="subscript"/>
        </w:rPr>
        <w:t>2</w:t>
      </w:r>
      <w:r>
        <w:rPr>
          <w:rFonts w:eastAsia="微软雅黑"/>
          <w:b/>
          <w:kern w:val="24"/>
        </w:rPr>
        <w:t xml:space="preserve"> electrodes. </w:t>
      </w:r>
      <w:r>
        <w:rPr>
          <w:rFonts w:eastAsia="微软雅黑"/>
          <w:kern w:val="24"/>
        </w:rPr>
        <w:t>(</w:t>
      </w:r>
      <w:r>
        <w:rPr>
          <w:rFonts w:eastAsia="微软雅黑"/>
          <w:b/>
          <w:kern w:val="24"/>
        </w:rPr>
        <w:t>a</w:t>
      </w:r>
      <w:r>
        <w:rPr>
          <w:rFonts w:eastAsia="微软雅黑"/>
          <w:kern w:val="24"/>
        </w:rPr>
        <w:t>) The cleaned ITO/Ni@Ni(OH)</w:t>
      </w:r>
      <w:r>
        <w:rPr>
          <w:rFonts w:eastAsia="微软雅黑"/>
          <w:kern w:val="24"/>
          <w:vertAlign w:val="subscript"/>
        </w:rPr>
        <w:t>2</w:t>
      </w:r>
      <w:r>
        <w:rPr>
          <w:rFonts w:eastAsia="微软雅黑"/>
          <w:kern w:val="24"/>
        </w:rPr>
        <w:t xml:space="preserve"> electrode after aged in 1.0 M KOH electrolyte, and (</w:t>
      </w:r>
      <w:r>
        <w:rPr>
          <w:rFonts w:eastAsia="微软雅黑"/>
          <w:b/>
          <w:kern w:val="24"/>
        </w:rPr>
        <w:t>b</w:t>
      </w:r>
      <w:r>
        <w:rPr>
          <w:rFonts w:eastAsia="微软雅黑"/>
          <w:kern w:val="24"/>
        </w:rPr>
        <w:t>) cleaned ITO/Ni@Ni(OH)</w:t>
      </w:r>
      <w:r>
        <w:rPr>
          <w:rFonts w:eastAsia="微软雅黑"/>
          <w:kern w:val="24"/>
          <w:vertAlign w:val="subscript"/>
        </w:rPr>
        <w:t>2</w:t>
      </w:r>
      <w:r>
        <w:rPr>
          <w:rFonts w:eastAsia="微软雅黑"/>
          <w:kern w:val="24"/>
        </w:rPr>
        <w:t xml:space="preserve"> electrode after aged in 1.0 M KOH electrolyte with kaolin NS.</w:t>
      </w:r>
      <w:r>
        <w:rPr>
          <w:bCs/>
        </w:rPr>
        <w:t xml:space="preserve"> There is no obvious adsorbed kaolin NS on the electrode surface taken out from the clarified electrolyte with kaolin NS according to the scanning electron microscopy photos, which excludes the possibility of residual kaolin NS for </w:t>
      </w:r>
      <w:r>
        <w:rPr>
          <w:rFonts w:hint="eastAsia"/>
          <w:bCs/>
        </w:rPr>
        <w:t>keeping</w:t>
      </w:r>
      <w:r>
        <w:rPr>
          <w:bCs/>
        </w:rPr>
        <w:t xml:space="preserve"> OER activation.</w:t>
      </w:r>
      <w:bookmarkEnd w:id="5"/>
      <w:r>
        <w:rPr>
          <w:bCs/>
        </w:rPr>
        <w:t xml:space="preserve"> </w:t>
      </w:r>
    </w:p>
    <w:p>
      <w:pPr>
        <w:jc w:val="center"/>
        <w:rPr>
          <w:rFonts w:ascii="Times New Roman" w:hAnsi="Times New Roman" w:eastAsia="微软雅黑" w:cs="Times New Roman"/>
          <w:b/>
          <w:kern w:val="24"/>
          <w:szCs w:val="21"/>
        </w:rPr>
      </w:pPr>
      <w:r>
        <w:rPr>
          <w:rFonts w:ascii="Times New Roman" w:hAnsi="Times New Roman" w:eastAsia="微软雅黑" w:cs="Times New Roman"/>
          <w:b/>
          <w:kern w:val="24"/>
          <w:szCs w:val="21"/>
        </w:rPr>
        <w:drawing>
          <wp:inline distT="0" distB="0" distL="0" distR="0">
            <wp:extent cx="4639310" cy="3542030"/>
            <wp:effectExtent l="0" t="0" r="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9"/>
                    <a:stretch>
                      <a:fillRect/>
                    </a:stretch>
                  </pic:blipFill>
                  <pic:spPr>
                    <a:xfrm>
                      <a:off x="0" y="0"/>
                      <a:ext cx="4639401" cy="3542400"/>
                    </a:xfrm>
                    <a:prstGeom prst="rect">
                      <a:avLst/>
                    </a:prstGeom>
                  </pic:spPr>
                </pic:pic>
              </a:graphicData>
            </a:graphic>
          </wp:inline>
        </w:drawing>
      </w:r>
    </w:p>
    <w:p>
      <w:pPr>
        <w:spacing w:line="360" w:lineRule="auto"/>
        <w:outlineLvl w:val="1"/>
        <w:rPr>
          <w:rFonts w:ascii="Times New Roman" w:hAnsi="Times New Roman" w:cs="Times New Roman"/>
          <w:bCs/>
          <w:szCs w:val="21"/>
        </w:rPr>
      </w:pPr>
      <w:bookmarkStart w:id="6" w:name="_Toc30892"/>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5</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bCs/>
          <w:kern w:val="24"/>
          <w:szCs w:val="21"/>
        </w:rPr>
        <w:t>J-t curves tested at 20 ℃ at 2.02 V</w:t>
      </w:r>
      <w:r>
        <w:rPr>
          <w:rFonts w:ascii="Times New Roman" w:hAnsi="Times New Roman" w:eastAsia="微软雅黑" w:cs="Times New Roman"/>
          <w:b/>
          <w:bCs/>
          <w:kern w:val="24"/>
          <w:szCs w:val="21"/>
          <w:vertAlign w:val="subscript"/>
        </w:rPr>
        <w:t xml:space="preserve">RHE </w:t>
      </w:r>
      <w:r>
        <w:rPr>
          <w:rFonts w:ascii="Times New Roman" w:hAnsi="Times New Roman" w:eastAsia="微软雅黑" w:cs="Times New Roman"/>
          <w:b/>
          <w:bCs/>
          <w:kern w:val="24"/>
          <w:szCs w:val="21"/>
        </w:rPr>
        <w:t xml:space="preserve">of </w:t>
      </w:r>
      <w:r>
        <w:rPr>
          <w:rFonts w:ascii="Times New Roman" w:hAnsi="Times New Roman" w:eastAsia="微软雅黑" w:cs="Times New Roman"/>
          <w:b/>
          <w:kern w:val="24"/>
          <w:szCs w:val="21"/>
        </w:rPr>
        <w:t>ITO/Ni@Ni(OH)</w:t>
      </w:r>
      <w:r>
        <w:rPr>
          <w:rFonts w:ascii="Times New Roman" w:hAnsi="Times New Roman" w:eastAsia="微软雅黑" w:cs="Times New Roman"/>
          <w:b/>
          <w:kern w:val="24"/>
          <w:szCs w:val="21"/>
          <w:vertAlign w:val="subscript"/>
        </w:rPr>
        <w:t>2</w:t>
      </w:r>
      <w:r>
        <w:rPr>
          <w:rFonts w:ascii="Times New Roman" w:hAnsi="Times New Roman" w:eastAsia="微软雅黑" w:cs="Times New Roman"/>
          <w:b/>
          <w:kern w:val="24"/>
          <w:szCs w:val="21"/>
        </w:rPr>
        <w:t xml:space="preserve"> electrodes. </w:t>
      </w:r>
      <w:r>
        <w:rPr>
          <w:rFonts w:ascii="Times New Roman" w:hAnsi="Times New Roman" w:cs="Times New Roman"/>
          <w:bCs/>
          <w:szCs w:val="21"/>
        </w:rPr>
        <w:t>The kaolin NS (15 mg mL</w:t>
      </w:r>
      <w:r>
        <w:rPr>
          <w:rFonts w:ascii="Times New Roman" w:hAnsi="Times New Roman" w:cs="Times New Roman"/>
          <w:bCs/>
          <w:szCs w:val="21"/>
          <w:vertAlign w:val="superscript"/>
        </w:rPr>
        <w:t>-1</w:t>
      </w:r>
      <w:r>
        <w:rPr>
          <w:rFonts w:ascii="Times New Roman" w:hAnsi="Times New Roman" w:cs="Times New Roman"/>
          <w:bCs/>
          <w:szCs w:val="21"/>
        </w:rPr>
        <w:t>) was added to KOH electrolyte at 1000 s during the test.</w:t>
      </w:r>
      <w:bookmarkEnd w:id="6"/>
    </w:p>
    <w:p>
      <w:pPr>
        <w:jc w:val="center"/>
        <w:rPr>
          <w:rFonts w:ascii="Times New Roman" w:hAnsi="Times New Roman" w:eastAsia="微软雅黑" w:cs="Times New Roman"/>
          <w:b/>
          <w:kern w:val="24"/>
          <w:szCs w:val="21"/>
        </w:rPr>
      </w:pPr>
      <w:r>
        <w:drawing>
          <wp:inline distT="0" distB="0" distL="0" distR="0">
            <wp:extent cx="4635500" cy="353822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635500" cy="3538220"/>
                    </a:xfrm>
                    <a:prstGeom prst="rect">
                      <a:avLst/>
                    </a:prstGeom>
                    <a:noFill/>
                    <a:ln>
                      <a:noFill/>
                    </a:ln>
                  </pic:spPr>
                </pic:pic>
              </a:graphicData>
            </a:graphic>
          </wp:inline>
        </w:drawing>
      </w:r>
    </w:p>
    <w:p>
      <w:pPr>
        <w:spacing w:line="360" w:lineRule="auto"/>
        <w:outlineLvl w:val="1"/>
        <w:rPr>
          <w:rFonts w:ascii="Times New Roman" w:hAnsi="Times New Roman" w:eastAsia="微软雅黑" w:cs="Times New Roman"/>
          <w:kern w:val="24"/>
          <w:szCs w:val="21"/>
        </w:rPr>
      </w:pPr>
      <w:bookmarkStart w:id="7" w:name="_Toc514"/>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6</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kern w:val="24"/>
          <w:szCs w:val="21"/>
        </w:rPr>
        <w:t>Tafel slope of ITO/Ni@Ni(OH)</w:t>
      </w:r>
      <w:r>
        <w:rPr>
          <w:rFonts w:ascii="Times New Roman" w:hAnsi="Times New Roman" w:eastAsia="微软雅黑" w:cs="Times New Roman"/>
          <w:b/>
          <w:kern w:val="24"/>
          <w:szCs w:val="21"/>
          <w:vertAlign w:val="subscript"/>
        </w:rPr>
        <w:t>2</w:t>
      </w:r>
      <w:r>
        <w:rPr>
          <w:rFonts w:ascii="Times New Roman" w:hAnsi="Times New Roman" w:eastAsia="微软雅黑" w:cs="Times New Roman"/>
          <w:b/>
          <w:kern w:val="24"/>
          <w:szCs w:val="21"/>
        </w:rPr>
        <w:t xml:space="preserve"> electrodes. </w:t>
      </w:r>
      <w:r>
        <w:rPr>
          <w:rFonts w:ascii="Times New Roman" w:hAnsi="Times New Roman" w:eastAsia="微软雅黑" w:cs="Times New Roman"/>
          <w:kern w:val="24"/>
          <w:szCs w:val="21"/>
        </w:rPr>
        <w:t>The ITO/Ni@Ni(OH)</w:t>
      </w:r>
      <w:r>
        <w:rPr>
          <w:rFonts w:ascii="Times New Roman" w:hAnsi="Times New Roman" w:eastAsia="微软雅黑" w:cs="Times New Roman"/>
          <w:kern w:val="24"/>
          <w:szCs w:val="21"/>
          <w:vertAlign w:val="subscript"/>
        </w:rPr>
        <w:t>2</w:t>
      </w:r>
      <w:r>
        <w:rPr>
          <w:rFonts w:ascii="Times New Roman" w:hAnsi="Times New Roman" w:eastAsia="微软雅黑" w:cs="Times New Roman"/>
          <w:kern w:val="24"/>
          <w:szCs w:val="21"/>
        </w:rPr>
        <w:t xml:space="preserve"> electrode in 1.0 M KOH electrolyte (black) and 1.0 M KOH electrolyte with 30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xml:space="preserve"> kaolin NS (red).</w:t>
      </w:r>
      <w:bookmarkEnd w:id="7"/>
    </w:p>
    <w:p>
      <w:pPr>
        <w:pStyle w:val="16"/>
        <w:spacing w:line="360" w:lineRule="auto"/>
        <w:jc w:val="center"/>
      </w:pPr>
      <w:r>
        <w:drawing>
          <wp:inline distT="0" distB="0" distL="0" distR="0">
            <wp:extent cx="4641215" cy="354012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4641215" cy="3540125"/>
                    </a:xfrm>
                    <a:prstGeom prst="rect">
                      <a:avLst/>
                    </a:prstGeom>
                    <a:noFill/>
                    <a:ln>
                      <a:noFill/>
                    </a:ln>
                  </pic:spPr>
                </pic:pic>
              </a:graphicData>
            </a:graphic>
          </wp:inline>
        </w:drawing>
      </w:r>
    </w:p>
    <w:p>
      <w:pPr>
        <w:spacing w:line="360" w:lineRule="auto"/>
        <w:outlineLvl w:val="1"/>
        <w:rPr>
          <w:rFonts w:ascii="Times New Roman" w:hAnsi="Times New Roman" w:eastAsia="微软雅黑" w:cs="Times New Roman"/>
          <w:kern w:val="24"/>
          <w:szCs w:val="21"/>
        </w:rPr>
      </w:pPr>
      <w:bookmarkStart w:id="8" w:name="_Toc15732"/>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7</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kern w:val="24"/>
          <w:szCs w:val="21"/>
        </w:rPr>
        <w:t>J-t curves of ITO/Ni@Ni(OH)</w:t>
      </w:r>
      <w:r>
        <w:rPr>
          <w:rFonts w:ascii="Times New Roman" w:hAnsi="Times New Roman" w:eastAsia="微软雅黑" w:cs="Times New Roman"/>
          <w:b/>
          <w:kern w:val="24"/>
          <w:szCs w:val="21"/>
          <w:vertAlign w:val="subscript"/>
        </w:rPr>
        <w:t>2</w:t>
      </w:r>
      <w:r>
        <w:rPr>
          <w:rFonts w:ascii="Times New Roman" w:hAnsi="Times New Roman" w:eastAsia="微软雅黑" w:cs="Times New Roman"/>
          <w:b/>
          <w:kern w:val="24"/>
          <w:szCs w:val="21"/>
        </w:rPr>
        <w:t xml:space="preserve"> electrodes. </w:t>
      </w:r>
      <w:r>
        <w:rPr>
          <w:rFonts w:ascii="Times New Roman" w:hAnsi="Times New Roman" w:eastAsia="微软雅黑" w:cs="Times New Roman"/>
          <w:kern w:val="24"/>
          <w:szCs w:val="21"/>
        </w:rPr>
        <w:t>The ITO/Ni@Ni(OH)</w:t>
      </w:r>
      <w:r>
        <w:rPr>
          <w:rFonts w:ascii="Times New Roman" w:hAnsi="Times New Roman" w:eastAsia="微软雅黑" w:cs="Times New Roman"/>
          <w:kern w:val="24"/>
          <w:szCs w:val="21"/>
          <w:vertAlign w:val="subscript"/>
        </w:rPr>
        <w:t>2</w:t>
      </w:r>
      <w:r>
        <w:rPr>
          <w:rFonts w:ascii="Times New Roman" w:hAnsi="Times New Roman" w:eastAsia="微软雅黑" w:cs="Times New Roman"/>
          <w:kern w:val="24"/>
          <w:szCs w:val="21"/>
        </w:rPr>
        <w:t xml:space="preserve"> electrode was tested at 2.52 V</w:t>
      </w:r>
      <w:r>
        <w:rPr>
          <w:rFonts w:ascii="Times New Roman" w:hAnsi="Times New Roman" w:eastAsia="微软雅黑" w:cs="Times New Roman"/>
          <w:kern w:val="24"/>
          <w:szCs w:val="21"/>
          <w:vertAlign w:val="subscript"/>
        </w:rPr>
        <w:t xml:space="preserve">RHE </w:t>
      </w:r>
      <w:r>
        <w:rPr>
          <w:rFonts w:ascii="Times New Roman" w:hAnsi="Times New Roman" w:eastAsia="微软雅黑" w:cs="Times New Roman"/>
          <w:kern w:val="24"/>
          <w:szCs w:val="21"/>
        </w:rPr>
        <w:t>in 1.0 M KOH electrolyte (black) and 1.0 M KOH electrolyte with 30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xml:space="preserve"> kaolin NS (red).</w:t>
      </w:r>
      <w:bookmarkEnd w:id="8"/>
    </w:p>
    <w:p>
      <w:pPr>
        <w:rPr>
          <w:rFonts w:ascii="Times New Roman" w:hAnsi="Times New Roman" w:eastAsia="微软雅黑" w:cs="Times New Roman"/>
          <w:b/>
          <w:kern w:val="24"/>
          <w:szCs w:val="21"/>
        </w:rPr>
      </w:pPr>
      <w:r>
        <w:drawing>
          <wp:inline distT="0" distB="0" distL="0" distR="0">
            <wp:extent cx="5274310" cy="213233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74310" cy="2132374"/>
                    </a:xfrm>
                    <a:prstGeom prst="rect">
                      <a:avLst/>
                    </a:prstGeom>
                    <a:noFill/>
                    <a:ln>
                      <a:noFill/>
                    </a:ln>
                  </pic:spPr>
                </pic:pic>
              </a:graphicData>
            </a:graphic>
          </wp:inline>
        </w:drawing>
      </w:r>
    </w:p>
    <w:p>
      <w:pPr>
        <w:spacing w:line="360" w:lineRule="auto"/>
        <w:outlineLvl w:val="1"/>
      </w:pPr>
      <w:bookmarkStart w:id="9" w:name="_Toc19695"/>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8</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cs="Times New Roman"/>
          <w:b/>
          <w:szCs w:val="21"/>
        </w:rPr>
        <w:t>The effect of temperature</w:t>
      </w:r>
      <w:r>
        <w:rPr>
          <w:rFonts w:ascii="Times New Roman" w:hAnsi="Times New Roman" w:cs="Times New Roman"/>
          <w:b/>
          <w:bCs/>
          <w:szCs w:val="21"/>
        </w:rPr>
        <w:t xml:space="preserve"> </w:t>
      </w:r>
      <w:r>
        <w:rPr>
          <w:rFonts w:ascii="Times New Roman" w:hAnsi="Times New Roman" w:cs="Times New Roman"/>
          <w:b/>
          <w:szCs w:val="21"/>
        </w:rPr>
        <w:t xml:space="preserve">and </w:t>
      </w:r>
      <w:r>
        <w:rPr>
          <w:rFonts w:ascii="Times New Roman" w:hAnsi="Times New Roman" w:cs="Times New Roman"/>
          <w:b/>
          <w:bCs/>
          <w:szCs w:val="21"/>
        </w:rPr>
        <w:t>solution concentration</w:t>
      </w:r>
      <w:r>
        <w:rPr>
          <w:rFonts w:ascii="Times New Roman" w:hAnsi="Times New Roman" w:cs="Times New Roman"/>
          <w:b/>
          <w:szCs w:val="21"/>
        </w:rPr>
        <w:t xml:space="preserve"> of electrolyte on the influence law of adding kaolin NS for active electrolyte. </w:t>
      </w:r>
      <w:r>
        <w:rPr>
          <w:rFonts w:ascii="Times New Roman" w:hAnsi="Times New Roman" w:cs="Times New Roman"/>
          <w:b/>
          <w:bCs/>
        </w:rPr>
        <w:t>a</w:t>
      </w:r>
      <w:r>
        <w:rPr>
          <w:rFonts w:ascii="Times New Roman" w:hAnsi="Times New Roman" w:cs="Times New Roman"/>
          <w:bCs/>
        </w:rPr>
        <w:t xml:space="preserve"> LSV of ITO/Ni@Ni(OH)</w:t>
      </w:r>
      <w:r>
        <w:rPr>
          <w:rFonts w:ascii="Times New Roman" w:hAnsi="Times New Roman" w:cs="Times New Roman"/>
          <w:bCs/>
          <w:vertAlign w:val="subscript"/>
        </w:rPr>
        <w:t>2</w:t>
      </w:r>
      <w:r>
        <w:rPr>
          <w:rFonts w:ascii="Times New Roman" w:hAnsi="Times New Roman" w:cs="Times New Roman"/>
          <w:bCs/>
        </w:rPr>
        <w:t xml:space="preserve"> electrode in 1.0 M KOH electrolyte with and without kaolin NS (30 mg mL</w:t>
      </w:r>
      <w:r>
        <w:rPr>
          <w:rFonts w:ascii="Times New Roman" w:hAnsi="Times New Roman" w:cs="Times New Roman"/>
          <w:bCs/>
          <w:vertAlign w:val="superscript"/>
        </w:rPr>
        <w:t>-1</w:t>
      </w:r>
      <w:r>
        <w:rPr>
          <w:rFonts w:ascii="Times New Roman" w:hAnsi="Times New Roman" w:cs="Times New Roman"/>
          <w:bCs/>
        </w:rPr>
        <w:t xml:space="preserve">) in different temperature (10 ℃, 20 ℃, 25 ℃ and 40 ℃). </w:t>
      </w:r>
      <w:r>
        <w:rPr>
          <w:rFonts w:ascii="Times New Roman" w:hAnsi="Times New Roman" w:cs="Times New Roman"/>
          <w:b/>
          <w:bCs/>
        </w:rPr>
        <w:t>b</w:t>
      </w:r>
      <w:r>
        <w:rPr>
          <w:rFonts w:ascii="Times New Roman" w:hAnsi="Times New Roman" w:cs="Times New Roman"/>
          <w:bCs/>
        </w:rPr>
        <w:t xml:space="preserve"> LSV of ITO/Ni@Ni(OH)</w:t>
      </w:r>
      <w:r>
        <w:rPr>
          <w:rFonts w:ascii="Times New Roman" w:hAnsi="Times New Roman" w:cs="Times New Roman"/>
          <w:bCs/>
          <w:vertAlign w:val="subscript"/>
        </w:rPr>
        <w:t>2</w:t>
      </w:r>
      <w:r>
        <w:rPr>
          <w:rFonts w:ascii="Times New Roman" w:hAnsi="Times New Roman" w:cs="Times New Roman"/>
          <w:bCs/>
        </w:rPr>
        <w:t xml:space="preserve"> electrode in various solution concentration of KOH electrolytes (0.05 M, 0.1 M, 1.0 M, 2.0 M, 3.0 M and 4.0 M) with and without dispersed 30 mg mL</w:t>
      </w:r>
      <w:r>
        <w:rPr>
          <w:rFonts w:ascii="Times New Roman" w:hAnsi="Times New Roman" w:cs="Times New Roman"/>
          <w:bCs/>
          <w:vertAlign w:val="superscript"/>
        </w:rPr>
        <w:t>-1</w:t>
      </w:r>
      <w:r>
        <w:rPr>
          <w:rFonts w:ascii="Times New Roman" w:hAnsi="Times New Roman" w:cs="Times New Roman"/>
          <w:bCs/>
        </w:rPr>
        <w:t xml:space="preserve"> kaolin NS.</w:t>
      </w:r>
      <w:bookmarkEnd w:id="9"/>
      <w:r>
        <w:rPr>
          <w:rFonts w:ascii="Times New Roman" w:hAnsi="Times New Roman" w:cs="Times New Roman"/>
          <w:bCs/>
        </w:rPr>
        <w:t xml:space="preserve"> </w:t>
      </w:r>
    </w:p>
    <w:p>
      <w:pPr>
        <w:jc w:val="center"/>
        <w:rPr>
          <w:rFonts w:ascii="Times New Roman" w:hAnsi="Times New Roman" w:eastAsia="微软雅黑" w:cs="Times New Roman"/>
          <w:b/>
          <w:kern w:val="24"/>
          <w:szCs w:val="21"/>
        </w:rPr>
      </w:pPr>
      <w:r>
        <w:rPr>
          <w:rFonts w:ascii="Times New Roman" w:hAnsi="Times New Roman" w:eastAsia="微软雅黑" w:cs="Times New Roman"/>
          <w:b/>
          <w:kern w:val="24"/>
          <w:szCs w:val="21"/>
        </w:rPr>
        <w:drawing>
          <wp:inline distT="0" distB="0" distL="0" distR="0">
            <wp:extent cx="4639310" cy="354203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639310" cy="3542030"/>
                    </a:xfrm>
                    <a:prstGeom prst="rect">
                      <a:avLst/>
                    </a:prstGeom>
                    <a:noFill/>
                  </pic:spPr>
                </pic:pic>
              </a:graphicData>
            </a:graphic>
          </wp:inline>
        </w:drawing>
      </w:r>
    </w:p>
    <w:p>
      <w:pPr>
        <w:spacing w:line="360" w:lineRule="auto"/>
        <w:outlineLvl w:val="1"/>
        <w:rPr>
          <w:rFonts w:ascii="Times New Roman" w:hAnsi="Times New Roman" w:eastAsia="微软雅黑" w:cs="Times New Roman"/>
          <w:kern w:val="24"/>
          <w:szCs w:val="21"/>
        </w:rPr>
      </w:pPr>
      <w:bookmarkStart w:id="10" w:name="_Toc16501"/>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9</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kern w:val="24"/>
          <w:szCs w:val="21"/>
        </w:rPr>
        <w:t>LSV of ITO/Ni@Ni(OH)</w:t>
      </w:r>
      <w:r>
        <w:rPr>
          <w:rFonts w:ascii="Times New Roman" w:hAnsi="Times New Roman" w:eastAsia="微软雅黑" w:cs="Times New Roman"/>
          <w:b/>
          <w:kern w:val="24"/>
          <w:szCs w:val="21"/>
          <w:vertAlign w:val="subscript"/>
        </w:rPr>
        <w:t>2</w:t>
      </w:r>
      <w:r>
        <w:rPr>
          <w:rFonts w:ascii="Times New Roman" w:hAnsi="Times New Roman" w:eastAsia="微软雅黑" w:cs="Times New Roman"/>
          <w:b/>
          <w:kern w:val="24"/>
          <w:szCs w:val="21"/>
        </w:rPr>
        <w:t xml:space="preserve"> electrodes in 1.0 M KOH electrolyte with different kaolin concentration.</w:t>
      </w:r>
      <w:r>
        <w:rPr>
          <w:rFonts w:ascii="Times New Roman" w:hAnsi="Times New Roman" w:eastAsia="微软雅黑" w:cs="Times New Roman"/>
          <w:kern w:val="24"/>
          <w:szCs w:val="21"/>
        </w:rPr>
        <w:t xml:space="preserve"> LSV tested in blank 1 M KOH electrolyte and 1.0 M KOH electrolyte with different kaolin concentration (3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6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10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20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xml:space="preserve"> and 30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The scan rate is 50 mV s</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w:t>
      </w:r>
      <w:bookmarkEnd w:id="10"/>
    </w:p>
    <w:p>
      <w:pPr>
        <w:spacing w:line="360" w:lineRule="auto"/>
      </w:pPr>
    </w:p>
    <w:p>
      <w:pPr>
        <w:spacing w:line="360" w:lineRule="auto"/>
      </w:pPr>
    </w:p>
    <w:p>
      <w:pPr>
        <w:jc w:val="center"/>
        <w:rPr>
          <w:rFonts w:ascii="Times New Roman" w:hAnsi="Times New Roman" w:cs="Times New Roman"/>
          <w:szCs w:val="21"/>
        </w:rPr>
      </w:pPr>
      <w:r>
        <w:rPr>
          <w:rFonts w:ascii="Times New Roman" w:hAnsi="Times New Roman" w:cs="Times New Roman"/>
          <w:szCs w:val="21"/>
        </w:rPr>
        <w:drawing>
          <wp:inline distT="0" distB="0" distL="0" distR="0">
            <wp:extent cx="4639310" cy="3542030"/>
            <wp:effectExtent l="0" t="0" r="0" b="0"/>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14"/>
                    <a:stretch>
                      <a:fillRect/>
                    </a:stretch>
                  </pic:blipFill>
                  <pic:spPr>
                    <a:xfrm>
                      <a:off x="0" y="0"/>
                      <a:ext cx="4639401" cy="3542400"/>
                    </a:xfrm>
                    <a:prstGeom prst="rect">
                      <a:avLst/>
                    </a:prstGeom>
                  </pic:spPr>
                </pic:pic>
              </a:graphicData>
            </a:graphic>
          </wp:inline>
        </w:drawing>
      </w:r>
    </w:p>
    <w:p>
      <w:pPr>
        <w:spacing w:line="360" w:lineRule="auto"/>
        <w:outlineLvl w:val="1"/>
        <w:rPr>
          <w:rFonts w:ascii="Times New Roman" w:hAnsi="Times New Roman" w:cs="Times New Roman"/>
          <w:sz w:val="18"/>
          <w:szCs w:val="18"/>
        </w:rPr>
      </w:pPr>
      <w:bookmarkStart w:id="11" w:name="_Toc2479"/>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10</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cs="Times New Roman"/>
          <w:b/>
          <w:szCs w:val="21"/>
        </w:rPr>
        <w:t>The effect of spectator cation types of electrolyte on the influence law of adding kaolin NS for active electrolyte.</w:t>
      </w:r>
      <w:r>
        <w:rPr>
          <w:rFonts w:ascii="Times New Roman" w:hAnsi="Times New Roman" w:cs="Times New Roman"/>
          <w:bCs/>
          <w:szCs w:val="21"/>
        </w:rPr>
        <w:t xml:space="preserve"> EIS of ITO/Ni@Ni(OH)</w:t>
      </w:r>
      <w:r>
        <w:rPr>
          <w:rFonts w:ascii="Times New Roman" w:hAnsi="Times New Roman" w:cs="Times New Roman"/>
          <w:bCs/>
          <w:szCs w:val="21"/>
          <w:vertAlign w:val="subscript"/>
        </w:rPr>
        <w:t>2</w:t>
      </w:r>
      <w:r>
        <w:rPr>
          <w:rFonts w:ascii="Times New Roman" w:hAnsi="Times New Roman" w:cs="Times New Roman"/>
          <w:bCs/>
          <w:szCs w:val="21"/>
        </w:rPr>
        <w:t xml:space="preserve"> electrodes in 1.0 M MOH electrolytes (with M</w:t>
      </w:r>
      <w:r>
        <w:rPr>
          <w:rFonts w:ascii="Times New Roman" w:hAnsi="Times New Roman" w:cs="Times New Roman"/>
          <w:bCs/>
          <w:szCs w:val="21"/>
          <w:vertAlign w:val="superscript"/>
        </w:rPr>
        <w:t>+</w:t>
      </w:r>
      <w:r>
        <w:rPr>
          <w:rFonts w:ascii="Times New Roman" w:hAnsi="Times New Roman" w:cs="Times New Roman"/>
          <w:bCs/>
          <w:szCs w:val="21"/>
        </w:rPr>
        <w:t xml:space="preserve"> = Li</w:t>
      </w:r>
      <w:r>
        <w:rPr>
          <w:rFonts w:ascii="Times New Roman" w:hAnsi="Times New Roman" w:cs="Times New Roman"/>
          <w:bCs/>
          <w:szCs w:val="21"/>
          <w:vertAlign w:val="superscript"/>
        </w:rPr>
        <w:t>+</w:t>
      </w:r>
      <w:r>
        <w:rPr>
          <w:rFonts w:ascii="Times New Roman" w:hAnsi="Times New Roman" w:cs="Times New Roman"/>
          <w:bCs/>
          <w:szCs w:val="21"/>
        </w:rPr>
        <w:t>, Na</w:t>
      </w:r>
      <w:r>
        <w:rPr>
          <w:rFonts w:ascii="Times New Roman" w:hAnsi="Times New Roman" w:cs="Times New Roman"/>
          <w:bCs/>
          <w:szCs w:val="21"/>
          <w:vertAlign w:val="superscript"/>
        </w:rPr>
        <w:t>+</w:t>
      </w:r>
      <w:r>
        <w:rPr>
          <w:rFonts w:ascii="Times New Roman" w:hAnsi="Times New Roman" w:cs="Times New Roman"/>
          <w:bCs/>
          <w:szCs w:val="21"/>
        </w:rPr>
        <w:t>, K</w:t>
      </w:r>
      <w:r>
        <w:rPr>
          <w:rFonts w:ascii="Times New Roman" w:hAnsi="Times New Roman" w:cs="Times New Roman"/>
          <w:bCs/>
          <w:szCs w:val="21"/>
          <w:vertAlign w:val="superscript"/>
        </w:rPr>
        <w:t>+</w:t>
      </w:r>
      <w:r>
        <w:rPr>
          <w:rFonts w:ascii="Times New Roman" w:hAnsi="Times New Roman" w:cs="Times New Roman"/>
          <w:bCs/>
          <w:szCs w:val="21"/>
        </w:rPr>
        <w:t xml:space="preserve"> and Cs</w:t>
      </w:r>
      <w:r>
        <w:rPr>
          <w:rFonts w:ascii="Times New Roman" w:hAnsi="Times New Roman" w:cs="Times New Roman"/>
          <w:bCs/>
          <w:szCs w:val="21"/>
          <w:vertAlign w:val="superscript"/>
        </w:rPr>
        <w:t>+</w:t>
      </w:r>
      <w:r>
        <w:rPr>
          <w:rFonts w:ascii="Times New Roman" w:hAnsi="Times New Roman" w:cs="Times New Roman"/>
          <w:bCs/>
          <w:szCs w:val="21"/>
        </w:rPr>
        <w:t>) with and without dispersed 30 mg mL</w:t>
      </w:r>
      <w:r>
        <w:rPr>
          <w:rFonts w:ascii="Times New Roman" w:hAnsi="Times New Roman" w:cs="Times New Roman"/>
          <w:bCs/>
          <w:szCs w:val="21"/>
          <w:vertAlign w:val="superscript"/>
        </w:rPr>
        <w:t>-1</w:t>
      </w:r>
      <w:r>
        <w:rPr>
          <w:rFonts w:ascii="Times New Roman" w:hAnsi="Times New Roman" w:cs="Times New Roman"/>
          <w:bCs/>
          <w:szCs w:val="21"/>
        </w:rPr>
        <w:t xml:space="preserve"> kaolin NS</w:t>
      </w:r>
      <w:r>
        <w:rPr>
          <w:rFonts w:hint="eastAsia" w:ascii="Times New Roman" w:hAnsi="Times New Roman"/>
          <w:bCs/>
        </w:rPr>
        <w:t xml:space="preserve"> and corresponding fitting circuit diagram (inset)</w:t>
      </w:r>
      <w:r>
        <w:rPr>
          <w:rFonts w:ascii="Times New Roman" w:hAnsi="Times New Roman" w:cs="Times New Roman"/>
          <w:bCs/>
          <w:szCs w:val="21"/>
        </w:rPr>
        <w:t>.</w:t>
      </w:r>
      <w:r>
        <w:rPr>
          <w:rFonts w:hint="eastAsia"/>
        </w:rPr>
        <w:t xml:space="preserve"> </w:t>
      </w:r>
      <w:r>
        <w:rPr>
          <w:rFonts w:ascii="Times New Roman" w:hAnsi="Times New Roman" w:cs="Times New Roman"/>
          <w:bCs/>
          <w:szCs w:val="21"/>
        </w:rPr>
        <w:t>A new electrode with Ni@Ni(OH)</w:t>
      </w:r>
      <w:r>
        <w:rPr>
          <w:rFonts w:ascii="Times New Roman" w:hAnsi="Times New Roman" w:cs="Times New Roman"/>
          <w:bCs/>
          <w:szCs w:val="21"/>
          <w:vertAlign w:val="subscript"/>
        </w:rPr>
        <w:t xml:space="preserve">2 </w:t>
      </w:r>
      <w:r>
        <w:rPr>
          <w:rFonts w:ascii="Times New Roman" w:hAnsi="Times New Roman" w:cs="Times New Roman"/>
          <w:bCs/>
          <w:szCs w:val="21"/>
        </w:rPr>
        <w:t>on ITO was prepared for each different electrolyte to avoid any trace residual of cations on electrodes from the previous experiment.</w:t>
      </w:r>
      <w:bookmarkEnd w:id="11"/>
    </w:p>
    <w:p>
      <w:pPr>
        <w:spacing w:line="360" w:lineRule="auto"/>
      </w:pPr>
    </w:p>
    <w:p>
      <w:pPr>
        <w:rPr>
          <w:rFonts w:ascii="Times New Roman" w:hAnsi="Times New Roman" w:eastAsia="微软雅黑" w:cs="Times New Roman"/>
          <w:kern w:val="24"/>
          <w:szCs w:val="21"/>
        </w:rPr>
      </w:pPr>
      <w:r>
        <w:drawing>
          <wp:inline distT="0" distB="0" distL="0" distR="0">
            <wp:extent cx="5274310" cy="659574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6595940"/>
                    </a:xfrm>
                    <a:prstGeom prst="rect">
                      <a:avLst/>
                    </a:prstGeom>
                    <a:noFill/>
                    <a:ln>
                      <a:noFill/>
                    </a:ln>
                  </pic:spPr>
                </pic:pic>
              </a:graphicData>
            </a:graphic>
          </wp:inline>
        </w:drawing>
      </w:r>
    </w:p>
    <w:p>
      <w:pPr>
        <w:spacing w:line="360" w:lineRule="auto"/>
        <w:outlineLvl w:val="1"/>
        <w:rPr>
          <w:rFonts w:ascii="Times New Roman" w:hAnsi="Times New Roman" w:eastAsia="微软雅黑" w:cs="Times New Roman"/>
          <w:bCs/>
          <w:kern w:val="24"/>
          <w:szCs w:val="21"/>
        </w:rPr>
      </w:pPr>
      <w:bookmarkStart w:id="12" w:name="_Toc25998"/>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11</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bCs/>
          <w:kern w:val="24"/>
          <w:szCs w:val="21"/>
        </w:rPr>
        <w:t xml:space="preserve">SEM of samples. </w:t>
      </w:r>
      <w:r>
        <w:rPr>
          <w:rFonts w:ascii="Times New Roman" w:hAnsi="Times New Roman" w:eastAsia="微软雅黑" w:cs="Times New Roman"/>
          <w:bCs/>
          <w:kern w:val="24"/>
          <w:szCs w:val="21"/>
        </w:rPr>
        <w:t>(</w:t>
      </w:r>
      <w:r>
        <w:rPr>
          <w:rFonts w:ascii="Times New Roman" w:hAnsi="Times New Roman" w:eastAsia="微软雅黑" w:cs="Times New Roman"/>
          <w:b/>
          <w:bCs/>
          <w:kern w:val="24"/>
          <w:szCs w:val="21"/>
        </w:rPr>
        <w:t>a</w:t>
      </w:r>
      <w:r>
        <w:rPr>
          <w:rFonts w:ascii="Times New Roman" w:hAnsi="Times New Roman" w:eastAsia="微软雅黑" w:cs="Times New Roman"/>
          <w:bCs/>
          <w:kern w:val="24"/>
          <w:szCs w:val="21"/>
        </w:rPr>
        <w:t>), (</w:t>
      </w:r>
      <w:r>
        <w:rPr>
          <w:rFonts w:ascii="Times New Roman" w:hAnsi="Times New Roman" w:eastAsia="微软雅黑" w:cs="Times New Roman"/>
          <w:b/>
          <w:bCs/>
          <w:kern w:val="24"/>
          <w:szCs w:val="21"/>
        </w:rPr>
        <w:t>b</w:t>
      </w:r>
      <w:r>
        <w:rPr>
          <w:rFonts w:ascii="Times New Roman" w:hAnsi="Times New Roman" w:eastAsia="微软雅黑" w:cs="Times New Roman"/>
          <w:bCs/>
          <w:kern w:val="24"/>
          <w:szCs w:val="21"/>
        </w:rPr>
        <w:t>) and (</w:t>
      </w:r>
      <w:r>
        <w:rPr>
          <w:rFonts w:ascii="Times New Roman" w:hAnsi="Times New Roman" w:eastAsia="微软雅黑" w:cs="Times New Roman"/>
          <w:b/>
          <w:bCs/>
          <w:kern w:val="24"/>
          <w:szCs w:val="21"/>
        </w:rPr>
        <w:t>c</w:t>
      </w:r>
      <w:r>
        <w:rPr>
          <w:rFonts w:ascii="Times New Roman" w:hAnsi="Times New Roman" w:eastAsia="微软雅黑" w:cs="Times New Roman"/>
          <w:bCs/>
          <w:kern w:val="24"/>
          <w:szCs w:val="21"/>
        </w:rPr>
        <w:t>) are SEM images of NF. (</w:t>
      </w:r>
      <w:r>
        <w:rPr>
          <w:rFonts w:ascii="Times New Roman" w:hAnsi="Times New Roman" w:eastAsia="微软雅黑" w:cs="Times New Roman"/>
          <w:b/>
          <w:bCs/>
          <w:kern w:val="24"/>
          <w:szCs w:val="21"/>
        </w:rPr>
        <w:t>d</w:t>
      </w:r>
      <w:r>
        <w:rPr>
          <w:rFonts w:ascii="Times New Roman" w:hAnsi="Times New Roman" w:eastAsia="微软雅黑" w:cs="Times New Roman"/>
          <w:bCs/>
          <w:kern w:val="24"/>
          <w:szCs w:val="21"/>
        </w:rPr>
        <w:t>), (</w:t>
      </w:r>
      <w:r>
        <w:rPr>
          <w:rFonts w:ascii="Times New Roman" w:hAnsi="Times New Roman" w:eastAsia="微软雅黑" w:cs="Times New Roman"/>
          <w:b/>
          <w:bCs/>
          <w:kern w:val="24"/>
          <w:szCs w:val="21"/>
        </w:rPr>
        <w:t>e</w:t>
      </w:r>
      <w:r>
        <w:rPr>
          <w:rFonts w:ascii="Times New Roman" w:hAnsi="Times New Roman" w:eastAsia="微软雅黑" w:cs="Times New Roman"/>
          <w:bCs/>
          <w:kern w:val="24"/>
          <w:szCs w:val="21"/>
        </w:rPr>
        <w:t>) and (</w:t>
      </w:r>
      <w:r>
        <w:rPr>
          <w:rFonts w:ascii="Times New Roman" w:hAnsi="Times New Roman" w:eastAsia="微软雅黑" w:cs="Times New Roman"/>
          <w:b/>
          <w:bCs/>
          <w:kern w:val="24"/>
          <w:szCs w:val="21"/>
        </w:rPr>
        <w:t>f</w:t>
      </w:r>
      <w:r>
        <w:rPr>
          <w:rFonts w:ascii="Times New Roman" w:hAnsi="Times New Roman" w:eastAsia="微软雅黑" w:cs="Times New Roman"/>
          <w:bCs/>
          <w:kern w:val="24"/>
          <w:szCs w:val="21"/>
        </w:rPr>
        <w:t>) are SEM images of NF/Ni(OH)</w:t>
      </w:r>
      <w:r>
        <w:rPr>
          <w:rFonts w:ascii="Times New Roman" w:hAnsi="Times New Roman" w:eastAsia="微软雅黑" w:cs="Times New Roman"/>
          <w:bCs/>
          <w:kern w:val="24"/>
          <w:szCs w:val="21"/>
          <w:vertAlign w:val="subscript"/>
        </w:rPr>
        <w:t>2</w:t>
      </w:r>
      <w:r>
        <w:rPr>
          <w:rFonts w:ascii="Times New Roman" w:hAnsi="Times New Roman" w:eastAsia="微软雅黑" w:cs="Times New Roman"/>
          <w:bCs/>
          <w:kern w:val="24"/>
          <w:szCs w:val="21"/>
        </w:rPr>
        <w:t>. (</w:t>
      </w:r>
      <w:r>
        <w:rPr>
          <w:rFonts w:ascii="Times New Roman" w:hAnsi="Times New Roman" w:eastAsia="微软雅黑" w:cs="Times New Roman"/>
          <w:b/>
          <w:bCs/>
          <w:kern w:val="24"/>
          <w:szCs w:val="21"/>
        </w:rPr>
        <w:t>g</w:t>
      </w:r>
      <w:r>
        <w:rPr>
          <w:rFonts w:ascii="Times New Roman" w:hAnsi="Times New Roman" w:eastAsia="微软雅黑" w:cs="Times New Roman"/>
          <w:bCs/>
          <w:kern w:val="24"/>
          <w:szCs w:val="21"/>
        </w:rPr>
        <w:t>), (</w:t>
      </w:r>
      <w:r>
        <w:rPr>
          <w:rFonts w:ascii="Times New Roman" w:hAnsi="Times New Roman" w:eastAsia="微软雅黑" w:cs="Times New Roman"/>
          <w:b/>
          <w:bCs/>
          <w:kern w:val="24"/>
          <w:szCs w:val="21"/>
        </w:rPr>
        <w:t>h</w:t>
      </w:r>
      <w:r>
        <w:rPr>
          <w:rFonts w:ascii="Times New Roman" w:hAnsi="Times New Roman" w:eastAsia="微软雅黑" w:cs="Times New Roman"/>
          <w:bCs/>
          <w:kern w:val="24"/>
          <w:szCs w:val="21"/>
        </w:rPr>
        <w:t>) and (</w:t>
      </w:r>
      <w:r>
        <w:rPr>
          <w:rFonts w:ascii="Times New Roman" w:hAnsi="Times New Roman" w:eastAsia="微软雅黑" w:cs="Times New Roman"/>
          <w:b/>
          <w:bCs/>
          <w:kern w:val="24"/>
          <w:szCs w:val="21"/>
        </w:rPr>
        <w:t>i</w:t>
      </w:r>
      <w:r>
        <w:rPr>
          <w:rFonts w:ascii="Times New Roman" w:hAnsi="Times New Roman" w:eastAsia="微软雅黑" w:cs="Times New Roman"/>
          <w:bCs/>
          <w:kern w:val="24"/>
          <w:szCs w:val="21"/>
        </w:rPr>
        <w:t>) are SEM images of NF/Ni</w:t>
      </w:r>
      <w:r>
        <w:rPr>
          <w:rFonts w:ascii="Times New Roman" w:hAnsi="Times New Roman" w:eastAsia="微软雅黑" w:cs="Times New Roman"/>
          <w:bCs/>
          <w:kern w:val="24"/>
          <w:szCs w:val="21"/>
          <w:vertAlign w:val="subscript"/>
        </w:rPr>
        <w:t>3</w:t>
      </w:r>
      <w:r>
        <w:rPr>
          <w:rFonts w:ascii="Times New Roman" w:hAnsi="Times New Roman" w:eastAsia="微软雅黑" w:cs="Times New Roman"/>
          <w:bCs/>
          <w:kern w:val="24"/>
          <w:szCs w:val="21"/>
        </w:rPr>
        <w:t>S</w:t>
      </w:r>
      <w:r>
        <w:rPr>
          <w:rFonts w:ascii="Times New Roman" w:hAnsi="Times New Roman" w:eastAsia="微软雅黑" w:cs="Times New Roman"/>
          <w:bCs/>
          <w:kern w:val="24"/>
          <w:szCs w:val="21"/>
          <w:vertAlign w:val="subscript"/>
        </w:rPr>
        <w:t>2</w:t>
      </w:r>
      <w:r>
        <w:rPr>
          <w:rFonts w:ascii="Times New Roman" w:hAnsi="Times New Roman" w:eastAsia="微软雅黑" w:cs="Times New Roman"/>
          <w:bCs/>
          <w:kern w:val="24"/>
          <w:szCs w:val="21"/>
        </w:rPr>
        <w:t>. (</w:t>
      </w:r>
      <w:r>
        <w:rPr>
          <w:rFonts w:hint="eastAsia" w:ascii="Times New Roman" w:hAnsi="Times New Roman" w:eastAsia="微软雅黑" w:cs="Times New Roman"/>
          <w:b/>
          <w:bCs/>
          <w:kern w:val="24"/>
          <w:szCs w:val="21"/>
        </w:rPr>
        <w:t>j</w:t>
      </w:r>
      <w:r>
        <w:rPr>
          <w:rFonts w:ascii="Times New Roman" w:hAnsi="Times New Roman" w:eastAsia="微软雅黑" w:cs="Times New Roman"/>
          <w:bCs/>
          <w:kern w:val="24"/>
          <w:szCs w:val="21"/>
        </w:rPr>
        <w:t>), (</w:t>
      </w:r>
      <w:r>
        <w:rPr>
          <w:rFonts w:ascii="Times New Roman" w:hAnsi="Times New Roman" w:eastAsia="微软雅黑" w:cs="Times New Roman"/>
          <w:b/>
          <w:bCs/>
          <w:kern w:val="24"/>
          <w:szCs w:val="21"/>
        </w:rPr>
        <w:t>k</w:t>
      </w:r>
      <w:r>
        <w:rPr>
          <w:rFonts w:ascii="Times New Roman" w:hAnsi="Times New Roman" w:eastAsia="微软雅黑" w:cs="Times New Roman"/>
          <w:bCs/>
          <w:kern w:val="24"/>
          <w:szCs w:val="21"/>
        </w:rPr>
        <w:t>) and (</w:t>
      </w:r>
      <w:r>
        <w:rPr>
          <w:rFonts w:ascii="Times New Roman" w:hAnsi="Times New Roman" w:eastAsia="微软雅黑" w:cs="Times New Roman"/>
          <w:b/>
          <w:bCs/>
          <w:kern w:val="24"/>
          <w:szCs w:val="21"/>
        </w:rPr>
        <w:t>l</w:t>
      </w:r>
      <w:r>
        <w:rPr>
          <w:rFonts w:ascii="Times New Roman" w:hAnsi="Times New Roman" w:eastAsia="微软雅黑" w:cs="Times New Roman"/>
          <w:bCs/>
          <w:kern w:val="24"/>
          <w:szCs w:val="21"/>
        </w:rPr>
        <w:t xml:space="preserve">) are SEM images of </w:t>
      </w:r>
      <w:r>
        <w:rPr>
          <w:rFonts w:hint="eastAsia" w:ascii="Times New Roman" w:hAnsi="Times New Roman" w:eastAsia="微软雅黑" w:cs="Times New Roman"/>
          <w:bCs/>
          <w:kern w:val="24"/>
          <w:szCs w:val="21"/>
        </w:rPr>
        <w:t>NF/</w:t>
      </w:r>
      <w:r>
        <w:rPr>
          <w:rFonts w:ascii="Times New Roman" w:hAnsi="Times New Roman" w:eastAsia="微软雅黑" w:cs="Times New Roman"/>
          <w:bCs/>
          <w:kern w:val="24"/>
          <w:szCs w:val="21"/>
        </w:rPr>
        <w:t>NiS</w:t>
      </w:r>
      <w:r>
        <w:rPr>
          <w:rFonts w:ascii="Times New Roman" w:hAnsi="Times New Roman" w:eastAsia="微软雅黑" w:cs="Times New Roman"/>
          <w:bCs/>
          <w:kern w:val="24"/>
          <w:szCs w:val="21"/>
          <w:vertAlign w:val="subscript"/>
        </w:rPr>
        <w:t>x</w:t>
      </w:r>
      <w:r>
        <w:rPr>
          <w:rFonts w:ascii="Times New Roman" w:hAnsi="Times New Roman" w:eastAsia="微软雅黑" w:cs="Times New Roman"/>
          <w:bCs/>
          <w:kern w:val="24"/>
          <w:szCs w:val="21"/>
        </w:rPr>
        <w:t>/C</w:t>
      </w:r>
      <w:r>
        <w:rPr>
          <w:rFonts w:ascii="Times New Roman" w:hAnsi="Times New Roman" w:eastAsia="微软雅黑" w:cs="Times New Roman"/>
          <w:bCs/>
          <w:kern w:val="24"/>
          <w:szCs w:val="21"/>
          <w:vertAlign w:val="subscript"/>
        </w:rPr>
        <w:t>3</w:t>
      </w:r>
      <w:r>
        <w:rPr>
          <w:rFonts w:ascii="Times New Roman" w:hAnsi="Times New Roman" w:eastAsia="微软雅黑" w:cs="Times New Roman"/>
          <w:bCs/>
          <w:kern w:val="24"/>
          <w:szCs w:val="21"/>
        </w:rPr>
        <w:t>N</w:t>
      </w:r>
      <w:r>
        <w:rPr>
          <w:rFonts w:ascii="Times New Roman" w:hAnsi="Times New Roman" w:eastAsia="微软雅黑" w:cs="Times New Roman"/>
          <w:bCs/>
          <w:kern w:val="24"/>
          <w:szCs w:val="21"/>
          <w:vertAlign w:val="subscript"/>
        </w:rPr>
        <w:t>4</w:t>
      </w:r>
      <w:r>
        <w:rPr>
          <w:rFonts w:ascii="Times New Roman" w:hAnsi="Times New Roman" w:eastAsia="微软雅黑" w:cs="Times New Roman"/>
          <w:bCs/>
          <w:kern w:val="24"/>
          <w:szCs w:val="21"/>
        </w:rPr>
        <w:t>. (</w:t>
      </w:r>
      <w:r>
        <w:rPr>
          <w:rFonts w:ascii="Times New Roman" w:hAnsi="Times New Roman" w:eastAsia="微软雅黑" w:cs="Times New Roman"/>
          <w:b/>
          <w:bCs/>
          <w:kern w:val="24"/>
          <w:szCs w:val="21"/>
        </w:rPr>
        <w:t>m</w:t>
      </w:r>
      <w:r>
        <w:rPr>
          <w:rFonts w:ascii="Times New Roman" w:hAnsi="Times New Roman" w:eastAsia="微软雅黑" w:cs="Times New Roman"/>
          <w:bCs/>
          <w:kern w:val="24"/>
          <w:szCs w:val="21"/>
        </w:rPr>
        <w:t>), (</w:t>
      </w:r>
      <w:r>
        <w:rPr>
          <w:rFonts w:ascii="Times New Roman" w:hAnsi="Times New Roman" w:eastAsia="微软雅黑" w:cs="Times New Roman"/>
          <w:b/>
          <w:bCs/>
          <w:kern w:val="24"/>
          <w:szCs w:val="21"/>
        </w:rPr>
        <w:t>n</w:t>
      </w:r>
      <w:r>
        <w:rPr>
          <w:rFonts w:ascii="Times New Roman" w:hAnsi="Times New Roman" w:eastAsia="微软雅黑" w:cs="Times New Roman"/>
          <w:bCs/>
          <w:kern w:val="24"/>
          <w:szCs w:val="21"/>
        </w:rPr>
        <w:t>) and (</w:t>
      </w:r>
      <w:r>
        <w:rPr>
          <w:rFonts w:ascii="Times New Roman" w:hAnsi="Times New Roman" w:eastAsia="微软雅黑" w:cs="Times New Roman"/>
          <w:b/>
          <w:bCs/>
          <w:kern w:val="24"/>
          <w:szCs w:val="21"/>
        </w:rPr>
        <w:t>o</w:t>
      </w:r>
      <w:r>
        <w:rPr>
          <w:rFonts w:ascii="Times New Roman" w:hAnsi="Times New Roman" w:eastAsia="微软雅黑" w:cs="Times New Roman"/>
          <w:bCs/>
          <w:kern w:val="24"/>
          <w:szCs w:val="21"/>
        </w:rPr>
        <w:t>) are SEM images of NF/Co</w:t>
      </w:r>
      <w:r>
        <w:rPr>
          <w:rFonts w:ascii="Times New Roman" w:hAnsi="Times New Roman" w:eastAsia="微软雅黑" w:cs="Times New Roman"/>
          <w:bCs/>
          <w:kern w:val="24"/>
          <w:szCs w:val="21"/>
          <w:vertAlign w:val="subscript"/>
        </w:rPr>
        <w:t>3</w:t>
      </w:r>
      <w:r>
        <w:rPr>
          <w:rFonts w:ascii="Times New Roman" w:hAnsi="Times New Roman" w:eastAsia="微软雅黑" w:cs="Times New Roman"/>
          <w:bCs/>
          <w:kern w:val="24"/>
          <w:szCs w:val="21"/>
        </w:rPr>
        <w:t>O</w:t>
      </w:r>
      <w:r>
        <w:rPr>
          <w:rFonts w:ascii="Times New Roman" w:hAnsi="Times New Roman" w:eastAsia="微软雅黑" w:cs="Times New Roman"/>
          <w:bCs/>
          <w:kern w:val="24"/>
          <w:szCs w:val="21"/>
          <w:vertAlign w:val="subscript"/>
        </w:rPr>
        <w:t>4</w:t>
      </w:r>
      <w:r>
        <w:rPr>
          <w:rFonts w:ascii="Times New Roman" w:hAnsi="Times New Roman" w:eastAsia="微软雅黑" w:cs="Times New Roman"/>
          <w:bCs/>
          <w:kern w:val="24"/>
          <w:szCs w:val="21"/>
        </w:rPr>
        <w:t>.</w:t>
      </w:r>
      <w:bookmarkEnd w:id="12"/>
      <w:r>
        <w:rPr>
          <w:rFonts w:ascii="Times New Roman" w:hAnsi="Times New Roman" w:eastAsia="微软雅黑" w:cs="Times New Roman"/>
          <w:bCs/>
          <w:kern w:val="24"/>
          <w:szCs w:val="21"/>
        </w:rPr>
        <w:t xml:space="preserve"> </w:t>
      </w:r>
    </w:p>
    <w:p>
      <w:pPr>
        <w:jc w:val="center"/>
        <w:rPr>
          <w:rFonts w:ascii="Times New Roman" w:hAnsi="Times New Roman" w:eastAsia="微软雅黑" w:cs="Times New Roman"/>
          <w:b/>
          <w:kern w:val="24"/>
          <w:szCs w:val="21"/>
        </w:rPr>
      </w:pPr>
      <w:r>
        <w:rPr>
          <w:rFonts w:ascii="Times New Roman" w:hAnsi="Times New Roman" w:eastAsia="微软雅黑" w:cs="Times New Roman"/>
          <w:b/>
          <w:kern w:val="24"/>
          <w:szCs w:val="21"/>
        </w:rPr>
        <w:drawing>
          <wp:inline distT="0" distB="0" distL="0" distR="0">
            <wp:extent cx="4639310" cy="354203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639310" cy="3542030"/>
                    </a:xfrm>
                    <a:prstGeom prst="rect">
                      <a:avLst/>
                    </a:prstGeom>
                    <a:noFill/>
                  </pic:spPr>
                </pic:pic>
              </a:graphicData>
            </a:graphic>
          </wp:inline>
        </w:drawing>
      </w:r>
    </w:p>
    <w:p>
      <w:pPr>
        <w:spacing w:after="156" w:afterLines="50" w:line="360" w:lineRule="auto"/>
        <w:outlineLvl w:val="1"/>
        <w:rPr>
          <w:rFonts w:ascii="Times New Roman" w:hAnsi="Times New Roman" w:eastAsia="微软雅黑" w:cs="Times New Roman"/>
          <w:kern w:val="24"/>
          <w:szCs w:val="21"/>
        </w:rPr>
      </w:pPr>
      <w:bookmarkStart w:id="13" w:name="_Toc635"/>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12</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kern w:val="24"/>
          <w:szCs w:val="21"/>
        </w:rPr>
        <w:t>J-t curves of NF.</w:t>
      </w:r>
      <w:r>
        <w:rPr>
          <w:rFonts w:ascii="Times New Roman" w:hAnsi="Times New Roman" w:eastAsia="微软雅黑" w:cs="Times New Roman"/>
          <w:kern w:val="24"/>
          <w:szCs w:val="21"/>
        </w:rPr>
        <w:t xml:space="preserve"> J-t curves tested at 2.52 V</w:t>
      </w:r>
      <w:r>
        <w:rPr>
          <w:rFonts w:ascii="Times New Roman" w:hAnsi="Times New Roman" w:eastAsia="微软雅黑" w:cs="Times New Roman"/>
          <w:kern w:val="24"/>
          <w:szCs w:val="21"/>
          <w:vertAlign w:val="subscript"/>
        </w:rPr>
        <w:t>RHE</w:t>
      </w:r>
      <w:r>
        <w:rPr>
          <w:rFonts w:ascii="Times New Roman" w:hAnsi="Times New Roman" w:eastAsia="微软雅黑" w:cs="Times New Roman"/>
          <w:kern w:val="24"/>
          <w:szCs w:val="21"/>
        </w:rPr>
        <w:t xml:space="preserve"> of NF electrodes in blank 1.0 M KOH electrolyte and 1.0 M KOH electrolyte with 30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xml:space="preserve"> kaolin NS.</w:t>
      </w:r>
      <w:bookmarkEnd w:id="13"/>
      <w:r>
        <w:rPr>
          <w:rFonts w:ascii="Times New Roman" w:hAnsi="Times New Roman" w:eastAsia="微软雅黑" w:cs="Times New Roman"/>
          <w:kern w:val="24"/>
          <w:szCs w:val="21"/>
        </w:rPr>
        <w:t xml:space="preserve"> </w:t>
      </w:r>
    </w:p>
    <w:p>
      <w:pPr>
        <w:jc w:val="center"/>
        <w:rPr>
          <w:rFonts w:ascii="Times New Roman" w:hAnsi="Times New Roman" w:eastAsia="微软雅黑" w:cs="Times New Roman"/>
          <w:kern w:val="24"/>
          <w:szCs w:val="21"/>
        </w:rPr>
      </w:pPr>
      <w:r>
        <w:drawing>
          <wp:inline distT="0" distB="0" distL="0" distR="0">
            <wp:extent cx="4648200" cy="354901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648200" cy="3549015"/>
                    </a:xfrm>
                    <a:prstGeom prst="rect">
                      <a:avLst/>
                    </a:prstGeom>
                    <a:noFill/>
                    <a:ln>
                      <a:noFill/>
                    </a:ln>
                  </pic:spPr>
                </pic:pic>
              </a:graphicData>
            </a:graphic>
          </wp:inline>
        </w:drawing>
      </w:r>
    </w:p>
    <w:p>
      <w:pPr>
        <w:spacing w:after="156" w:afterLines="50" w:line="360" w:lineRule="auto"/>
        <w:outlineLvl w:val="1"/>
        <w:rPr>
          <w:rFonts w:ascii="Times New Roman" w:hAnsi="Times New Roman" w:eastAsia="微软雅黑" w:cs="Times New Roman"/>
          <w:kern w:val="24"/>
          <w:szCs w:val="21"/>
        </w:rPr>
      </w:pPr>
      <w:bookmarkStart w:id="14" w:name="_Toc21633"/>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13</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kern w:val="24"/>
          <w:szCs w:val="21"/>
        </w:rPr>
        <w:t xml:space="preserve">Tafel slopes of samples. </w:t>
      </w:r>
      <w:r>
        <w:rPr>
          <w:rFonts w:ascii="Times New Roman" w:hAnsi="Times New Roman" w:eastAsia="微软雅黑" w:cs="Times New Roman"/>
          <w:kern w:val="24"/>
          <w:szCs w:val="21"/>
        </w:rPr>
        <w:t>Tafel slopes of NF, NF/Ni</w:t>
      </w:r>
      <w:r>
        <w:rPr>
          <w:rFonts w:ascii="Times New Roman" w:hAnsi="Times New Roman" w:eastAsia="微软雅黑" w:cs="Times New Roman"/>
          <w:kern w:val="24"/>
          <w:szCs w:val="21"/>
          <w:vertAlign w:val="subscript"/>
        </w:rPr>
        <w:t>3</w:t>
      </w:r>
      <w:r>
        <w:rPr>
          <w:rFonts w:ascii="Times New Roman" w:hAnsi="Times New Roman" w:eastAsia="微软雅黑" w:cs="Times New Roman"/>
          <w:kern w:val="24"/>
          <w:szCs w:val="21"/>
        </w:rPr>
        <w:t>S</w:t>
      </w:r>
      <w:r>
        <w:rPr>
          <w:rFonts w:ascii="Times New Roman" w:hAnsi="Times New Roman" w:eastAsia="微软雅黑" w:cs="Times New Roman"/>
          <w:kern w:val="24"/>
          <w:szCs w:val="21"/>
          <w:vertAlign w:val="subscript"/>
        </w:rPr>
        <w:t>2</w:t>
      </w:r>
      <w:r>
        <w:rPr>
          <w:rFonts w:ascii="Times New Roman" w:hAnsi="Times New Roman" w:eastAsia="微软雅黑" w:cs="Times New Roman"/>
          <w:kern w:val="24"/>
          <w:szCs w:val="21"/>
        </w:rPr>
        <w:t>, NF/Ni(OH)</w:t>
      </w:r>
      <w:r>
        <w:rPr>
          <w:rFonts w:ascii="Times New Roman" w:hAnsi="Times New Roman" w:eastAsia="微软雅黑" w:cs="Times New Roman"/>
          <w:kern w:val="24"/>
          <w:szCs w:val="21"/>
          <w:vertAlign w:val="subscript"/>
        </w:rPr>
        <w:t>2</w:t>
      </w:r>
      <w:r>
        <w:rPr>
          <w:rFonts w:hint="eastAsia" w:ascii="Times New Roman" w:hAnsi="Times New Roman" w:eastAsia="微软雅黑" w:cs="Times New Roman"/>
          <w:kern w:val="24"/>
          <w:szCs w:val="21"/>
        </w:rPr>
        <w:t>,</w:t>
      </w:r>
      <w:r>
        <w:rPr>
          <w:rFonts w:ascii="Times New Roman" w:hAnsi="Times New Roman" w:eastAsia="微软雅黑" w:cs="Times New Roman"/>
          <w:kern w:val="24"/>
          <w:szCs w:val="21"/>
        </w:rPr>
        <w:t xml:space="preserve"> NF/Co</w:t>
      </w:r>
      <w:r>
        <w:rPr>
          <w:rFonts w:ascii="Times New Roman" w:hAnsi="Times New Roman" w:eastAsia="微软雅黑" w:cs="Times New Roman"/>
          <w:kern w:val="24"/>
          <w:szCs w:val="21"/>
          <w:vertAlign w:val="subscript"/>
        </w:rPr>
        <w:t>3</w:t>
      </w:r>
      <w:r>
        <w:rPr>
          <w:rFonts w:ascii="Times New Roman" w:hAnsi="Times New Roman" w:eastAsia="微软雅黑" w:cs="Times New Roman"/>
          <w:kern w:val="24"/>
          <w:szCs w:val="21"/>
        </w:rPr>
        <w:t>O</w:t>
      </w:r>
      <w:r>
        <w:rPr>
          <w:rFonts w:ascii="Times New Roman" w:hAnsi="Times New Roman" w:eastAsia="微软雅黑" w:cs="Times New Roman"/>
          <w:kern w:val="24"/>
          <w:szCs w:val="21"/>
          <w:vertAlign w:val="subscript"/>
        </w:rPr>
        <w:t>4</w:t>
      </w:r>
      <w:r>
        <w:rPr>
          <w:rFonts w:ascii="Times New Roman" w:hAnsi="Times New Roman" w:eastAsia="微软雅黑" w:cs="Times New Roman"/>
          <w:kern w:val="24"/>
          <w:szCs w:val="21"/>
        </w:rPr>
        <w:t xml:space="preserve"> and NF/NiS</w:t>
      </w:r>
      <w:r>
        <w:rPr>
          <w:rFonts w:ascii="Times New Roman" w:hAnsi="Times New Roman" w:eastAsia="微软雅黑" w:cs="Times New Roman"/>
          <w:kern w:val="24"/>
          <w:szCs w:val="21"/>
          <w:vertAlign w:val="subscript"/>
        </w:rPr>
        <w:t>x</w:t>
      </w:r>
      <w:r>
        <w:rPr>
          <w:rFonts w:ascii="Times New Roman" w:hAnsi="Times New Roman" w:eastAsia="微软雅黑" w:cs="Times New Roman"/>
          <w:kern w:val="24"/>
          <w:szCs w:val="21"/>
        </w:rPr>
        <w:t>/C</w:t>
      </w:r>
      <w:r>
        <w:rPr>
          <w:rFonts w:ascii="Times New Roman" w:hAnsi="Times New Roman" w:eastAsia="微软雅黑" w:cs="Times New Roman"/>
          <w:kern w:val="24"/>
          <w:szCs w:val="21"/>
          <w:vertAlign w:val="subscript"/>
        </w:rPr>
        <w:t>3</w:t>
      </w:r>
      <w:r>
        <w:rPr>
          <w:rFonts w:ascii="Times New Roman" w:hAnsi="Times New Roman" w:eastAsia="微软雅黑" w:cs="Times New Roman"/>
          <w:kern w:val="24"/>
          <w:szCs w:val="21"/>
        </w:rPr>
        <w:t>N</w:t>
      </w:r>
      <w:r>
        <w:rPr>
          <w:rFonts w:ascii="Times New Roman" w:hAnsi="Times New Roman" w:eastAsia="微软雅黑" w:cs="Times New Roman"/>
          <w:kern w:val="24"/>
          <w:szCs w:val="21"/>
          <w:vertAlign w:val="subscript"/>
        </w:rPr>
        <w:t>4</w:t>
      </w:r>
      <w:r>
        <w:rPr>
          <w:rFonts w:ascii="Times New Roman" w:hAnsi="Times New Roman" w:eastAsia="微软雅黑" w:cs="Times New Roman"/>
          <w:kern w:val="24"/>
          <w:szCs w:val="21"/>
        </w:rPr>
        <w:t xml:space="preserve"> electrodes in blank 1.0 M KOH electrolyte and 1.0 M KOH electrolyte with kaolin NS.</w:t>
      </w:r>
      <w:bookmarkEnd w:id="14"/>
    </w:p>
    <w:p>
      <w:pPr>
        <w:rPr>
          <w:rFonts w:ascii="Times New Roman" w:hAnsi="Times New Roman" w:eastAsia="微软雅黑" w:cs="Times New Roman"/>
          <w:kern w:val="24"/>
          <w:szCs w:val="21"/>
        </w:rPr>
      </w:pPr>
      <w:r>
        <w:drawing>
          <wp:inline distT="0" distB="0" distL="0" distR="0">
            <wp:extent cx="5274310" cy="220472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4310" cy="2204744"/>
                    </a:xfrm>
                    <a:prstGeom prst="rect">
                      <a:avLst/>
                    </a:prstGeom>
                    <a:noFill/>
                    <a:ln>
                      <a:noFill/>
                    </a:ln>
                  </pic:spPr>
                </pic:pic>
              </a:graphicData>
            </a:graphic>
          </wp:inline>
        </w:drawing>
      </w:r>
    </w:p>
    <w:p>
      <w:pPr>
        <w:spacing w:line="360" w:lineRule="auto"/>
        <w:outlineLvl w:val="1"/>
        <w:rPr>
          <w:szCs w:val="21"/>
        </w:rPr>
      </w:pPr>
      <w:bookmarkStart w:id="15" w:name="_Toc29884"/>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14</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eastAsia="微软雅黑" w:cs="Times New Roman"/>
          <w:b/>
          <w:kern w:val="24"/>
          <w:szCs w:val="21"/>
        </w:rPr>
        <w:t xml:space="preserve">Electrochemical test of pure ITO electrodes. </w:t>
      </w:r>
      <w:r>
        <w:rPr>
          <w:rFonts w:ascii="Times New Roman" w:hAnsi="Times New Roman" w:eastAsia="微软雅黑" w:cs="Times New Roman"/>
          <w:kern w:val="24"/>
          <w:szCs w:val="21"/>
        </w:rPr>
        <w:t>(</w:t>
      </w:r>
      <w:r>
        <w:rPr>
          <w:rFonts w:ascii="Times New Roman" w:hAnsi="Times New Roman" w:eastAsia="微软雅黑" w:cs="Times New Roman"/>
          <w:b/>
          <w:kern w:val="24"/>
          <w:szCs w:val="21"/>
        </w:rPr>
        <w:t>a</w:t>
      </w:r>
      <w:r>
        <w:rPr>
          <w:rFonts w:ascii="Times New Roman" w:hAnsi="Times New Roman" w:eastAsia="微软雅黑" w:cs="Times New Roman"/>
          <w:kern w:val="24"/>
          <w:szCs w:val="21"/>
        </w:rPr>
        <w:t>) LSV and (</w:t>
      </w:r>
      <w:r>
        <w:rPr>
          <w:rFonts w:ascii="Times New Roman" w:hAnsi="Times New Roman" w:eastAsia="微软雅黑" w:cs="Times New Roman"/>
          <w:b/>
          <w:kern w:val="24"/>
          <w:szCs w:val="21"/>
        </w:rPr>
        <w:t>b</w:t>
      </w:r>
      <w:r>
        <w:rPr>
          <w:rFonts w:ascii="Times New Roman" w:hAnsi="Times New Roman" w:eastAsia="微软雅黑" w:cs="Times New Roman"/>
          <w:kern w:val="24"/>
          <w:szCs w:val="21"/>
        </w:rPr>
        <w:t>) EIS of ITO electrode in 1.0 M KOH electrolyte with and without 30 mg mL</w:t>
      </w:r>
      <w:r>
        <w:rPr>
          <w:rFonts w:ascii="Times New Roman" w:hAnsi="Times New Roman" w:eastAsia="微软雅黑" w:cs="Times New Roman"/>
          <w:kern w:val="24"/>
          <w:szCs w:val="21"/>
          <w:vertAlign w:val="superscript"/>
        </w:rPr>
        <w:t>-1</w:t>
      </w:r>
      <w:r>
        <w:rPr>
          <w:rFonts w:ascii="Times New Roman" w:hAnsi="Times New Roman" w:eastAsia="微软雅黑" w:cs="Times New Roman"/>
          <w:kern w:val="24"/>
          <w:szCs w:val="21"/>
        </w:rPr>
        <w:t xml:space="preserve"> kaolin NS</w:t>
      </w:r>
      <w:r>
        <w:rPr>
          <w:rFonts w:hint="eastAsia" w:ascii="Times New Roman" w:hAnsi="Times New Roman"/>
          <w:bCs/>
        </w:rPr>
        <w:t xml:space="preserve"> and corresponding fitting circuit diagram (inset)</w:t>
      </w:r>
      <w:r>
        <w:rPr>
          <w:rFonts w:ascii="Times New Roman" w:hAnsi="Times New Roman"/>
          <w:bCs/>
        </w:rPr>
        <w:t>.</w:t>
      </w:r>
      <w:bookmarkEnd w:id="15"/>
    </w:p>
    <w:p>
      <w:pPr>
        <w:rPr>
          <w:rFonts w:ascii="Times New Roman" w:hAnsi="Times New Roman" w:eastAsia="微软雅黑" w:cs="Times New Roman"/>
          <w:b/>
          <w:kern w:val="24"/>
          <w:szCs w:val="21"/>
        </w:rPr>
      </w:pPr>
      <w:r>
        <w:drawing>
          <wp:inline distT="0" distB="0" distL="0" distR="0">
            <wp:extent cx="5274310" cy="410781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4107986"/>
                    </a:xfrm>
                    <a:prstGeom prst="rect">
                      <a:avLst/>
                    </a:prstGeom>
                    <a:noFill/>
                    <a:ln>
                      <a:noFill/>
                    </a:ln>
                  </pic:spPr>
                </pic:pic>
              </a:graphicData>
            </a:graphic>
          </wp:inline>
        </w:drawing>
      </w:r>
    </w:p>
    <w:p>
      <w:pPr>
        <w:spacing w:line="360" w:lineRule="auto"/>
        <w:outlineLvl w:val="1"/>
        <w:rPr>
          <w:rFonts w:ascii="Times New Roman" w:hAnsi="Times New Roman" w:cs="Times New Roman"/>
          <w:bCs/>
          <w:szCs w:val="21"/>
        </w:rPr>
      </w:pPr>
      <w:bookmarkStart w:id="16" w:name="_Toc24346"/>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15</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cs="Times New Roman"/>
          <w:b/>
          <w:szCs w:val="21"/>
        </w:rPr>
        <w:t>Optimized</w:t>
      </w:r>
      <w:r>
        <w:rPr>
          <w:rFonts w:ascii="Times New Roman" w:hAnsi="Times New Roman" w:cs="Times New Roman"/>
          <w:b/>
          <w:bCs/>
          <w:szCs w:val="21"/>
        </w:rPr>
        <w:t xml:space="preserve"> surface charge density</w:t>
      </w:r>
      <w:r>
        <w:rPr>
          <w:rFonts w:ascii="Times New Roman" w:hAnsi="Times New Roman" w:cs="Times New Roman"/>
          <w:b/>
          <w:szCs w:val="21"/>
        </w:rPr>
        <w:t xml:space="preserve"> for enhanced OER activity.</w:t>
      </w:r>
      <w:r>
        <w:rPr>
          <w:rFonts w:ascii="Times New Roman" w:hAnsi="Times New Roman" w:cs="Times New Roman"/>
          <w:szCs w:val="21"/>
        </w:rPr>
        <w:t xml:space="preserve"> </w:t>
      </w:r>
      <w:r>
        <w:rPr>
          <w:rFonts w:ascii="Times New Roman" w:hAnsi="Times New Roman" w:cs="Times New Roman"/>
          <w:b/>
          <w:bCs/>
          <w:szCs w:val="21"/>
        </w:rPr>
        <w:t>a</w:t>
      </w:r>
      <w:r>
        <w:rPr>
          <w:rFonts w:ascii="Times New Roman" w:hAnsi="Times New Roman" w:cs="Times New Roman"/>
          <w:bCs/>
          <w:szCs w:val="21"/>
        </w:rPr>
        <w:t xml:space="preserve"> LSV of ITO/Ni@Ni(OH)</w:t>
      </w:r>
      <w:r>
        <w:rPr>
          <w:rFonts w:ascii="Times New Roman" w:hAnsi="Times New Roman" w:cs="Times New Roman"/>
          <w:bCs/>
          <w:szCs w:val="21"/>
          <w:vertAlign w:val="subscript"/>
        </w:rPr>
        <w:t>2</w:t>
      </w:r>
      <w:r>
        <w:rPr>
          <w:rFonts w:ascii="Times New Roman" w:hAnsi="Times New Roman" w:cs="Times New Roman"/>
          <w:bCs/>
          <w:szCs w:val="21"/>
        </w:rPr>
        <w:t xml:space="preserve"> electrode in blank 1.0 M KOH electrolyte and 1.0 M KOH electrolyte with various particle sizes (1.99 μm, 1.13 μm and 1.04 μm) of kaolin and corresponding zeta potential (inset). </w:t>
      </w:r>
      <w:r>
        <w:rPr>
          <w:rFonts w:ascii="Times New Roman" w:hAnsi="Times New Roman" w:cs="Times New Roman"/>
          <w:b/>
          <w:bCs/>
          <w:szCs w:val="21"/>
        </w:rPr>
        <w:t>b</w:t>
      </w:r>
      <w:r>
        <w:rPr>
          <w:rFonts w:ascii="Times New Roman" w:hAnsi="Times New Roman" w:cs="Times New Roman"/>
          <w:bCs/>
          <w:szCs w:val="21"/>
        </w:rPr>
        <w:t xml:space="preserve"> blank 1.0 M KOH electrolyte and 1.0 M KOH electrolyte with kaolin treated by oxygen plasma at different times (1 </w:t>
      </w:r>
      <w:r>
        <w:rPr>
          <w:rFonts w:hint="eastAsia" w:ascii="Times New Roman" w:hAnsi="Times New Roman" w:cs="Times New Roman"/>
          <w:bCs/>
          <w:szCs w:val="21"/>
        </w:rPr>
        <w:t>m</w:t>
      </w:r>
      <w:r>
        <w:rPr>
          <w:rFonts w:ascii="Times New Roman" w:hAnsi="Times New Roman" w:cs="Times New Roman"/>
          <w:bCs/>
          <w:szCs w:val="21"/>
        </w:rPr>
        <w:t>in, 2 min and 5 min) and corresponding zeta potential (inset).</w:t>
      </w:r>
      <w:r>
        <w:rPr>
          <w:rFonts w:ascii="Times New Roman" w:hAnsi="Times New Roman" w:cs="Times New Roman"/>
          <w:szCs w:val="21"/>
        </w:rPr>
        <w:t xml:space="preserve"> </w:t>
      </w:r>
      <w:r>
        <w:rPr>
          <w:rFonts w:ascii="Times New Roman" w:hAnsi="Times New Roman" w:eastAsia="微软雅黑" w:cs="Times New Roman"/>
          <w:b/>
          <w:kern w:val="24"/>
          <w:szCs w:val="21"/>
        </w:rPr>
        <w:t>c</w:t>
      </w:r>
      <w:r>
        <w:rPr>
          <w:rFonts w:ascii="Times New Roman" w:hAnsi="Times New Roman" w:eastAsia="微软雅黑" w:cs="Times New Roman"/>
          <w:kern w:val="24"/>
          <w:szCs w:val="21"/>
        </w:rPr>
        <w:t xml:space="preserve"> Particle diameter spectra of kaolin NS with various average feature size (1.99 μm, 1.13 μm and 1.04 μm). </w:t>
      </w:r>
      <w:r>
        <w:rPr>
          <w:rFonts w:ascii="Times New Roman" w:hAnsi="Times New Roman" w:eastAsia="微软雅黑" w:cs="Times New Roman"/>
          <w:b/>
          <w:kern w:val="24"/>
          <w:szCs w:val="21"/>
        </w:rPr>
        <w:t>d</w:t>
      </w:r>
      <w:r>
        <w:rPr>
          <w:rFonts w:ascii="Times New Roman" w:hAnsi="Times New Roman" w:eastAsia="微软雅黑" w:cs="Times New Roman"/>
          <w:kern w:val="24"/>
          <w:szCs w:val="21"/>
        </w:rPr>
        <w:t xml:space="preserve"> FT-IR spectrum of </w:t>
      </w:r>
      <w:r>
        <w:rPr>
          <w:rFonts w:hint="eastAsia" w:ascii="Times New Roman" w:hAnsi="Times New Roman" w:eastAsia="微软雅黑" w:cs="Times New Roman"/>
          <w:kern w:val="24"/>
          <w:szCs w:val="21"/>
        </w:rPr>
        <w:t>fresh</w:t>
      </w:r>
      <w:r>
        <w:rPr>
          <w:rFonts w:ascii="Times New Roman" w:hAnsi="Times New Roman" w:eastAsia="微软雅黑" w:cs="Times New Roman"/>
          <w:kern w:val="24"/>
          <w:szCs w:val="21"/>
        </w:rPr>
        <w:t xml:space="preserve"> kaolin NS and kaolin NS treated with oxygen plasma for various time (1.0 </w:t>
      </w:r>
      <w:r>
        <w:rPr>
          <w:rFonts w:hint="eastAsia" w:ascii="Times New Roman" w:hAnsi="Times New Roman" w:eastAsia="微软雅黑" w:cs="Times New Roman"/>
          <w:kern w:val="24"/>
          <w:szCs w:val="21"/>
        </w:rPr>
        <w:t>m</w:t>
      </w:r>
      <w:r>
        <w:rPr>
          <w:rFonts w:ascii="Times New Roman" w:hAnsi="Times New Roman" w:eastAsia="微软雅黑" w:cs="Times New Roman"/>
          <w:kern w:val="24"/>
          <w:szCs w:val="21"/>
        </w:rPr>
        <w:t>in, 3min and 5 min).</w:t>
      </w:r>
      <w:r>
        <w:rPr>
          <w:rFonts w:ascii="Times New Roman" w:hAnsi="Times New Roman" w:cs="Times New Roman"/>
          <w:bCs/>
          <w:szCs w:val="21"/>
        </w:rPr>
        <w:t xml:space="preserve"> As the electrostatic field intensity is essential to accelerating OER, to optimize OER activity in this section, we firstly utilized ball-milling method to increase the kaolin edge for increased surface charge density with larger electrostatic field intensity. The zeta potential value changes from -22.3 mV to -36.4 mV after ball-milling for 12 h (insert) with decreased average feature size of kaolin NS from 1.99 μm to 1.04 μm. The OER activity is enhanced with the increased zeta potential value in terms of the decreased 60-mV overpotential at 10 mA cm</w:t>
      </w:r>
      <w:r>
        <w:rPr>
          <w:rFonts w:ascii="Times New Roman" w:hAnsi="Times New Roman" w:cs="Times New Roman"/>
          <w:bCs/>
          <w:szCs w:val="21"/>
          <w:vertAlign w:val="superscript"/>
        </w:rPr>
        <w:t>-2</w:t>
      </w:r>
      <w:r>
        <w:rPr>
          <w:rFonts w:ascii="Times New Roman" w:hAnsi="Times New Roman" w:cs="Times New Roman"/>
          <w:bCs/>
          <w:szCs w:val="21"/>
        </w:rPr>
        <w:t>. On the other hand, the electrostatic field intensity is increased via the oxygen plasma treatment by adding the unsaturated dangling bonds of kaolin NS surface</w:t>
      </w:r>
      <w:r>
        <w:rPr>
          <w:rFonts w:ascii="Times New Roman" w:hAnsi="Times New Roman" w:cs="Times New Roman"/>
          <w:b/>
          <w:bCs/>
          <w:szCs w:val="21"/>
        </w:rPr>
        <w:t xml:space="preserve">. </w:t>
      </w:r>
      <w:r>
        <w:rPr>
          <w:rFonts w:ascii="Times New Roman" w:hAnsi="Times New Roman" w:cs="Times New Roman"/>
          <w:szCs w:val="21"/>
        </w:rPr>
        <w:t>The Fourier transform infrared (FTIR) spectra shows that the Si-O-Si bonds corresponding to the peak centered at ~1090 cm</w:t>
      </w:r>
      <w:r>
        <w:rPr>
          <w:rFonts w:ascii="Times New Roman" w:hAnsi="Times New Roman" w:cs="Times New Roman"/>
          <w:szCs w:val="21"/>
          <w:vertAlign w:val="superscript"/>
        </w:rPr>
        <w:t>-1</w:t>
      </w:r>
      <w:r>
        <w:rPr>
          <w:rFonts w:ascii="Times New Roman" w:hAnsi="Times New Roman" w:cs="Times New Roman"/>
          <w:szCs w:val="21"/>
        </w:rPr>
        <w:t xml:space="preserve"> and Al-O-Si bonds corresponding to the peak centered at ~800 cm</w:t>
      </w:r>
      <w:r>
        <w:rPr>
          <w:rFonts w:ascii="Times New Roman" w:hAnsi="Times New Roman" w:cs="Times New Roman"/>
          <w:szCs w:val="21"/>
          <w:vertAlign w:val="superscript"/>
        </w:rPr>
        <w:t xml:space="preserve">-1 </w:t>
      </w:r>
      <w:r>
        <w:rPr>
          <w:rFonts w:ascii="Times New Roman" w:hAnsi="Times New Roman" w:cs="Times New Roman"/>
          <w:szCs w:val="21"/>
        </w:rPr>
        <w:t xml:space="preserve">becomes broader with longer </w:t>
      </w:r>
      <w:r>
        <w:rPr>
          <w:rFonts w:ascii="Times New Roman" w:hAnsi="Times New Roman" w:cs="Times New Roman"/>
          <w:bCs/>
          <w:szCs w:val="21"/>
        </w:rPr>
        <w:t>oxygen plasma treatment time from 0 min to 5 min, indicating the higher disorder degree of</w:t>
      </w:r>
      <w:r>
        <w:rPr>
          <w:rFonts w:ascii="Times New Roman" w:hAnsi="Times New Roman" w:cs="Times New Roman"/>
          <w:szCs w:val="21"/>
        </w:rPr>
        <w:t xml:space="preserve"> interrupted periodic </w:t>
      </w:r>
      <w:r>
        <w:rPr>
          <w:rFonts w:ascii="Times New Roman" w:hAnsi="Times New Roman" w:cs="Times New Roman"/>
          <w:bCs/>
          <w:szCs w:val="21"/>
        </w:rPr>
        <w:t>interfacial atom</w:t>
      </w:r>
      <w:r>
        <w:rPr>
          <w:rFonts w:ascii="Times New Roman" w:hAnsi="Times New Roman" w:cs="Times New Roman"/>
          <w:szCs w:val="21"/>
        </w:rPr>
        <w:t xml:space="preserve"> alignment leading to higher charge density in alkaline solution</w:t>
      </w:r>
      <w:r>
        <w:rPr>
          <w:rFonts w:ascii="Times New Roman" w:hAnsi="Times New Roman" w:cs="Times New Roman"/>
          <w:szCs w:val="21"/>
          <w:vertAlign w:val="superscript"/>
        </w:rPr>
        <w:t>1,2</w:t>
      </w:r>
      <w:r>
        <w:rPr>
          <w:rFonts w:ascii="Times New Roman" w:hAnsi="Times New Roman" w:cs="Times New Roman"/>
          <w:szCs w:val="21"/>
        </w:rPr>
        <w:t xml:space="preserve">. This is consistent with the negatively increasing Zeta potential from -22.3 mV to -30.6 mV with longer </w:t>
      </w:r>
      <w:r>
        <w:rPr>
          <w:rFonts w:ascii="Times New Roman" w:hAnsi="Times New Roman" w:cs="Times New Roman"/>
          <w:bCs/>
          <w:szCs w:val="21"/>
        </w:rPr>
        <w:t>oxygen plasma treatment time from 0 min to 5 min (insert). The LSV curvatures exhibit the enhanced OER activity with decreased overpotential from 530 mV to 500 mV at 10 mA cm</w:t>
      </w:r>
      <w:r>
        <w:rPr>
          <w:rFonts w:ascii="Times New Roman" w:hAnsi="Times New Roman" w:cs="Times New Roman"/>
          <w:bCs/>
          <w:szCs w:val="21"/>
          <w:vertAlign w:val="superscript"/>
        </w:rPr>
        <w:t xml:space="preserve">-2 </w:t>
      </w:r>
      <w:r>
        <w:rPr>
          <w:rFonts w:ascii="Times New Roman" w:hAnsi="Times New Roman" w:cs="Times New Roman"/>
          <w:bCs/>
          <w:szCs w:val="21"/>
        </w:rPr>
        <w:t>and increased current density from 18.7 mA cm</w:t>
      </w:r>
      <w:r>
        <w:rPr>
          <w:rFonts w:ascii="Times New Roman" w:hAnsi="Times New Roman" w:cs="Times New Roman"/>
          <w:bCs/>
          <w:szCs w:val="21"/>
          <w:vertAlign w:val="superscript"/>
        </w:rPr>
        <w:t xml:space="preserve">-2 </w:t>
      </w:r>
      <w:r>
        <w:rPr>
          <w:rFonts w:ascii="Times New Roman" w:hAnsi="Times New Roman" w:cs="Times New Roman"/>
          <w:bCs/>
          <w:szCs w:val="21"/>
        </w:rPr>
        <w:t>to 21.8 mA cm</w:t>
      </w:r>
      <w:r>
        <w:rPr>
          <w:rFonts w:ascii="Times New Roman" w:hAnsi="Times New Roman" w:cs="Times New Roman"/>
          <w:bCs/>
          <w:szCs w:val="21"/>
          <w:vertAlign w:val="superscript"/>
        </w:rPr>
        <w:t xml:space="preserve">-2 </w:t>
      </w:r>
      <w:r>
        <w:rPr>
          <w:rFonts w:ascii="Times New Roman" w:hAnsi="Times New Roman" w:cs="Times New Roman"/>
          <w:bCs/>
          <w:szCs w:val="21"/>
        </w:rPr>
        <w:t>at 1.90 V</w:t>
      </w:r>
      <w:r>
        <w:rPr>
          <w:rFonts w:ascii="Times New Roman" w:hAnsi="Times New Roman" w:cs="Times New Roman"/>
          <w:bCs/>
          <w:szCs w:val="21"/>
          <w:vertAlign w:val="subscript"/>
        </w:rPr>
        <w:t>RHE</w:t>
      </w:r>
      <w:r>
        <w:rPr>
          <w:rFonts w:ascii="Times New Roman" w:hAnsi="Times New Roman" w:cs="Times New Roman"/>
          <w:bCs/>
          <w:szCs w:val="21"/>
        </w:rPr>
        <w:t>.</w:t>
      </w:r>
      <w:bookmarkEnd w:id="16"/>
      <w:r>
        <w:rPr>
          <w:rFonts w:ascii="Times New Roman" w:hAnsi="Times New Roman" w:cs="Times New Roman"/>
          <w:bCs/>
          <w:sz w:val="24"/>
          <w:szCs w:val="24"/>
        </w:rPr>
        <w:t xml:space="preserve"> </w:t>
      </w:r>
    </w:p>
    <w:p>
      <w:pPr>
        <w:jc w:val="center"/>
        <w:rPr>
          <w:rFonts w:ascii="Times New Roman" w:hAnsi="Times New Roman" w:cs="Times New Roman"/>
          <w:szCs w:val="21"/>
        </w:rPr>
      </w:pPr>
      <w:r>
        <w:rPr>
          <w:rFonts w:ascii="Times New Roman" w:hAnsi="Times New Roman" w:cs="Times New Roman"/>
          <w:szCs w:val="21"/>
        </w:rPr>
        <w:drawing>
          <wp:inline distT="0" distB="0" distL="0" distR="0">
            <wp:extent cx="4639310" cy="3542030"/>
            <wp:effectExtent l="0" t="0" r="0" b="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20"/>
                    <a:stretch>
                      <a:fillRect/>
                    </a:stretch>
                  </pic:blipFill>
                  <pic:spPr>
                    <a:xfrm>
                      <a:off x="0" y="0"/>
                      <a:ext cx="4639401" cy="3542400"/>
                    </a:xfrm>
                    <a:prstGeom prst="rect">
                      <a:avLst/>
                    </a:prstGeom>
                  </pic:spPr>
                </pic:pic>
              </a:graphicData>
            </a:graphic>
          </wp:inline>
        </w:drawing>
      </w:r>
    </w:p>
    <w:p>
      <w:pPr>
        <w:spacing w:line="360" w:lineRule="auto"/>
        <w:outlineLvl w:val="1"/>
        <w:rPr>
          <w:rFonts w:ascii="Times New Roman" w:hAnsi="Times New Roman" w:cs="Times New Roman"/>
          <w:bCs/>
          <w:szCs w:val="21"/>
        </w:rPr>
      </w:pPr>
      <w:bookmarkStart w:id="17" w:name="_Toc21759"/>
      <w:r>
        <w:rPr>
          <w:rFonts w:ascii="Times New Roman" w:hAnsi="Times New Roman" w:cs="Times New Roman"/>
          <w:b/>
          <w:bCs/>
          <w:szCs w:val="21"/>
        </w:rPr>
        <w:t>Supplementary Fig</w:t>
      </w:r>
      <w:r>
        <w:rPr>
          <w:rFonts w:hint="eastAsia" w:ascii="Times New Roman" w:hAnsi="Times New Roman" w:cs="Times New Roman"/>
          <w:b/>
          <w:bCs/>
          <w:szCs w:val="21"/>
        </w:rPr>
        <w:t xml:space="preserve">. </w:t>
      </w:r>
      <w:r>
        <w:rPr>
          <w:rFonts w:ascii="Times New Roman" w:hAnsi="Times New Roman" w:eastAsia="微软雅黑" w:cs="Times New Roman"/>
          <w:b/>
          <w:bCs/>
          <w:kern w:val="24"/>
        </w:rPr>
        <w:t>16</w:t>
      </w:r>
      <w:r>
        <w:rPr>
          <w:rFonts w:ascii="Times New Roman" w:hAnsi="Times New Roman" w:cs="Times New Roman"/>
          <w:b/>
          <w:bCs/>
          <w:szCs w:val="21"/>
        </w:rPr>
        <w:t xml:space="preserve"> |</w:t>
      </w:r>
      <w:r>
        <w:rPr>
          <w:rFonts w:ascii="Times New Roman" w:hAnsi="Times New Roman" w:cs="Times New Roman"/>
          <w:bCs/>
          <w:szCs w:val="21"/>
        </w:rPr>
        <w:t xml:space="preserve"> </w:t>
      </w:r>
      <w:r>
        <w:rPr>
          <w:rFonts w:ascii="Times New Roman" w:hAnsi="Times New Roman" w:cs="Times New Roman"/>
          <w:b/>
          <w:bCs/>
          <w:szCs w:val="21"/>
        </w:rPr>
        <w:t xml:space="preserve">LSV of NF electrodes. </w:t>
      </w:r>
      <w:r>
        <w:rPr>
          <w:rFonts w:ascii="Times New Roman" w:hAnsi="Times New Roman" w:cs="Times New Roman"/>
          <w:bCs/>
          <w:szCs w:val="21"/>
        </w:rPr>
        <w:t xml:space="preserve">LSV tested in blank KOH electrolyte, KOH electrolyte with kaolin NS and KOH electrolyte with kaolin NS optimized by ball milling and </w:t>
      </w:r>
      <w:r>
        <w:rPr>
          <w:rFonts w:ascii="Times New Roman" w:hAnsi="Times New Roman" w:eastAsia="微软雅黑" w:cs="Times New Roman"/>
          <w:kern w:val="24"/>
          <w:szCs w:val="21"/>
        </w:rPr>
        <w:t>oxygen</w:t>
      </w:r>
      <w:r>
        <w:rPr>
          <w:rFonts w:ascii="Times New Roman" w:hAnsi="Times New Roman" w:cs="Times New Roman"/>
          <w:bCs/>
          <w:szCs w:val="21"/>
        </w:rPr>
        <w:t xml:space="preserve"> plasma treatment.</w:t>
      </w:r>
      <w:bookmarkEnd w:id="17"/>
    </w:p>
    <w:p>
      <w:pPr>
        <w:spacing w:line="360" w:lineRule="auto"/>
        <w:rPr>
          <w:rFonts w:ascii="Times New Roman" w:hAnsi="Times New Roman" w:cs="Times New Roman"/>
          <w:bCs/>
          <w:szCs w:val="21"/>
        </w:rPr>
      </w:pPr>
    </w:p>
    <w:p>
      <w:pPr>
        <w:spacing w:line="360" w:lineRule="auto"/>
        <w:rPr>
          <w:rFonts w:ascii="Times New Roman" w:hAnsi="Times New Roman" w:cs="Times New Roman"/>
          <w:bCs/>
          <w:szCs w:val="21"/>
        </w:rPr>
      </w:pPr>
    </w:p>
    <w:p>
      <w:pPr>
        <w:spacing w:line="360" w:lineRule="auto"/>
        <w:rPr>
          <w:rFonts w:ascii="Times New Roman" w:hAnsi="Times New Roman" w:cs="Times New Roman"/>
          <w:bCs/>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rPr>
          <w:rFonts w:ascii="Times New Roman" w:hAnsi="Times New Roman" w:cs="Times New Roman"/>
          <w:szCs w:val="21"/>
        </w:rPr>
      </w:pPr>
    </w:p>
    <w:p>
      <w:pPr>
        <w:numPr>
          <w:ilvl w:val="0"/>
          <w:numId w:val="1"/>
        </w:numPr>
        <w:spacing w:line="360" w:lineRule="auto"/>
        <w:outlineLvl w:val="0"/>
        <w:rPr>
          <w:rFonts w:ascii="Times New Roman" w:hAnsi="Times New Roman" w:eastAsia="微软雅黑" w:cs="Times New Roman"/>
          <w:b/>
          <w:kern w:val="24"/>
          <w:szCs w:val="21"/>
        </w:rPr>
      </w:pPr>
      <w:bookmarkStart w:id="18" w:name="_Toc20927"/>
      <w:r>
        <w:rPr>
          <w:rFonts w:ascii="Times New Roman" w:hAnsi="Times New Roman" w:cs="Times New Roman"/>
          <w:b/>
          <w:bCs/>
          <w:color w:val="000000"/>
          <w:sz w:val="22"/>
        </w:rPr>
        <w:t>Supplementary</w:t>
      </w:r>
      <w:r>
        <w:rPr>
          <w:rFonts w:hint="eastAsia" w:ascii="Times New Roman" w:hAnsi="Times New Roman" w:cs="Times New Roman"/>
          <w:b/>
          <w:bCs/>
          <w:color w:val="000000"/>
          <w:sz w:val="22"/>
        </w:rPr>
        <w:t xml:space="preserve"> Tables</w:t>
      </w:r>
      <w:bookmarkEnd w:id="18"/>
    </w:p>
    <w:p>
      <w:pPr>
        <w:spacing w:line="360" w:lineRule="auto"/>
        <w:outlineLvl w:val="1"/>
        <w:rPr>
          <w:rFonts w:ascii="Times New Roman" w:hAnsi="Times New Roman" w:cs="Times New Roman"/>
          <w:b/>
          <w:szCs w:val="21"/>
        </w:rPr>
      </w:pPr>
      <w:bookmarkStart w:id="19" w:name="_Toc2019"/>
      <w:r>
        <w:rPr>
          <w:rFonts w:ascii="Times New Roman" w:hAnsi="Times New Roman" w:eastAsia="微软雅黑" w:cs="Times New Roman"/>
          <w:b/>
          <w:kern w:val="24"/>
          <w:szCs w:val="21"/>
        </w:rPr>
        <w:t xml:space="preserve">Supplementary table 1 | </w:t>
      </w:r>
      <w:r>
        <w:rPr>
          <w:rFonts w:ascii="Times New Roman" w:hAnsi="Times New Roman" w:cs="Times New Roman"/>
          <w:b/>
        </w:rPr>
        <w:t>Comparisons of OER performance for various non-noble metal based electrocatalysts.</w:t>
      </w:r>
      <w:bookmarkEnd w:id="19"/>
    </w:p>
    <w:p>
      <w:pPr>
        <w:jc w:val="center"/>
        <w:rPr>
          <w:rFonts w:ascii="Times New Roman" w:hAnsi="Times New Roman" w:eastAsia="微软雅黑" w:cs="Times New Roman"/>
          <w:kern w:val="24"/>
          <w:szCs w:val="21"/>
        </w:rPr>
      </w:pPr>
      <w:r>
        <w:drawing>
          <wp:inline distT="0" distB="0" distL="0" distR="0">
            <wp:extent cx="5039995" cy="7835900"/>
            <wp:effectExtent l="0" t="0" r="825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040000" cy="7836294"/>
                    </a:xfrm>
                    <a:prstGeom prst="rect">
                      <a:avLst/>
                    </a:prstGeom>
                    <a:noFill/>
                    <a:ln>
                      <a:noFill/>
                    </a:ln>
                  </pic:spPr>
                </pic:pic>
              </a:graphicData>
            </a:graphic>
          </wp:inline>
        </w:drawing>
      </w:r>
    </w:p>
    <w:p>
      <w:pPr>
        <w:spacing w:line="360" w:lineRule="auto"/>
        <w:rPr>
          <w:rFonts w:ascii="Times New Roman" w:hAnsi="Times New Roman" w:cs="Times New Roman"/>
        </w:rPr>
      </w:pPr>
      <w:r>
        <w:rPr>
          <w:rFonts w:ascii="Times New Roman" w:hAnsi="Times New Roman" w:cs="Times New Roman"/>
        </w:rPr>
        <w:t>*NF: Ni foam, GCE: glassy carbon electrode, CFP: carbon fiber paper, CF: Cu foam</w:t>
      </w:r>
    </w:p>
    <w:p>
      <w:pPr>
        <w:spacing w:line="360" w:lineRule="auto"/>
        <w:rPr>
          <w:rFonts w:ascii="Times New Roman" w:hAnsi="Times New Roman" w:cs="Times New Roman"/>
        </w:rPr>
      </w:pPr>
    </w:p>
    <w:p>
      <w:pPr>
        <w:spacing w:line="360" w:lineRule="auto"/>
        <w:outlineLvl w:val="1"/>
        <w:rPr>
          <w:rFonts w:ascii="Times New Roman" w:hAnsi="Times New Roman" w:eastAsia="微软雅黑" w:cs="Times New Roman"/>
          <w:b/>
          <w:kern w:val="24"/>
          <w:szCs w:val="21"/>
        </w:rPr>
      </w:pPr>
      <w:bookmarkStart w:id="20" w:name="_Toc18743"/>
      <w:r>
        <w:rPr>
          <w:rFonts w:ascii="Times New Roman" w:hAnsi="Times New Roman" w:eastAsia="微软雅黑" w:cs="Times New Roman"/>
          <w:b/>
          <w:kern w:val="24"/>
          <w:szCs w:val="21"/>
        </w:rPr>
        <w:t>Supplementary table 2 | ICP of blank KOH electrolyte and KOH electrolyte after removing kaolin NS by centrifugal separation.</w:t>
      </w:r>
      <w:bookmarkEnd w:id="20"/>
      <w:r>
        <w:rPr>
          <w:rFonts w:ascii="Times New Roman" w:hAnsi="Times New Roman" w:eastAsia="微软雅黑" w:cs="Times New Roman"/>
          <w:b/>
          <w:kern w:val="24"/>
          <w:szCs w:val="21"/>
        </w:rPr>
        <w:t xml:space="preserve"> </w:t>
      </w:r>
    </w:p>
    <w:p>
      <w:pPr>
        <w:spacing w:line="360" w:lineRule="auto"/>
        <w:rPr>
          <w:rFonts w:ascii="Times New Roman" w:hAnsi="Times New Roman" w:cs="Times New Roman"/>
        </w:rPr>
      </w:pPr>
      <w:r>
        <w:drawing>
          <wp:inline distT="0" distB="0" distL="0" distR="0">
            <wp:extent cx="5274310" cy="89725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897702"/>
                    </a:xfrm>
                    <a:prstGeom prst="rect">
                      <a:avLst/>
                    </a:prstGeom>
                    <a:noFill/>
                    <a:ln>
                      <a:noFill/>
                    </a:ln>
                  </pic:spPr>
                </pic:pic>
              </a:graphicData>
            </a:graphic>
          </wp:inline>
        </w:drawing>
      </w:r>
    </w:p>
    <w:p>
      <w:pPr>
        <w:rPr>
          <w:rFonts w:ascii="Times New Roman" w:hAnsi="Times New Roman" w:eastAsia="微软雅黑" w:cs="Times New Roman"/>
          <w:kern w:val="24"/>
          <w:szCs w:val="21"/>
        </w:rPr>
      </w:pPr>
    </w:p>
    <w:p>
      <w:pPr>
        <w:spacing w:line="360" w:lineRule="auto"/>
        <w:outlineLvl w:val="1"/>
        <w:rPr>
          <w:rFonts w:ascii="Times New Roman" w:hAnsi="Times New Roman" w:cs="Times New Roman"/>
          <w:szCs w:val="21"/>
        </w:rPr>
      </w:pPr>
      <w:bookmarkStart w:id="21" w:name="_Toc24365"/>
      <w:r>
        <w:rPr>
          <w:rFonts w:ascii="Times New Roman" w:hAnsi="Times New Roman" w:eastAsia="微软雅黑" w:cs="Times New Roman"/>
          <w:b/>
          <w:kern w:val="24"/>
          <w:szCs w:val="21"/>
        </w:rPr>
        <w:t xml:space="preserve">Supplementary table 3 | </w:t>
      </w:r>
      <w:r>
        <w:rPr>
          <w:rFonts w:ascii="Times New Roman" w:hAnsi="Times New Roman" w:cs="Times New Roman"/>
          <w:b/>
          <w:bCs/>
          <w:szCs w:val="21"/>
        </w:rPr>
        <w:t>Fitting results obtained from</w:t>
      </w:r>
      <w:r>
        <w:rPr>
          <w:rFonts w:ascii="Times New Roman" w:hAnsi="Times New Roman" w:cs="Times New Roman"/>
          <w:b/>
          <w:szCs w:val="21"/>
        </w:rPr>
        <w:t xml:space="preserve"> EIS </w:t>
      </w:r>
      <w:r>
        <w:rPr>
          <w:rFonts w:ascii="Times New Roman" w:hAnsi="Times New Roman" w:cs="Times New Roman"/>
          <w:b/>
          <w:bCs/>
          <w:szCs w:val="21"/>
        </w:rPr>
        <w:t>of ITO/Ni@Ni(OH)</w:t>
      </w:r>
      <w:r>
        <w:rPr>
          <w:rFonts w:ascii="Times New Roman" w:hAnsi="Times New Roman" w:cs="Times New Roman"/>
          <w:b/>
          <w:bCs/>
          <w:szCs w:val="21"/>
          <w:vertAlign w:val="subscript"/>
        </w:rPr>
        <w:t>2</w:t>
      </w:r>
      <w:r>
        <w:rPr>
          <w:rFonts w:ascii="Times New Roman" w:hAnsi="Times New Roman" w:cs="Times New Roman"/>
          <w:b/>
          <w:bCs/>
          <w:szCs w:val="21"/>
        </w:rPr>
        <w:t xml:space="preserve"> electrode in 1.0 M KOH electrolyte with and without dispersed 30 mg mL</w:t>
      </w:r>
      <w:r>
        <w:rPr>
          <w:rFonts w:ascii="Times New Roman" w:hAnsi="Times New Roman" w:cs="Times New Roman"/>
          <w:b/>
          <w:bCs/>
          <w:szCs w:val="21"/>
          <w:vertAlign w:val="superscript"/>
        </w:rPr>
        <w:t>-1</w:t>
      </w:r>
      <w:r>
        <w:rPr>
          <w:rFonts w:ascii="Times New Roman" w:hAnsi="Times New Roman" w:cs="Times New Roman"/>
          <w:b/>
          <w:bCs/>
          <w:szCs w:val="21"/>
        </w:rPr>
        <w:t xml:space="preserve"> kaolin NS.</w:t>
      </w:r>
      <w:bookmarkEnd w:id="21"/>
      <w:r>
        <w:rPr>
          <w:rFonts w:ascii="Times New Roman" w:hAnsi="Times New Roman" w:cs="Times New Roman"/>
          <w:bCs/>
          <w:szCs w:val="21"/>
        </w:rPr>
        <w:t xml:space="preserve"> </w:t>
      </w:r>
    </w:p>
    <w:p>
      <w:pPr>
        <w:rPr>
          <w:rFonts w:ascii="Times New Roman" w:hAnsi="Times New Roman" w:cs="Times New Roman"/>
          <w:b/>
          <w:szCs w:val="21"/>
        </w:rPr>
      </w:pPr>
      <w:r>
        <w:drawing>
          <wp:inline distT="0" distB="0" distL="0" distR="0">
            <wp:extent cx="5274310" cy="2131695"/>
            <wp:effectExtent l="0" t="0" r="2540" b="19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310" cy="2132043"/>
                    </a:xfrm>
                    <a:prstGeom prst="rect">
                      <a:avLst/>
                    </a:prstGeom>
                    <a:noFill/>
                    <a:ln>
                      <a:noFill/>
                    </a:ln>
                  </pic:spPr>
                </pic:pic>
              </a:graphicData>
            </a:graphic>
          </wp:inline>
        </w:drawing>
      </w:r>
    </w:p>
    <w:p>
      <w:pPr>
        <w:spacing w:line="360" w:lineRule="auto"/>
        <w:rPr>
          <w:rFonts w:ascii="Times New Roman" w:hAnsi="Times New Roman" w:cs="Times New Roman"/>
          <w:bCs/>
          <w:szCs w:val="21"/>
        </w:rPr>
      </w:pPr>
      <w:r>
        <w:rPr>
          <w:rFonts w:ascii="Times New Roman" w:hAnsi="Times New Roman" w:cs="Times New Roman"/>
          <w:bCs/>
          <w:szCs w:val="21"/>
        </w:rPr>
        <w:t>There are two parameters of CPE: Y corresponding to its capacitance value without frequency dispersion, and an exponent N ≤ 1. Hence, CPE</w:t>
      </w:r>
      <w:r>
        <w:rPr>
          <w:rFonts w:ascii="Times New Roman" w:hAnsi="Times New Roman" w:cs="Times New Roman"/>
          <w:bCs/>
          <w:szCs w:val="21"/>
          <w:vertAlign w:val="subscript"/>
        </w:rPr>
        <w:t>1</w:t>
      </w:r>
      <w:r>
        <w:rPr>
          <w:rFonts w:ascii="Times New Roman" w:hAnsi="Times New Roman" w:cs="Times New Roman"/>
          <w:bCs/>
          <w:szCs w:val="21"/>
        </w:rPr>
        <w:t xml:space="preserve"> contains Y</w:t>
      </w:r>
      <w:r>
        <w:rPr>
          <w:rFonts w:ascii="Times New Roman" w:hAnsi="Times New Roman" w:cs="Times New Roman"/>
          <w:bCs/>
          <w:szCs w:val="21"/>
          <w:vertAlign w:val="subscript"/>
        </w:rPr>
        <w:t>1</w:t>
      </w:r>
      <w:r>
        <w:rPr>
          <w:rFonts w:ascii="Times New Roman" w:hAnsi="Times New Roman" w:cs="Times New Roman"/>
          <w:bCs/>
          <w:szCs w:val="21"/>
        </w:rPr>
        <w:t xml:space="preserve"> and N</w:t>
      </w:r>
      <w:r>
        <w:rPr>
          <w:rFonts w:ascii="Times New Roman" w:hAnsi="Times New Roman" w:cs="Times New Roman"/>
          <w:bCs/>
          <w:szCs w:val="21"/>
          <w:vertAlign w:val="subscript"/>
        </w:rPr>
        <w:t>1</w:t>
      </w:r>
      <w:r>
        <w:rPr>
          <w:rFonts w:ascii="Times New Roman" w:hAnsi="Times New Roman" w:cs="Times New Roman"/>
          <w:bCs/>
          <w:szCs w:val="21"/>
        </w:rPr>
        <w:t xml:space="preserve"> and CPE</w:t>
      </w:r>
      <w:r>
        <w:rPr>
          <w:rFonts w:ascii="Times New Roman" w:hAnsi="Times New Roman" w:cs="Times New Roman"/>
          <w:bCs/>
          <w:szCs w:val="21"/>
          <w:vertAlign w:val="subscript"/>
        </w:rPr>
        <w:t>eff</w:t>
      </w:r>
      <w:r>
        <w:rPr>
          <w:rFonts w:ascii="Times New Roman" w:hAnsi="Times New Roman" w:cs="Times New Roman"/>
          <w:bCs/>
          <w:szCs w:val="21"/>
        </w:rPr>
        <w:t xml:space="preserve"> contains Y</w:t>
      </w:r>
      <w:r>
        <w:rPr>
          <w:rFonts w:ascii="Times New Roman" w:hAnsi="Times New Roman" w:cs="Times New Roman"/>
          <w:bCs/>
          <w:szCs w:val="21"/>
          <w:vertAlign w:val="subscript"/>
        </w:rPr>
        <w:t>eff</w:t>
      </w:r>
      <w:r>
        <w:rPr>
          <w:rFonts w:ascii="Times New Roman" w:hAnsi="Times New Roman" w:cs="Times New Roman"/>
          <w:bCs/>
          <w:szCs w:val="21"/>
        </w:rPr>
        <w:t xml:space="preserve"> and N</w:t>
      </w:r>
      <w:r>
        <w:rPr>
          <w:rFonts w:ascii="Times New Roman" w:hAnsi="Times New Roman" w:cs="Times New Roman"/>
          <w:bCs/>
          <w:szCs w:val="21"/>
          <w:vertAlign w:val="subscript"/>
        </w:rPr>
        <w:t>2</w:t>
      </w:r>
      <w:r>
        <w:rPr>
          <w:rFonts w:ascii="Times New Roman" w:hAnsi="Times New Roman" w:cs="Times New Roman"/>
          <w:bCs/>
          <w:szCs w:val="21"/>
        </w:rPr>
        <w:t>. CPE</w:t>
      </w:r>
      <w:r>
        <w:rPr>
          <w:rFonts w:ascii="Times New Roman" w:hAnsi="Times New Roman" w:cs="Times New Roman"/>
          <w:bCs/>
          <w:szCs w:val="21"/>
          <w:vertAlign w:val="subscript"/>
        </w:rPr>
        <w:t>1</w:t>
      </w:r>
      <w:r>
        <w:rPr>
          <w:rFonts w:ascii="Times New Roman" w:hAnsi="Times New Roman" w:cs="Times New Roman"/>
          <w:bCs/>
          <w:szCs w:val="21"/>
        </w:rPr>
        <w:t xml:space="preserve"> can be calculated according to the Brug equation</w:t>
      </w:r>
      <w:r>
        <w:rPr>
          <w:rFonts w:ascii="Times New Roman" w:hAnsi="Times New Roman" w:cs="Times New Roman"/>
          <w:bCs/>
          <w:szCs w:val="21"/>
          <w:vertAlign w:val="superscript"/>
        </w:rPr>
        <w:t>16-18</w:t>
      </w:r>
      <w:r>
        <w:rPr>
          <w:rFonts w:ascii="Times New Roman" w:hAnsi="Times New Roman" w:cs="Times New Roman"/>
          <w:bCs/>
          <w:szCs w:val="21"/>
        </w:rPr>
        <w:t xml:space="preserve">: </w:t>
      </w:r>
    </w:p>
    <w:p>
      <w:pPr>
        <w:autoSpaceDE w:val="0"/>
        <w:spacing w:line="360" w:lineRule="auto"/>
        <w:jc w:val="right"/>
        <w:rPr>
          <w:rFonts w:ascii="Times New Roman" w:hAnsi="Times New Roman" w:cs="Times New Roman"/>
          <w:sz w:val="24"/>
          <w:szCs w:val="24"/>
        </w:rPr>
      </w:pPr>
      <m:oMath>
        <m:sSub>
          <m:sSubPr>
            <m:ctrlPr>
              <w:rPr>
                <w:rFonts w:ascii="Cambria Math" w:hAnsi="Cambria Math" w:cs="Times New Roman"/>
                <w:bCs/>
                <w:szCs w:val="21"/>
              </w:rPr>
            </m:ctrlPr>
          </m:sSubPr>
          <m:e>
            <m:r>
              <m:rPr/>
              <w:rPr>
                <w:rFonts w:ascii="Cambria Math" w:hAnsi="Cambria Math" w:cs="Times New Roman"/>
                <w:szCs w:val="21"/>
              </w:rPr>
              <m:t>CPE</m:t>
            </m:r>
            <m:ctrlPr>
              <w:rPr>
                <w:rFonts w:ascii="Cambria Math" w:hAnsi="Cambria Math" w:cs="Times New Roman"/>
                <w:bCs/>
                <w:szCs w:val="21"/>
              </w:rPr>
            </m:ctrlPr>
          </m:e>
          <m:sub>
            <m:r>
              <m:rPr/>
              <w:rPr>
                <w:rFonts w:ascii="Cambria Math" w:hAnsi="Cambria Math" w:cs="Times New Roman"/>
                <w:szCs w:val="21"/>
              </w:rPr>
              <m:t>1</m:t>
            </m:r>
            <m:ctrlPr>
              <w:rPr>
                <w:rFonts w:ascii="Cambria Math" w:hAnsi="Cambria Math" w:cs="Times New Roman"/>
                <w:bCs/>
                <w:szCs w:val="21"/>
              </w:rPr>
            </m:ctrlPr>
          </m:sub>
        </m:sSub>
        <m:r>
          <m:rPr/>
          <w:rPr>
            <w:rFonts w:ascii="Cambria Math" w:hAnsi="Cambria Math" w:cs="Times New Roman"/>
            <w:szCs w:val="21"/>
          </w:rPr>
          <m:t>=(</m:t>
        </m:r>
        <m:sSub>
          <m:sSubPr>
            <m:ctrlPr>
              <w:rPr>
                <w:rFonts w:ascii="Cambria Math" w:hAnsi="Cambria Math" w:cs="Times New Roman"/>
                <w:bCs/>
                <w:szCs w:val="21"/>
              </w:rPr>
            </m:ctrlPr>
          </m:sSubPr>
          <m:e>
            <m:r>
              <m:rPr/>
              <w:rPr>
                <w:rFonts w:ascii="Cambria Math" w:hAnsi="Cambria Math" w:cs="Times New Roman"/>
                <w:szCs w:val="21"/>
              </w:rPr>
              <m:t>Y</m:t>
            </m:r>
            <m:ctrlPr>
              <w:rPr>
                <w:rFonts w:ascii="Cambria Math" w:hAnsi="Cambria Math" w:cs="Times New Roman"/>
                <w:bCs/>
                <w:szCs w:val="21"/>
              </w:rPr>
            </m:ctrlPr>
          </m:e>
          <m:sub>
            <m:r>
              <m:rPr/>
              <w:rPr>
                <w:rFonts w:ascii="Cambria Math" w:hAnsi="Cambria Math" w:cs="Times New Roman"/>
                <w:szCs w:val="21"/>
              </w:rPr>
              <m:t>1</m:t>
            </m:r>
            <m:ctrlPr>
              <w:rPr>
                <w:rFonts w:ascii="Cambria Math" w:hAnsi="Cambria Math" w:cs="Times New Roman"/>
                <w:bCs/>
                <w:szCs w:val="21"/>
              </w:rPr>
            </m:ctrlPr>
          </m:sub>
        </m:sSub>
        <m:r>
          <m:rPr/>
          <w:rPr>
            <w:rFonts w:ascii="Cambria Math" w:hAnsi="Cambria Math" w:cs="Times New Roman"/>
            <w:szCs w:val="21"/>
          </w:rPr>
          <m:t>×(</m:t>
        </m:r>
        <m:f>
          <m:fPr>
            <m:ctrlPr>
              <w:rPr>
                <w:rFonts w:ascii="Cambria Math" w:hAnsi="Cambria Math" w:cs="Times New Roman"/>
                <w:bCs/>
                <w:szCs w:val="21"/>
              </w:rPr>
            </m:ctrlPr>
          </m:fPr>
          <m:num>
            <m:r>
              <m:rPr/>
              <w:rPr>
                <w:rFonts w:ascii="Cambria Math" w:hAnsi="Cambria Math" w:cs="Times New Roman"/>
                <w:szCs w:val="21"/>
              </w:rPr>
              <m:t>1</m:t>
            </m:r>
            <m:ctrlPr>
              <w:rPr>
                <w:rFonts w:ascii="Cambria Math" w:hAnsi="Cambria Math" w:cs="Times New Roman"/>
                <w:bCs/>
                <w:szCs w:val="21"/>
              </w:rPr>
            </m:ctrlPr>
          </m:num>
          <m:den>
            <m:sSub>
              <m:sSubPr>
                <m:ctrlPr>
                  <w:rPr>
                    <w:rFonts w:ascii="Cambria Math" w:hAnsi="Cambria Math" w:cs="Times New Roman"/>
                    <w:bCs/>
                    <w:szCs w:val="21"/>
                  </w:rPr>
                </m:ctrlPr>
              </m:sSubPr>
              <m:e>
                <m:r>
                  <m:rPr/>
                  <w:rPr>
                    <w:rFonts w:ascii="Cambria Math" w:hAnsi="Cambria Math" w:cs="Times New Roman"/>
                    <w:szCs w:val="21"/>
                  </w:rPr>
                  <m:t>R</m:t>
                </m:r>
                <m:ctrlPr>
                  <w:rPr>
                    <w:rFonts w:ascii="Cambria Math" w:hAnsi="Cambria Math" w:cs="Times New Roman"/>
                    <w:bCs/>
                    <w:szCs w:val="21"/>
                  </w:rPr>
                </m:ctrlPr>
              </m:e>
              <m:sub>
                <m:r>
                  <m:rPr/>
                  <w:rPr>
                    <w:rFonts w:ascii="Cambria Math" w:hAnsi="Cambria Math" w:cs="Times New Roman"/>
                    <w:szCs w:val="21"/>
                  </w:rPr>
                  <m:t>s</m:t>
                </m:r>
                <m:ctrlPr>
                  <w:rPr>
                    <w:rFonts w:ascii="Cambria Math" w:hAnsi="Cambria Math" w:cs="Times New Roman"/>
                    <w:bCs/>
                    <w:szCs w:val="21"/>
                  </w:rPr>
                </m:ctrlPr>
              </m:sub>
            </m:sSub>
            <m:ctrlPr>
              <w:rPr>
                <w:rFonts w:ascii="Cambria Math" w:hAnsi="Cambria Math" w:cs="Times New Roman"/>
                <w:bCs/>
                <w:szCs w:val="21"/>
              </w:rPr>
            </m:ctrlPr>
          </m:den>
        </m:f>
        <m:r>
          <m:rPr/>
          <w:rPr>
            <w:rFonts w:ascii="Cambria Math" w:hAnsi="Cambria Math" w:cs="Times New Roman"/>
            <w:szCs w:val="21"/>
          </w:rPr>
          <m:t>+</m:t>
        </m:r>
        <m:f>
          <m:fPr>
            <m:ctrlPr>
              <w:rPr>
                <w:rFonts w:ascii="Cambria Math" w:hAnsi="Cambria Math" w:cs="Times New Roman"/>
                <w:bCs/>
                <w:szCs w:val="21"/>
              </w:rPr>
            </m:ctrlPr>
          </m:fPr>
          <m:num>
            <m:r>
              <m:rPr/>
              <w:rPr>
                <w:rFonts w:ascii="Cambria Math" w:hAnsi="Cambria Math" w:cs="Times New Roman"/>
                <w:szCs w:val="21"/>
              </w:rPr>
              <m:t>1</m:t>
            </m:r>
            <m:ctrlPr>
              <w:rPr>
                <w:rFonts w:ascii="Cambria Math" w:hAnsi="Cambria Math" w:cs="Times New Roman"/>
                <w:bCs/>
                <w:szCs w:val="21"/>
              </w:rPr>
            </m:ctrlPr>
          </m:num>
          <m:den>
            <m:sSub>
              <m:sSubPr>
                <m:ctrlPr>
                  <w:rPr>
                    <w:rFonts w:ascii="Cambria Math" w:hAnsi="Cambria Math" w:cs="Times New Roman"/>
                    <w:bCs/>
                    <w:szCs w:val="21"/>
                  </w:rPr>
                </m:ctrlPr>
              </m:sSubPr>
              <m:e>
                <m:r>
                  <m:rPr/>
                  <w:rPr>
                    <w:rFonts w:ascii="Cambria Math" w:hAnsi="Cambria Math" w:cs="Times New Roman"/>
                    <w:szCs w:val="21"/>
                  </w:rPr>
                  <m:t>R</m:t>
                </m:r>
                <m:ctrlPr>
                  <w:rPr>
                    <w:rFonts w:ascii="Cambria Math" w:hAnsi="Cambria Math" w:cs="Times New Roman"/>
                    <w:bCs/>
                    <w:szCs w:val="21"/>
                  </w:rPr>
                </m:ctrlPr>
              </m:e>
              <m:sub>
                <m:r>
                  <m:rPr/>
                  <w:rPr>
                    <w:rFonts w:ascii="Cambria Math" w:hAnsi="Cambria Math" w:cs="Times New Roman"/>
                    <w:szCs w:val="21"/>
                  </w:rPr>
                  <m:t>1</m:t>
                </m:r>
                <m:ctrlPr>
                  <w:rPr>
                    <w:rFonts w:ascii="Cambria Math" w:hAnsi="Cambria Math" w:cs="Times New Roman"/>
                    <w:bCs/>
                    <w:szCs w:val="21"/>
                  </w:rPr>
                </m:ctrlPr>
              </m:sub>
            </m:sSub>
            <m:ctrlPr>
              <w:rPr>
                <w:rFonts w:ascii="Cambria Math" w:hAnsi="Cambria Math" w:cs="Times New Roman"/>
                <w:bCs/>
                <w:szCs w:val="21"/>
              </w:rPr>
            </m:ctrlPr>
          </m:den>
        </m:f>
        <m:sSup>
          <m:sSupPr>
            <m:ctrlPr>
              <w:rPr>
                <w:rFonts w:ascii="Cambria Math" w:hAnsi="Cambria Math" w:cs="Times New Roman"/>
                <w:bCs/>
                <w:szCs w:val="21"/>
              </w:rPr>
            </m:ctrlPr>
          </m:sSupPr>
          <m:e>
            <m:r>
              <m:rPr/>
              <w:rPr>
                <w:rFonts w:ascii="Cambria Math" w:hAnsi="Cambria Math" w:cs="Times New Roman"/>
                <w:szCs w:val="21"/>
              </w:rPr>
              <m:t>)</m:t>
            </m:r>
            <m:ctrlPr>
              <w:rPr>
                <w:rFonts w:ascii="Cambria Math" w:hAnsi="Cambria Math" w:cs="Times New Roman"/>
                <w:bCs/>
                <w:szCs w:val="21"/>
              </w:rPr>
            </m:ctrlPr>
          </m:e>
          <m:sup>
            <m:sSub>
              <m:sSubPr>
                <m:ctrlPr>
                  <w:rPr>
                    <w:rFonts w:ascii="Cambria Math" w:hAnsi="Cambria Math" w:cs="Times New Roman"/>
                    <w:bCs/>
                    <w:szCs w:val="21"/>
                  </w:rPr>
                </m:ctrlPr>
              </m:sSubPr>
              <m:e>
                <m:r>
                  <m:rPr/>
                  <w:rPr>
                    <w:rFonts w:ascii="Cambria Math" w:hAnsi="Cambria Math" w:cs="Times New Roman"/>
                    <w:szCs w:val="21"/>
                  </w:rPr>
                  <m:t>N</m:t>
                </m:r>
                <m:ctrlPr>
                  <w:rPr>
                    <w:rFonts w:ascii="Cambria Math" w:hAnsi="Cambria Math" w:cs="Times New Roman"/>
                    <w:bCs/>
                    <w:szCs w:val="21"/>
                  </w:rPr>
                </m:ctrlPr>
              </m:e>
              <m:sub>
                <m:r>
                  <m:rPr/>
                  <w:rPr>
                    <w:rFonts w:ascii="Cambria Math" w:hAnsi="Cambria Math" w:cs="Times New Roman"/>
                    <w:szCs w:val="21"/>
                  </w:rPr>
                  <m:t>1</m:t>
                </m:r>
                <m:ctrlPr>
                  <w:rPr>
                    <w:rFonts w:ascii="Cambria Math" w:hAnsi="Cambria Math" w:cs="Times New Roman"/>
                    <w:bCs/>
                    <w:szCs w:val="21"/>
                  </w:rPr>
                </m:ctrlPr>
              </m:sub>
            </m:sSub>
            <m:r>
              <m:rPr/>
              <w:rPr>
                <w:rFonts w:ascii="Cambria Math" w:hAnsi="Cambria Math" w:cs="Times New Roman"/>
                <w:szCs w:val="21"/>
              </w:rPr>
              <m:t>−1</m:t>
            </m:r>
            <m:ctrlPr>
              <w:rPr>
                <w:rFonts w:ascii="Cambria Math" w:hAnsi="Cambria Math" w:cs="Times New Roman"/>
                <w:bCs/>
                <w:szCs w:val="21"/>
              </w:rPr>
            </m:ctrlPr>
          </m:sup>
        </m:sSup>
        <m:sSup>
          <m:sSupPr>
            <m:ctrlPr>
              <w:rPr>
                <w:rFonts w:ascii="Cambria Math" w:hAnsi="Cambria Math" w:cs="Times New Roman"/>
                <w:bCs/>
                <w:szCs w:val="21"/>
              </w:rPr>
            </m:ctrlPr>
          </m:sSupPr>
          <m:e>
            <m:r>
              <m:rPr/>
              <w:rPr>
                <w:rFonts w:ascii="Cambria Math" w:hAnsi="Cambria Math" w:cs="Times New Roman"/>
                <w:szCs w:val="21"/>
              </w:rPr>
              <m:t>)</m:t>
            </m:r>
            <m:ctrlPr>
              <w:rPr>
                <w:rFonts w:ascii="Cambria Math" w:hAnsi="Cambria Math" w:cs="Times New Roman"/>
                <w:bCs/>
                <w:szCs w:val="21"/>
              </w:rPr>
            </m:ctrlPr>
          </m:e>
          <m:sup>
            <m:f>
              <m:fPr>
                <m:ctrlPr>
                  <w:rPr>
                    <w:rFonts w:ascii="Cambria Math" w:hAnsi="Cambria Math" w:cs="Times New Roman"/>
                    <w:bCs/>
                    <w:szCs w:val="21"/>
                  </w:rPr>
                </m:ctrlPr>
              </m:fPr>
              <m:num>
                <m:r>
                  <m:rPr/>
                  <w:rPr>
                    <w:rFonts w:ascii="Cambria Math" w:hAnsi="Cambria Math" w:cs="Times New Roman"/>
                    <w:szCs w:val="21"/>
                  </w:rPr>
                  <m:t>1</m:t>
                </m:r>
                <m:ctrlPr>
                  <w:rPr>
                    <w:rFonts w:ascii="Cambria Math" w:hAnsi="Cambria Math" w:cs="Times New Roman"/>
                    <w:bCs/>
                    <w:szCs w:val="21"/>
                  </w:rPr>
                </m:ctrlPr>
              </m:num>
              <m:den>
                <m:sSub>
                  <m:sSubPr>
                    <m:ctrlPr>
                      <w:rPr>
                        <w:rFonts w:ascii="Cambria Math" w:hAnsi="Cambria Math" w:cs="Times New Roman"/>
                        <w:bCs/>
                        <w:szCs w:val="21"/>
                      </w:rPr>
                    </m:ctrlPr>
                  </m:sSubPr>
                  <m:e>
                    <m:r>
                      <m:rPr/>
                      <w:rPr>
                        <w:rFonts w:ascii="Cambria Math" w:hAnsi="Cambria Math" w:cs="Times New Roman"/>
                        <w:szCs w:val="21"/>
                      </w:rPr>
                      <m:t>N</m:t>
                    </m:r>
                    <m:ctrlPr>
                      <w:rPr>
                        <w:rFonts w:ascii="Cambria Math" w:hAnsi="Cambria Math" w:cs="Times New Roman"/>
                        <w:bCs/>
                        <w:szCs w:val="21"/>
                      </w:rPr>
                    </m:ctrlPr>
                  </m:e>
                  <m:sub>
                    <m:r>
                      <m:rPr/>
                      <w:rPr>
                        <w:rFonts w:ascii="Cambria Math" w:hAnsi="Cambria Math" w:cs="Times New Roman"/>
                        <w:szCs w:val="21"/>
                      </w:rPr>
                      <m:t>1</m:t>
                    </m:r>
                    <m:ctrlPr>
                      <w:rPr>
                        <w:rFonts w:ascii="Cambria Math" w:hAnsi="Cambria Math" w:cs="Times New Roman"/>
                        <w:bCs/>
                        <w:szCs w:val="21"/>
                      </w:rPr>
                    </m:ctrlPr>
                  </m:sub>
                </m:sSub>
                <m:ctrlPr>
                  <w:rPr>
                    <w:rFonts w:ascii="Cambria Math" w:hAnsi="Cambria Math" w:cs="Times New Roman"/>
                    <w:bCs/>
                    <w:szCs w:val="21"/>
                  </w:rPr>
                </m:ctrlPr>
              </m:den>
            </m:f>
            <m:ctrlPr>
              <w:rPr>
                <w:rFonts w:ascii="Cambria Math" w:hAnsi="Cambria Math" w:cs="Times New Roman"/>
                <w:bCs/>
                <w:szCs w:val="21"/>
              </w:rPr>
            </m:ctrlPr>
          </m:sup>
        </m:sSup>
      </m:oMath>
      <w:r>
        <w:rPr>
          <w:rFonts w:ascii="Times New Roman" w:hAnsi="Times New Roman" w:cs="Times New Roman"/>
          <w:bCs/>
          <w:szCs w:val="21"/>
        </w:rPr>
        <w:t xml:space="preserve">                    </w:t>
      </w:r>
      <w:r>
        <w:rPr>
          <w:rFonts w:ascii="Times New Roman" w:hAnsi="Times New Roman" w:cs="Times New Roman"/>
          <w:szCs w:val="21"/>
        </w:rPr>
        <w:t>Eq. (3)</w:t>
      </w:r>
    </w:p>
    <w:p>
      <w:pPr>
        <w:spacing w:line="360" w:lineRule="auto"/>
        <w:rPr>
          <w:rFonts w:ascii="Times New Roman" w:hAnsi="Times New Roman" w:cs="Times New Roman"/>
          <w:szCs w:val="21"/>
        </w:rPr>
      </w:pPr>
      <w:r>
        <w:rPr>
          <w:rFonts w:ascii="Times New Roman" w:hAnsi="Times New Roman" w:cs="Times New Roman"/>
          <w:bCs/>
          <w:szCs w:val="21"/>
        </w:rPr>
        <w:t>The CPE</w:t>
      </w:r>
      <w:r>
        <w:rPr>
          <w:rFonts w:ascii="Times New Roman" w:hAnsi="Times New Roman" w:cs="Times New Roman"/>
          <w:bCs/>
          <w:szCs w:val="21"/>
          <w:vertAlign w:val="subscript"/>
        </w:rPr>
        <w:t xml:space="preserve">eff </w:t>
      </w:r>
      <w:r>
        <w:rPr>
          <w:rFonts w:ascii="Times New Roman" w:hAnsi="Times New Roman" w:cs="Times New Roman"/>
          <w:bCs/>
          <w:szCs w:val="21"/>
        </w:rPr>
        <w:t>can be calculated by the modified Brug equation</w:t>
      </w:r>
      <w:r>
        <w:rPr>
          <w:rFonts w:ascii="Times New Roman" w:hAnsi="Times New Roman" w:cs="Times New Roman"/>
          <w:bCs/>
          <w:szCs w:val="21"/>
          <w:vertAlign w:val="superscript"/>
        </w:rPr>
        <w:t>19</w:t>
      </w:r>
      <w:r>
        <w:rPr>
          <w:rFonts w:ascii="Times New Roman" w:hAnsi="Times New Roman" w:cs="Times New Roman"/>
          <w:bCs/>
          <w:szCs w:val="21"/>
        </w:rPr>
        <w:t xml:space="preserve">: </w:t>
      </w:r>
    </w:p>
    <w:p>
      <w:pPr>
        <w:autoSpaceDE w:val="0"/>
        <w:spacing w:line="360" w:lineRule="auto"/>
        <w:jc w:val="right"/>
        <w:rPr>
          <w:rFonts w:ascii="Times New Roman" w:hAnsi="Times New Roman" w:cs="Times New Roman"/>
          <w:szCs w:val="21"/>
        </w:rPr>
      </w:pPr>
      <m:oMath>
        <m:sSub>
          <m:sSubPr>
            <m:ctrlPr>
              <w:rPr>
                <w:rFonts w:ascii="Cambria Math" w:hAnsi="Cambria Math" w:cs="Times New Roman"/>
                <w:bCs/>
                <w:szCs w:val="21"/>
              </w:rPr>
            </m:ctrlPr>
          </m:sSubPr>
          <m:e>
            <m:r>
              <m:rPr/>
              <w:rPr>
                <w:rFonts w:ascii="Cambria Math" w:hAnsi="Cambria Math" w:cs="Times New Roman"/>
                <w:szCs w:val="21"/>
              </w:rPr>
              <m:t>CPE</m:t>
            </m:r>
            <m:ctrlPr>
              <w:rPr>
                <w:rFonts w:ascii="Cambria Math" w:hAnsi="Cambria Math" w:cs="Times New Roman"/>
                <w:bCs/>
                <w:szCs w:val="21"/>
              </w:rPr>
            </m:ctrlPr>
          </m:e>
          <m:sub>
            <m:r>
              <m:rPr/>
              <w:rPr>
                <w:rFonts w:ascii="Cambria Math" w:hAnsi="Cambria Math" w:cs="Times New Roman"/>
                <w:szCs w:val="21"/>
              </w:rPr>
              <m:t>eff</m:t>
            </m:r>
            <m:ctrlPr>
              <w:rPr>
                <w:rFonts w:ascii="Cambria Math" w:hAnsi="Cambria Math" w:cs="Times New Roman"/>
                <w:bCs/>
                <w:szCs w:val="21"/>
              </w:rPr>
            </m:ctrlPr>
          </m:sub>
        </m:sSub>
        <m:r>
          <m:rPr/>
          <w:rPr>
            <w:rFonts w:ascii="Cambria Math" w:hAnsi="Cambria Math" w:cs="Times New Roman"/>
            <w:szCs w:val="21"/>
          </w:rPr>
          <m:t>=(</m:t>
        </m:r>
        <m:sSub>
          <m:sSubPr>
            <m:ctrlPr>
              <w:rPr>
                <w:rFonts w:ascii="Cambria Math" w:hAnsi="Cambria Math" w:cs="Times New Roman"/>
                <w:bCs/>
                <w:szCs w:val="21"/>
              </w:rPr>
            </m:ctrlPr>
          </m:sSubPr>
          <m:e>
            <m:r>
              <m:rPr/>
              <w:rPr>
                <w:rFonts w:ascii="Cambria Math" w:hAnsi="Cambria Math" w:cs="Times New Roman"/>
                <w:szCs w:val="21"/>
              </w:rPr>
              <m:t>Y</m:t>
            </m:r>
            <m:ctrlPr>
              <w:rPr>
                <w:rFonts w:ascii="Cambria Math" w:hAnsi="Cambria Math" w:cs="Times New Roman"/>
                <w:bCs/>
                <w:szCs w:val="21"/>
              </w:rPr>
            </m:ctrlPr>
          </m:e>
          <m:sub>
            <m:r>
              <m:rPr/>
              <w:rPr>
                <w:rFonts w:ascii="Cambria Math" w:hAnsi="Cambria Math" w:cs="Times New Roman"/>
                <w:szCs w:val="21"/>
              </w:rPr>
              <m:t>eff</m:t>
            </m:r>
            <m:ctrlPr>
              <w:rPr>
                <w:rFonts w:ascii="Cambria Math" w:hAnsi="Cambria Math" w:cs="Times New Roman"/>
                <w:bCs/>
                <w:szCs w:val="21"/>
              </w:rPr>
            </m:ctrlPr>
          </m:sub>
        </m:sSub>
        <m:r>
          <m:rPr/>
          <w:rPr>
            <w:rFonts w:ascii="Cambria Math" w:hAnsi="Cambria Math" w:cs="Times New Roman"/>
            <w:szCs w:val="21"/>
          </w:rPr>
          <m:t>×(</m:t>
        </m:r>
        <m:f>
          <m:fPr>
            <m:ctrlPr>
              <w:rPr>
                <w:rFonts w:ascii="Cambria Math" w:hAnsi="Cambria Math" w:cs="Times New Roman"/>
                <w:bCs/>
                <w:szCs w:val="21"/>
              </w:rPr>
            </m:ctrlPr>
          </m:fPr>
          <m:num>
            <m:r>
              <m:rPr/>
              <w:rPr>
                <w:rFonts w:ascii="Cambria Math" w:hAnsi="Cambria Math" w:cs="Times New Roman"/>
                <w:szCs w:val="21"/>
              </w:rPr>
              <m:t>1</m:t>
            </m:r>
            <m:ctrlPr>
              <w:rPr>
                <w:rFonts w:ascii="Cambria Math" w:hAnsi="Cambria Math" w:cs="Times New Roman"/>
                <w:bCs/>
                <w:szCs w:val="21"/>
              </w:rPr>
            </m:ctrlPr>
          </m:num>
          <m:den>
            <m:sSub>
              <m:sSubPr>
                <m:ctrlPr>
                  <w:rPr>
                    <w:rFonts w:ascii="Cambria Math" w:hAnsi="Cambria Math" w:cs="Times New Roman"/>
                    <w:bCs/>
                    <w:szCs w:val="21"/>
                  </w:rPr>
                </m:ctrlPr>
              </m:sSubPr>
              <m:e>
                <m:sSub>
                  <m:sSubPr>
                    <m:ctrlPr>
                      <w:rPr>
                        <w:rFonts w:ascii="Cambria Math" w:hAnsi="Cambria Math" w:cs="Times New Roman"/>
                        <w:bCs/>
                        <w:szCs w:val="21"/>
                      </w:rPr>
                    </m:ctrlPr>
                  </m:sSubPr>
                  <m:e>
                    <m:r>
                      <m:rPr/>
                      <w:rPr>
                        <w:rFonts w:ascii="Cambria Math" w:hAnsi="Cambria Math" w:cs="Times New Roman"/>
                        <w:szCs w:val="21"/>
                      </w:rPr>
                      <m:t>R</m:t>
                    </m:r>
                    <m:ctrlPr>
                      <w:rPr>
                        <w:rFonts w:ascii="Cambria Math" w:hAnsi="Cambria Math" w:cs="Times New Roman"/>
                        <w:bCs/>
                        <w:szCs w:val="21"/>
                      </w:rPr>
                    </m:ctrlPr>
                  </m:e>
                  <m:sub>
                    <m:r>
                      <m:rPr/>
                      <w:rPr>
                        <w:rFonts w:ascii="Cambria Math" w:hAnsi="Cambria Math" w:cs="Times New Roman"/>
                        <w:szCs w:val="21"/>
                      </w:rPr>
                      <m:t>s</m:t>
                    </m:r>
                    <m:ctrlPr>
                      <w:rPr>
                        <w:rFonts w:ascii="Cambria Math" w:hAnsi="Cambria Math" w:cs="Times New Roman"/>
                        <w:bCs/>
                        <w:szCs w:val="21"/>
                      </w:rPr>
                    </m:ctrlPr>
                  </m:sub>
                </m:sSub>
                <m:r>
                  <m:rPr/>
                  <w:rPr>
                    <w:rFonts w:ascii="Cambria Math" w:hAnsi="Cambria Math" w:cs="Times New Roman"/>
                    <w:szCs w:val="21"/>
                  </w:rPr>
                  <m:t>+R</m:t>
                </m:r>
                <m:ctrlPr>
                  <w:rPr>
                    <w:rFonts w:ascii="Cambria Math" w:hAnsi="Cambria Math" w:cs="Times New Roman"/>
                    <w:bCs/>
                    <w:szCs w:val="21"/>
                  </w:rPr>
                </m:ctrlPr>
              </m:e>
              <m:sub>
                <m:r>
                  <m:rPr/>
                  <w:rPr>
                    <w:rFonts w:ascii="Cambria Math" w:hAnsi="Cambria Math" w:cs="Times New Roman"/>
                    <w:szCs w:val="21"/>
                  </w:rPr>
                  <m:t>1</m:t>
                </m:r>
                <m:ctrlPr>
                  <w:rPr>
                    <w:rFonts w:ascii="Cambria Math" w:hAnsi="Cambria Math" w:cs="Times New Roman"/>
                    <w:bCs/>
                    <w:szCs w:val="21"/>
                  </w:rPr>
                </m:ctrlPr>
              </m:sub>
            </m:sSub>
            <m:ctrlPr>
              <w:rPr>
                <w:rFonts w:ascii="Cambria Math" w:hAnsi="Cambria Math" w:cs="Times New Roman"/>
                <w:bCs/>
                <w:szCs w:val="21"/>
              </w:rPr>
            </m:ctrlPr>
          </m:den>
        </m:f>
        <m:r>
          <m:rPr/>
          <w:rPr>
            <w:rFonts w:ascii="Cambria Math" w:hAnsi="Cambria Math" w:cs="Times New Roman"/>
            <w:szCs w:val="21"/>
          </w:rPr>
          <m:t>+</m:t>
        </m:r>
        <m:f>
          <m:fPr>
            <m:ctrlPr>
              <w:rPr>
                <w:rFonts w:ascii="Cambria Math" w:hAnsi="Cambria Math" w:cs="Times New Roman"/>
                <w:bCs/>
                <w:szCs w:val="21"/>
              </w:rPr>
            </m:ctrlPr>
          </m:fPr>
          <m:num>
            <m:r>
              <m:rPr/>
              <w:rPr>
                <w:rFonts w:ascii="Cambria Math" w:hAnsi="Cambria Math" w:cs="Times New Roman"/>
                <w:szCs w:val="21"/>
              </w:rPr>
              <m:t>1</m:t>
            </m:r>
            <m:ctrlPr>
              <w:rPr>
                <w:rFonts w:ascii="Cambria Math" w:hAnsi="Cambria Math" w:cs="Times New Roman"/>
                <w:bCs/>
                <w:szCs w:val="21"/>
              </w:rPr>
            </m:ctrlPr>
          </m:num>
          <m:den>
            <m:sSub>
              <m:sSubPr>
                <m:ctrlPr>
                  <w:rPr>
                    <w:rFonts w:ascii="Cambria Math" w:hAnsi="Cambria Math" w:cs="Times New Roman"/>
                    <w:bCs/>
                    <w:szCs w:val="21"/>
                  </w:rPr>
                </m:ctrlPr>
              </m:sSubPr>
              <m:e>
                <m:r>
                  <m:rPr/>
                  <w:rPr>
                    <w:rFonts w:ascii="Cambria Math" w:hAnsi="Cambria Math" w:cs="Times New Roman"/>
                    <w:szCs w:val="21"/>
                  </w:rPr>
                  <m:t>R</m:t>
                </m:r>
                <m:ctrlPr>
                  <w:rPr>
                    <w:rFonts w:ascii="Cambria Math" w:hAnsi="Cambria Math" w:cs="Times New Roman"/>
                    <w:bCs/>
                    <w:szCs w:val="21"/>
                  </w:rPr>
                </m:ctrlPr>
              </m:e>
              <m:sub>
                <m:r>
                  <m:rPr/>
                  <w:rPr>
                    <w:rFonts w:ascii="Cambria Math" w:hAnsi="Cambria Math" w:cs="Times New Roman"/>
                    <w:szCs w:val="21"/>
                  </w:rPr>
                  <m:t>ct</m:t>
                </m:r>
                <m:ctrlPr>
                  <w:rPr>
                    <w:rFonts w:ascii="Cambria Math" w:hAnsi="Cambria Math" w:cs="Times New Roman"/>
                    <w:bCs/>
                    <w:szCs w:val="21"/>
                  </w:rPr>
                </m:ctrlPr>
              </m:sub>
            </m:sSub>
            <m:ctrlPr>
              <w:rPr>
                <w:rFonts w:ascii="Cambria Math" w:hAnsi="Cambria Math" w:cs="Times New Roman"/>
                <w:bCs/>
                <w:szCs w:val="21"/>
              </w:rPr>
            </m:ctrlPr>
          </m:den>
        </m:f>
        <m:sSup>
          <m:sSupPr>
            <m:ctrlPr>
              <w:rPr>
                <w:rFonts w:ascii="Cambria Math" w:hAnsi="Cambria Math" w:cs="Times New Roman"/>
                <w:bCs/>
                <w:szCs w:val="21"/>
              </w:rPr>
            </m:ctrlPr>
          </m:sSupPr>
          <m:e>
            <m:r>
              <m:rPr/>
              <w:rPr>
                <w:rFonts w:ascii="Cambria Math" w:hAnsi="Cambria Math" w:cs="Times New Roman"/>
                <w:szCs w:val="21"/>
              </w:rPr>
              <m:t>)</m:t>
            </m:r>
            <m:ctrlPr>
              <w:rPr>
                <w:rFonts w:ascii="Cambria Math" w:hAnsi="Cambria Math" w:cs="Times New Roman"/>
                <w:bCs/>
                <w:szCs w:val="21"/>
              </w:rPr>
            </m:ctrlPr>
          </m:e>
          <m:sup>
            <m:sSub>
              <m:sSubPr>
                <m:ctrlPr>
                  <w:rPr>
                    <w:rFonts w:ascii="Cambria Math" w:hAnsi="Cambria Math" w:cs="Times New Roman"/>
                    <w:bCs/>
                    <w:szCs w:val="21"/>
                  </w:rPr>
                </m:ctrlPr>
              </m:sSubPr>
              <m:e>
                <m:r>
                  <m:rPr/>
                  <w:rPr>
                    <w:rFonts w:ascii="Cambria Math" w:hAnsi="Cambria Math" w:cs="Times New Roman"/>
                    <w:szCs w:val="21"/>
                  </w:rPr>
                  <m:t>N</m:t>
                </m:r>
                <m:ctrlPr>
                  <w:rPr>
                    <w:rFonts w:ascii="Cambria Math" w:hAnsi="Cambria Math" w:cs="Times New Roman"/>
                    <w:bCs/>
                    <w:szCs w:val="21"/>
                  </w:rPr>
                </m:ctrlPr>
              </m:e>
              <m:sub>
                <m:r>
                  <m:rPr/>
                  <w:rPr>
                    <w:rFonts w:ascii="Cambria Math" w:hAnsi="Cambria Math" w:cs="Times New Roman"/>
                    <w:szCs w:val="21"/>
                  </w:rPr>
                  <m:t>2</m:t>
                </m:r>
                <m:ctrlPr>
                  <w:rPr>
                    <w:rFonts w:ascii="Cambria Math" w:hAnsi="Cambria Math" w:cs="Times New Roman"/>
                    <w:bCs/>
                    <w:szCs w:val="21"/>
                  </w:rPr>
                </m:ctrlPr>
              </m:sub>
            </m:sSub>
            <m:r>
              <m:rPr/>
              <w:rPr>
                <w:rFonts w:ascii="Cambria Math" w:hAnsi="Cambria Math" w:cs="Times New Roman"/>
                <w:szCs w:val="21"/>
              </w:rPr>
              <m:t>−1</m:t>
            </m:r>
            <m:ctrlPr>
              <w:rPr>
                <w:rFonts w:ascii="Cambria Math" w:hAnsi="Cambria Math" w:cs="Times New Roman"/>
                <w:bCs/>
                <w:szCs w:val="21"/>
              </w:rPr>
            </m:ctrlPr>
          </m:sup>
        </m:sSup>
        <m:sSup>
          <m:sSupPr>
            <m:ctrlPr>
              <w:rPr>
                <w:rFonts w:ascii="Cambria Math" w:hAnsi="Cambria Math" w:cs="Times New Roman"/>
                <w:bCs/>
                <w:szCs w:val="21"/>
              </w:rPr>
            </m:ctrlPr>
          </m:sSupPr>
          <m:e>
            <m:r>
              <m:rPr/>
              <w:rPr>
                <w:rFonts w:ascii="Cambria Math" w:hAnsi="Cambria Math" w:cs="Times New Roman"/>
                <w:szCs w:val="21"/>
              </w:rPr>
              <m:t>)</m:t>
            </m:r>
            <m:ctrlPr>
              <w:rPr>
                <w:rFonts w:ascii="Cambria Math" w:hAnsi="Cambria Math" w:cs="Times New Roman"/>
                <w:bCs/>
                <w:szCs w:val="21"/>
              </w:rPr>
            </m:ctrlPr>
          </m:e>
          <m:sup>
            <m:f>
              <m:fPr>
                <m:ctrlPr>
                  <w:rPr>
                    <w:rFonts w:ascii="Cambria Math" w:hAnsi="Cambria Math" w:cs="Times New Roman"/>
                    <w:bCs/>
                    <w:szCs w:val="21"/>
                  </w:rPr>
                </m:ctrlPr>
              </m:fPr>
              <m:num>
                <m:r>
                  <m:rPr/>
                  <w:rPr>
                    <w:rFonts w:ascii="Cambria Math" w:hAnsi="Cambria Math" w:cs="Times New Roman"/>
                    <w:szCs w:val="21"/>
                  </w:rPr>
                  <m:t>1</m:t>
                </m:r>
                <m:ctrlPr>
                  <w:rPr>
                    <w:rFonts w:ascii="Cambria Math" w:hAnsi="Cambria Math" w:cs="Times New Roman"/>
                    <w:bCs/>
                    <w:szCs w:val="21"/>
                  </w:rPr>
                </m:ctrlPr>
              </m:num>
              <m:den>
                <m:sSub>
                  <m:sSubPr>
                    <m:ctrlPr>
                      <w:rPr>
                        <w:rFonts w:ascii="Cambria Math" w:hAnsi="Cambria Math" w:cs="Times New Roman"/>
                        <w:bCs/>
                        <w:szCs w:val="21"/>
                      </w:rPr>
                    </m:ctrlPr>
                  </m:sSubPr>
                  <m:e>
                    <m:r>
                      <m:rPr/>
                      <w:rPr>
                        <w:rFonts w:ascii="Cambria Math" w:hAnsi="Cambria Math" w:cs="Times New Roman"/>
                        <w:szCs w:val="21"/>
                      </w:rPr>
                      <m:t>N</m:t>
                    </m:r>
                    <m:ctrlPr>
                      <w:rPr>
                        <w:rFonts w:ascii="Cambria Math" w:hAnsi="Cambria Math" w:cs="Times New Roman"/>
                        <w:bCs/>
                        <w:szCs w:val="21"/>
                      </w:rPr>
                    </m:ctrlPr>
                  </m:e>
                  <m:sub>
                    <m:r>
                      <m:rPr/>
                      <w:rPr>
                        <w:rFonts w:ascii="Cambria Math" w:hAnsi="Cambria Math" w:cs="Times New Roman"/>
                        <w:szCs w:val="21"/>
                      </w:rPr>
                      <m:t>2</m:t>
                    </m:r>
                    <m:ctrlPr>
                      <w:rPr>
                        <w:rFonts w:ascii="Cambria Math" w:hAnsi="Cambria Math" w:cs="Times New Roman"/>
                        <w:bCs/>
                        <w:szCs w:val="21"/>
                      </w:rPr>
                    </m:ctrlPr>
                  </m:sub>
                </m:sSub>
                <m:ctrlPr>
                  <w:rPr>
                    <w:rFonts w:ascii="Cambria Math" w:hAnsi="Cambria Math" w:cs="Times New Roman"/>
                    <w:bCs/>
                    <w:szCs w:val="21"/>
                  </w:rPr>
                </m:ctrlPr>
              </m:den>
            </m:f>
            <m:ctrlPr>
              <w:rPr>
                <w:rFonts w:ascii="Cambria Math" w:hAnsi="Cambria Math" w:cs="Times New Roman"/>
                <w:bCs/>
                <w:szCs w:val="21"/>
              </w:rPr>
            </m:ctrlPr>
          </m:sup>
        </m:sSup>
      </m:oMath>
      <w:r>
        <w:rPr>
          <w:rFonts w:ascii="Times New Roman" w:hAnsi="Times New Roman" w:cs="Times New Roman"/>
          <w:sz w:val="24"/>
          <w:szCs w:val="24"/>
        </w:rPr>
        <w:t xml:space="preserve">              </w:t>
      </w:r>
      <w:r>
        <w:rPr>
          <w:rFonts w:ascii="Times New Roman" w:hAnsi="Times New Roman" w:cs="Times New Roman"/>
          <w:szCs w:val="21"/>
        </w:rPr>
        <w:t>Eq. (4)</w:t>
      </w:r>
    </w:p>
    <w:p>
      <w:pPr>
        <w:spacing w:line="360" w:lineRule="auto"/>
        <w:rPr>
          <w:rFonts w:ascii="Times New Roman" w:hAnsi="Times New Roman" w:cs="Times New Roman"/>
          <w:bCs/>
          <w:szCs w:val="21"/>
        </w:rPr>
      </w:pPr>
      <w:r>
        <w:rPr>
          <w:rFonts w:ascii="Times New Roman" w:hAnsi="Times New Roman" w:cs="Times New Roman"/>
          <w:bCs/>
          <w:szCs w:val="21"/>
        </w:rPr>
        <w:t>All the fitting results are listed above, where R</w:t>
      </w:r>
      <w:r>
        <w:rPr>
          <w:rFonts w:ascii="Times New Roman" w:hAnsi="Times New Roman" w:cs="Times New Roman"/>
          <w:bCs/>
          <w:szCs w:val="21"/>
          <w:vertAlign w:val="subscript"/>
        </w:rPr>
        <w:t>ct</w:t>
      </w:r>
      <w:r>
        <w:rPr>
          <w:rFonts w:ascii="Times New Roman" w:hAnsi="Times New Roman" w:cs="Times New Roman"/>
          <w:bCs/>
          <w:szCs w:val="21"/>
        </w:rPr>
        <w:t xml:space="preserve"> is corresponding to the charge transfer resistance and CPE</w:t>
      </w:r>
      <w:r>
        <w:rPr>
          <w:rFonts w:ascii="Times New Roman" w:hAnsi="Times New Roman" w:cs="Times New Roman"/>
          <w:bCs/>
          <w:szCs w:val="21"/>
          <w:vertAlign w:val="subscript"/>
        </w:rPr>
        <w:t>eff</w:t>
      </w:r>
      <w:r>
        <w:rPr>
          <w:rFonts w:ascii="Times New Roman" w:hAnsi="Times New Roman" w:cs="Times New Roman"/>
          <w:bCs/>
          <w:szCs w:val="21"/>
        </w:rPr>
        <w:t xml:space="preserve"> is a constant phase element related to the active surface area</w:t>
      </w:r>
      <w:r>
        <w:rPr>
          <w:rFonts w:ascii="Times New Roman" w:hAnsi="Times New Roman" w:cs="Times New Roman"/>
          <w:bCs/>
          <w:szCs w:val="21"/>
          <w:vertAlign w:val="superscript"/>
        </w:rPr>
        <w:t>20</w:t>
      </w:r>
      <w:r>
        <w:rPr>
          <w:rFonts w:ascii="Times New Roman" w:hAnsi="Times New Roman" w:cs="Times New Roman"/>
          <w:bCs/>
          <w:szCs w:val="21"/>
        </w:rPr>
        <w:t>.</w:t>
      </w:r>
    </w:p>
    <w:p>
      <w:pPr>
        <w:spacing w:line="360" w:lineRule="auto"/>
        <w:rPr>
          <w:rFonts w:ascii="Times New Roman" w:hAnsi="Times New Roman" w:cs="Times New Roman"/>
          <w:bCs/>
          <w:szCs w:val="21"/>
        </w:rPr>
      </w:pPr>
    </w:p>
    <w:p>
      <w:pPr>
        <w:spacing w:line="360" w:lineRule="auto"/>
        <w:outlineLvl w:val="1"/>
        <w:rPr>
          <w:rFonts w:ascii="Times New Roman" w:hAnsi="Times New Roman" w:eastAsia="微软雅黑" w:cs="Times New Roman"/>
          <w:kern w:val="24"/>
          <w:szCs w:val="21"/>
        </w:rPr>
      </w:pPr>
      <w:bookmarkStart w:id="22" w:name="_Toc16359"/>
      <w:r>
        <w:rPr>
          <w:rFonts w:ascii="Times New Roman" w:hAnsi="Times New Roman" w:eastAsia="微软雅黑" w:cs="Times New Roman"/>
          <w:b/>
          <w:kern w:val="24"/>
          <w:szCs w:val="21"/>
        </w:rPr>
        <w:t>Supplementary table 4 | Raman peaks of samples.</w:t>
      </w:r>
      <w:r>
        <w:rPr>
          <w:rFonts w:ascii="Times New Roman" w:hAnsi="Times New Roman" w:eastAsia="微软雅黑" w:cs="Times New Roman"/>
          <w:kern w:val="24"/>
          <w:szCs w:val="21"/>
        </w:rPr>
        <w:t xml:space="preserve"> Raman peaks of KOH electrolyte after removing kaolin NS by centrifugal separation after 0 h, 2 h and 12 h, KOH electrolyte with kaolin NS, KOH electrolyte without modification and KOH electrolyte after removing kaolin NS with immediate cooling treatment (20 ℃-5 ℃-20 ℃).</w:t>
      </w:r>
      <w:bookmarkEnd w:id="22"/>
    </w:p>
    <w:p>
      <w:pPr>
        <w:rPr>
          <w:rFonts w:ascii="Times New Roman" w:hAnsi="Times New Roman" w:eastAsia="微软雅黑" w:cs="Times New Roman"/>
          <w:kern w:val="24"/>
          <w:szCs w:val="21"/>
        </w:rPr>
      </w:pPr>
      <w:r>
        <w:drawing>
          <wp:inline distT="0" distB="0" distL="0" distR="0">
            <wp:extent cx="5274310" cy="228854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4310" cy="2288898"/>
                    </a:xfrm>
                    <a:prstGeom prst="rect">
                      <a:avLst/>
                    </a:prstGeom>
                    <a:noFill/>
                    <a:ln>
                      <a:noFill/>
                    </a:ln>
                  </pic:spPr>
                </pic:pic>
              </a:graphicData>
            </a:graphic>
          </wp:inline>
        </w:drawing>
      </w:r>
    </w:p>
    <w:p>
      <w:pPr>
        <w:spacing w:line="360" w:lineRule="auto"/>
        <w:rPr>
          <w:rFonts w:ascii="Times New Roman" w:hAnsi="Times New Roman" w:eastAsia="微软雅黑" w:cs="Times New Roman"/>
          <w:b/>
          <w:bCs/>
          <w:kern w:val="24"/>
          <w:szCs w:val="21"/>
        </w:rPr>
      </w:pPr>
    </w:p>
    <w:p>
      <w:pPr>
        <w:spacing w:line="360" w:lineRule="auto"/>
        <w:outlineLvl w:val="1"/>
        <w:rPr>
          <w:rFonts w:ascii="Times New Roman" w:hAnsi="Times New Roman" w:cs="Times New Roman"/>
        </w:rPr>
      </w:pPr>
      <w:bookmarkStart w:id="23" w:name="_Toc25751"/>
      <w:r>
        <w:rPr>
          <w:rFonts w:ascii="Times New Roman" w:hAnsi="Times New Roman" w:eastAsia="微软雅黑" w:cs="Times New Roman"/>
          <w:b/>
          <w:kern w:val="24"/>
          <w:szCs w:val="21"/>
        </w:rPr>
        <w:t xml:space="preserve">Supplementary table 5 | Ratios of five sub-bands of OH Stretching Raman spectra. </w:t>
      </w:r>
      <w:r>
        <w:rPr>
          <w:rFonts w:ascii="Times New Roman" w:hAnsi="Times New Roman" w:eastAsia="微软雅黑" w:cs="Times New Roman"/>
          <w:kern w:val="24"/>
          <w:szCs w:val="21"/>
        </w:rPr>
        <w:t>Raman spectra of KOH electrolyte after removing kaolin NS by centrifugal separation after 0 h, 2 h and 12 h, KOH electrolyte with kaolin NS, KOH electrolyte without modification and KOH electrolyte after removing kaolin NS by centrifugal separation with immediate cooling treatment (20 ℃-5 ℃-20 ℃).</w:t>
      </w:r>
      <w:bookmarkEnd w:id="23"/>
    </w:p>
    <w:p>
      <w:pPr>
        <w:spacing w:line="360" w:lineRule="auto"/>
        <w:rPr>
          <w:rFonts w:ascii="Times New Roman" w:hAnsi="Times New Roman" w:eastAsia="微软雅黑" w:cs="Times New Roman"/>
          <w:kern w:val="24"/>
          <w:szCs w:val="21"/>
        </w:rPr>
      </w:pPr>
      <w:r>
        <w:drawing>
          <wp:inline distT="0" distB="0" distL="0" distR="0">
            <wp:extent cx="5274310" cy="228917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74310" cy="2289477"/>
                    </a:xfrm>
                    <a:prstGeom prst="rect">
                      <a:avLst/>
                    </a:prstGeom>
                    <a:noFill/>
                    <a:ln>
                      <a:noFill/>
                    </a:ln>
                  </pic:spPr>
                </pic:pic>
              </a:graphicData>
            </a:graphic>
          </wp:inline>
        </w:drawing>
      </w:r>
    </w:p>
    <w:p>
      <w:pPr>
        <w:rPr>
          <w:rFonts w:ascii="Times New Roman" w:hAnsi="Times New Roman" w:cs="Times New Roman"/>
          <w:bCs/>
          <w:sz w:val="24"/>
          <w:szCs w:val="24"/>
        </w:rPr>
      </w:pPr>
    </w:p>
    <w:p>
      <w:pPr>
        <w:spacing w:line="360" w:lineRule="auto"/>
        <w:outlineLvl w:val="1"/>
        <w:rPr>
          <w:rFonts w:ascii="Times New Roman" w:hAnsi="Times New Roman" w:eastAsia="微软雅黑" w:cs="Times New Roman"/>
          <w:b/>
          <w:kern w:val="24"/>
          <w:szCs w:val="21"/>
        </w:rPr>
      </w:pPr>
      <w:bookmarkStart w:id="24" w:name="_Toc21985"/>
      <w:r>
        <w:rPr>
          <w:rFonts w:ascii="Times New Roman" w:hAnsi="Times New Roman" w:eastAsia="微软雅黑" w:cs="Times New Roman"/>
          <w:b/>
          <w:kern w:val="24"/>
          <w:szCs w:val="21"/>
        </w:rPr>
        <w:t xml:space="preserve">Supplementary table 6 | </w:t>
      </w:r>
      <w:r>
        <w:rPr>
          <w:rFonts w:ascii="Times New Roman" w:hAnsi="Times New Roman" w:cs="Times New Roman"/>
          <w:b/>
          <w:bCs/>
          <w:szCs w:val="21"/>
        </w:rPr>
        <w:t>Fitting results obtained from</w:t>
      </w:r>
      <w:r>
        <w:rPr>
          <w:rFonts w:ascii="Times New Roman" w:hAnsi="Times New Roman" w:cs="Times New Roman"/>
          <w:b/>
          <w:szCs w:val="21"/>
        </w:rPr>
        <w:t xml:space="preserve"> EIS </w:t>
      </w:r>
      <w:r>
        <w:rPr>
          <w:rFonts w:ascii="Times New Roman" w:hAnsi="Times New Roman" w:cs="Times New Roman"/>
          <w:b/>
          <w:bCs/>
          <w:szCs w:val="21"/>
        </w:rPr>
        <w:t>of ITO/Ni@Ni(OH)</w:t>
      </w:r>
      <w:r>
        <w:rPr>
          <w:rFonts w:ascii="Times New Roman" w:hAnsi="Times New Roman" w:cs="Times New Roman"/>
          <w:b/>
          <w:bCs/>
          <w:szCs w:val="21"/>
          <w:vertAlign w:val="subscript"/>
        </w:rPr>
        <w:t>2</w:t>
      </w:r>
      <w:r>
        <w:rPr>
          <w:rFonts w:ascii="Times New Roman" w:hAnsi="Times New Roman" w:cs="Times New Roman"/>
          <w:b/>
          <w:bCs/>
          <w:szCs w:val="21"/>
        </w:rPr>
        <w:t xml:space="preserve"> electrode in 1.0 M MOH electrolytes (with M</w:t>
      </w:r>
      <w:r>
        <w:rPr>
          <w:rFonts w:ascii="Times New Roman" w:hAnsi="Times New Roman" w:cs="Times New Roman"/>
          <w:b/>
          <w:bCs/>
          <w:szCs w:val="21"/>
          <w:vertAlign w:val="superscript"/>
        </w:rPr>
        <w:t>+</w:t>
      </w:r>
      <w:r>
        <w:rPr>
          <w:rFonts w:ascii="Times New Roman" w:hAnsi="Times New Roman" w:cs="Times New Roman"/>
          <w:b/>
          <w:bCs/>
          <w:szCs w:val="21"/>
        </w:rPr>
        <w:t xml:space="preserve"> = Li</w:t>
      </w:r>
      <w:r>
        <w:rPr>
          <w:rFonts w:ascii="Times New Roman" w:hAnsi="Times New Roman" w:cs="Times New Roman"/>
          <w:b/>
          <w:bCs/>
          <w:szCs w:val="21"/>
          <w:vertAlign w:val="superscript"/>
        </w:rPr>
        <w:t>+</w:t>
      </w:r>
      <w:r>
        <w:rPr>
          <w:rFonts w:ascii="Times New Roman" w:hAnsi="Times New Roman" w:cs="Times New Roman"/>
          <w:b/>
          <w:bCs/>
          <w:szCs w:val="21"/>
        </w:rPr>
        <w:t>, Na</w:t>
      </w:r>
      <w:r>
        <w:rPr>
          <w:rFonts w:ascii="Times New Roman" w:hAnsi="Times New Roman" w:cs="Times New Roman"/>
          <w:b/>
          <w:bCs/>
          <w:szCs w:val="21"/>
          <w:vertAlign w:val="superscript"/>
        </w:rPr>
        <w:t>+</w:t>
      </w:r>
      <w:r>
        <w:rPr>
          <w:rFonts w:ascii="Times New Roman" w:hAnsi="Times New Roman" w:cs="Times New Roman"/>
          <w:b/>
          <w:bCs/>
          <w:szCs w:val="21"/>
        </w:rPr>
        <w:t>, K</w:t>
      </w:r>
      <w:r>
        <w:rPr>
          <w:rFonts w:ascii="Times New Roman" w:hAnsi="Times New Roman" w:cs="Times New Roman"/>
          <w:b/>
          <w:bCs/>
          <w:szCs w:val="21"/>
          <w:vertAlign w:val="superscript"/>
        </w:rPr>
        <w:t>+</w:t>
      </w:r>
      <w:r>
        <w:rPr>
          <w:rFonts w:ascii="Times New Roman" w:hAnsi="Times New Roman" w:cs="Times New Roman"/>
          <w:b/>
          <w:bCs/>
          <w:szCs w:val="21"/>
        </w:rPr>
        <w:t xml:space="preserve"> and Cs</w:t>
      </w:r>
      <w:r>
        <w:rPr>
          <w:rFonts w:ascii="Times New Roman" w:hAnsi="Times New Roman" w:cs="Times New Roman"/>
          <w:b/>
          <w:bCs/>
          <w:szCs w:val="21"/>
          <w:vertAlign w:val="superscript"/>
        </w:rPr>
        <w:t>+</w:t>
      </w:r>
      <w:r>
        <w:rPr>
          <w:rFonts w:ascii="Times New Roman" w:hAnsi="Times New Roman" w:cs="Times New Roman"/>
          <w:b/>
          <w:bCs/>
          <w:szCs w:val="21"/>
        </w:rPr>
        <w:t xml:space="preserve">) with and without dispersed </w:t>
      </w:r>
      <w:bookmarkStart w:id="25" w:name="_Hlk101218249"/>
      <w:r>
        <w:rPr>
          <w:rFonts w:ascii="Times New Roman" w:hAnsi="Times New Roman" w:cs="Times New Roman"/>
          <w:b/>
          <w:bCs/>
          <w:szCs w:val="21"/>
        </w:rPr>
        <w:t>30 mg mL</w:t>
      </w:r>
      <w:r>
        <w:rPr>
          <w:rFonts w:ascii="Times New Roman" w:hAnsi="Times New Roman" w:cs="Times New Roman"/>
          <w:b/>
          <w:bCs/>
          <w:szCs w:val="21"/>
          <w:vertAlign w:val="superscript"/>
        </w:rPr>
        <w:t>-1</w:t>
      </w:r>
      <w:bookmarkEnd w:id="25"/>
      <w:r>
        <w:rPr>
          <w:rFonts w:ascii="Times New Roman" w:hAnsi="Times New Roman" w:cs="Times New Roman"/>
          <w:b/>
          <w:bCs/>
          <w:szCs w:val="21"/>
        </w:rPr>
        <w:t xml:space="preserve"> kaolin NS.</w:t>
      </w:r>
      <w:bookmarkEnd w:id="24"/>
    </w:p>
    <w:p>
      <w:pPr>
        <w:rPr>
          <w:rFonts w:ascii="Times New Roman" w:hAnsi="Times New Roman" w:eastAsia="微软雅黑" w:cs="Times New Roman"/>
          <w:kern w:val="24"/>
          <w:szCs w:val="21"/>
        </w:rPr>
      </w:pPr>
      <w:r>
        <w:drawing>
          <wp:inline distT="0" distB="0" distL="0" distR="0">
            <wp:extent cx="5274310" cy="2034540"/>
            <wp:effectExtent l="0" t="0" r="254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2035154"/>
                    </a:xfrm>
                    <a:prstGeom prst="rect">
                      <a:avLst/>
                    </a:prstGeom>
                    <a:noFill/>
                    <a:ln>
                      <a:noFill/>
                    </a:ln>
                  </pic:spPr>
                </pic:pic>
              </a:graphicData>
            </a:graphic>
          </wp:inline>
        </w:drawing>
      </w:r>
    </w:p>
    <w:p>
      <w:pPr>
        <w:rPr>
          <w:rFonts w:ascii="Times New Roman" w:hAnsi="Times New Roman" w:eastAsia="微软雅黑" w:cs="Times New Roman"/>
          <w:kern w:val="24"/>
          <w:szCs w:val="21"/>
        </w:rPr>
      </w:pPr>
    </w:p>
    <w:p>
      <w:pPr>
        <w:spacing w:line="360" w:lineRule="auto"/>
        <w:outlineLvl w:val="1"/>
        <w:rPr>
          <w:rFonts w:ascii="Times New Roman" w:hAnsi="Times New Roman" w:cs="Times New Roman"/>
          <w:b/>
          <w:szCs w:val="21"/>
        </w:rPr>
      </w:pPr>
      <w:bookmarkStart w:id="26" w:name="_Toc2083"/>
      <w:r>
        <w:rPr>
          <w:rFonts w:ascii="Times New Roman" w:hAnsi="Times New Roman" w:eastAsia="微软雅黑" w:cs="Times New Roman"/>
          <w:b/>
          <w:kern w:val="24"/>
          <w:szCs w:val="21"/>
        </w:rPr>
        <w:t xml:space="preserve">Supplementary table 7 | </w:t>
      </w:r>
      <w:r>
        <w:rPr>
          <w:rFonts w:ascii="Times New Roman" w:hAnsi="Times New Roman" w:cs="Times New Roman"/>
          <w:b/>
          <w:bCs/>
          <w:szCs w:val="21"/>
        </w:rPr>
        <w:t>Fitting results obtained from</w:t>
      </w:r>
      <w:r>
        <w:rPr>
          <w:rFonts w:ascii="Times New Roman" w:hAnsi="Times New Roman" w:cs="Times New Roman"/>
          <w:b/>
          <w:szCs w:val="21"/>
        </w:rPr>
        <w:t xml:space="preserve"> EIS </w:t>
      </w:r>
      <w:r>
        <w:rPr>
          <w:rFonts w:ascii="Times New Roman" w:hAnsi="Times New Roman" w:cs="Times New Roman"/>
          <w:b/>
          <w:bCs/>
          <w:szCs w:val="21"/>
        </w:rPr>
        <w:t>of ITO electrode in 1.0 M KOH electrolyte with and without dispersed 30 mg mL</w:t>
      </w:r>
      <w:r>
        <w:rPr>
          <w:rFonts w:ascii="Times New Roman" w:hAnsi="Times New Roman" w:cs="Times New Roman"/>
          <w:b/>
          <w:bCs/>
          <w:szCs w:val="21"/>
          <w:vertAlign w:val="superscript"/>
        </w:rPr>
        <w:t>-1</w:t>
      </w:r>
      <w:r>
        <w:rPr>
          <w:rFonts w:ascii="Times New Roman" w:hAnsi="Times New Roman" w:cs="Times New Roman"/>
          <w:b/>
          <w:bCs/>
          <w:szCs w:val="21"/>
        </w:rPr>
        <w:t xml:space="preserve"> kaolin NS.</w:t>
      </w:r>
      <w:bookmarkEnd w:id="26"/>
    </w:p>
    <w:p>
      <w:pPr>
        <w:rPr>
          <w:rFonts w:ascii="Times New Roman" w:hAnsi="Times New Roman" w:cs="Times New Roman"/>
          <w:b/>
          <w:sz w:val="22"/>
        </w:rPr>
      </w:pPr>
      <w:r>
        <w:drawing>
          <wp:inline distT="0" distB="0" distL="0" distR="0">
            <wp:extent cx="5274310" cy="2131060"/>
            <wp:effectExtent l="0" t="0" r="254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2131675"/>
                    </a:xfrm>
                    <a:prstGeom prst="rect">
                      <a:avLst/>
                    </a:prstGeom>
                    <a:noFill/>
                    <a:ln>
                      <a:noFill/>
                    </a:ln>
                  </pic:spPr>
                </pic:pic>
              </a:graphicData>
            </a:graphic>
          </wp:inline>
        </w:drawing>
      </w:r>
    </w:p>
    <w:p>
      <w:pPr>
        <w:spacing w:line="360" w:lineRule="auto"/>
        <w:rPr>
          <w:rFonts w:ascii="Times New Roman" w:hAnsi="Times New Roman" w:cs="Times New Roman"/>
          <w:b/>
          <w:sz w:val="22"/>
        </w:rPr>
      </w:pPr>
    </w:p>
    <w:p>
      <w:pPr>
        <w:spacing w:line="360" w:lineRule="auto"/>
        <w:rPr>
          <w:rFonts w:ascii="Times New Roman" w:hAnsi="Times New Roman" w:cs="Times New Roman"/>
          <w:sz w:val="22"/>
        </w:rPr>
      </w:pPr>
    </w:p>
    <w:p>
      <w:pPr>
        <w:spacing w:line="360" w:lineRule="auto"/>
        <w:rPr>
          <w:rFonts w:ascii="Times New Roman" w:hAnsi="Times New Roman" w:cs="Times New Roman"/>
          <w:sz w:val="22"/>
        </w:rPr>
      </w:pPr>
    </w:p>
    <w:p>
      <w:pPr>
        <w:spacing w:line="360" w:lineRule="auto"/>
        <w:rPr>
          <w:rFonts w:ascii="Times New Roman" w:hAnsi="Times New Roman" w:cs="Times New Roman"/>
          <w:sz w:val="22"/>
        </w:rPr>
      </w:pPr>
    </w:p>
    <w:p>
      <w:pPr>
        <w:spacing w:line="360" w:lineRule="auto"/>
        <w:rPr>
          <w:rFonts w:ascii="Times New Roman" w:hAnsi="Times New Roman" w:cs="Times New Roman"/>
          <w:sz w:val="22"/>
        </w:rPr>
      </w:pPr>
    </w:p>
    <w:p>
      <w:pPr>
        <w:spacing w:line="360" w:lineRule="auto"/>
        <w:rPr>
          <w:rFonts w:ascii="Times New Roman" w:hAnsi="Times New Roman" w:cs="Times New Roman"/>
          <w:sz w:val="22"/>
        </w:rPr>
      </w:pPr>
    </w:p>
    <w:p>
      <w:pPr>
        <w:spacing w:line="360" w:lineRule="auto"/>
        <w:rPr>
          <w:rFonts w:ascii="Times New Roman" w:hAnsi="Times New Roman" w:cs="Times New Roman"/>
          <w:sz w:val="22"/>
        </w:rPr>
      </w:pPr>
    </w:p>
    <w:p>
      <w:pPr>
        <w:spacing w:line="360" w:lineRule="auto"/>
        <w:rPr>
          <w:rFonts w:ascii="Times New Roman" w:hAnsi="Times New Roman" w:cs="Times New Roman"/>
          <w:sz w:val="22"/>
        </w:rPr>
      </w:pPr>
    </w:p>
    <w:p>
      <w:pPr>
        <w:spacing w:line="360" w:lineRule="auto"/>
        <w:rPr>
          <w:rFonts w:ascii="Times New Roman" w:hAnsi="Times New Roman" w:cs="Times New Roman"/>
          <w:sz w:val="22"/>
        </w:rPr>
      </w:pPr>
    </w:p>
    <w:p>
      <w:pPr>
        <w:rPr>
          <w:rFonts w:ascii="Times New Roman" w:hAnsi="Times New Roman" w:eastAsia="宋体" w:cs="Times New Roman"/>
          <w:bCs/>
          <w:kern w:val="0"/>
          <w:sz w:val="28"/>
          <w:szCs w:val="24"/>
        </w:rPr>
      </w:pPr>
    </w:p>
    <w:p>
      <w:pPr>
        <w:spacing w:line="288" w:lineRule="auto"/>
        <w:outlineLvl w:val="0"/>
        <w:rPr>
          <w:rFonts w:ascii="Times New Roman" w:hAnsi="Times New Roman" w:cs="Times New Roman"/>
          <w:b/>
          <w:bCs/>
          <w:szCs w:val="21"/>
        </w:rPr>
      </w:pPr>
      <w:bookmarkStart w:id="27" w:name="_Toc12914"/>
    </w:p>
    <w:p>
      <w:pPr>
        <w:spacing w:line="288" w:lineRule="auto"/>
        <w:outlineLvl w:val="0"/>
        <w:rPr>
          <w:rFonts w:ascii="Times New Roman" w:hAnsi="Times New Roman" w:cs="Times New Roman"/>
          <w:b/>
          <w:bCs/>
          <w:szCs w:val="21"/>
        </w:rPr>
      </w:pPr>
    </w:p>
    <w:p>
      <w:pPr>
        <w:spacing w:line="288" w:lineRule="auto"/>
        <w:outlineLvl w:val="0"/>
        <w:rPr>
          <w:rFonts w:ascii="Times New Roman" w:hAnsi="Times New Roman" w:cs="Times New Roman"/>
          <w:b/>
          <w:bCs/>
          <w:szCs w:val="21"/>
        </w:rPr>
      </w:pPr>
      <w:r>
        <w:rPr>
          <w:rFonts w:ascii="Times New Roman" w:hAnsi="Times New Roman" w:cs="Times New Roman"/>
          <w:b/>
          <w:bCs/>
          <w:szCs w:val="21"/>
        </w:rPr>
        <w:t>Supplementary References</w:t>
      </w:r>
      <w:bookmarkEnd w:id="27"/>
    </w:p>
    <w:p>
      <w:pPr>
        <w:spacing w:line="288" w:lineRule="auto"/>
        <w:rPr>
          <w:rFonts w:ascii="Times New Roman" w:hAnsi="Times New Roman" w:cs="Times New Roman"/>
          <w:iCs/>
          <w:szCs w:val="21"/>
        </w:rPr>
      </w:pPr>
      <w:r>
        <w:rPr>
          <w:rFonts w:ascii="Times New Roman" w:hAnsi="Times New Roman" w:cs="Times New Roman"/>
          <w:szCs w:val="21"/>
        </w:rPr>
        <w:t>1. Teh, E. J.</w:t>
      </w:r>
      <w:r>
        <w:rPr>
          <w:rFonts w:hint="eastAsia" w:ascii="Times New Roman" w:hAnsi="Times New Roman" w:cs="Times New Roman"/>
          <w:szCs w:val="21"/>
        </w:rPr>
        <w:t>,</w:t>
      </w:r>
      <w:r>
        <w:rPr>
          <w:rFonts w:ascii="Times New Roman" w:hAnsi="Times New Roman" w:cs="Times New Roman"/>
          <w:szCs w:val="21"/>
        </w:rPr>
        <w:t xml:space="preserve"> Leong, Y. K., Liu, Y., Fourie, A. B. </w:t>
      </w:r>
      <w:r>
        <w:rPr>
          <w:rFonts w:hint="eastAsia" w:ascii="Times New Roman" w:hAnsi="Times New Roman"/>
          <w:bCs/>
        </w:rPr>
        <w:t>&amp;</w:t>
      </w:r>
      <w:r>
        <w:rPr>
          <w:rFonts w:hint="eastAsia" w:ascii="Times New Roman" w:hAnsi="Times New Roman" w:cs="Times New Roman"/>
          <w:szCs w:val="21"/>
        </w:rPr>
        <w:t xml:space="preserve"> </w:t>
      </w:r>
      <w:r>
        <w:rPr>
          <w:rFonts w:ascii="Times New Roman" w:hAnsi="Times New Roman" w:cs="Times New Roman"/>
          <w:szCs w:val="21"/>
        </w:rPr>
        <w:t>Fahey, M. Differences in the rheology and surface chemistry of kaolin clay slurries: The source of the variations.</w:t>
      </w:r>
      <w:r>
        <w:rPr>
          <w:rFonts w:ascii="Times New Roman" w:hAnsi="Times New Roman" w:cs="Times New Roman"/>
        </w:rPr>
        <w:t xml:space="preserve"> </w:t>
      </w:r>
      <w:r>
        <w:rPr>
          <w:rFonts w:ascii="Times New Roman" w:hAnsi="Times New Roman" w:cs="Times New Roman"/>
          <w:i/>
          <w:szCs w:val="21"/>
        </w:rPr>
        <w:t>Chem. Eng. Sci.</w:t>
      </w:r>
      <w:r>
        <w:rPr>
          <w:rFonts w:ascii="Times New Roman" w:hAnsi="Times New Roman" w:cs="Times New Roman"/>
          <w:szCs w:val="21"/>
        </w:rPr>
        <w:t xml:space="preserve"> </w:t>
      </w:r>
      <w:r>
        <w:rPr>
          <w:rFonts w:ascii="Times New Roman" w:hAnsi="Times New Roman" w:cs="Times New Roman"/>
          <w:b/>
          <w:szCs w:val="21"/>
        </w:rPr>
        <w:t>64</w:t>
      </w:r>
      <w:r>
        <w:rPr>
          <w:rFonts w:ascii="Times New Roman" w:hAnsi="Times New Roman" w:cs="Times New Roman"/>
          <w:szCs w:val="21"/>
        </w:rPr>
        <w:t>, 3817-3825 (2009).</w:t>
      </w:r>
    </w:p>
    <w:p>
      <w:pPr>
        <w:spacing w:line="288" w:lineRule="auto"/>
        <w:rPr>
          <w:rFonts w:ascii="Times New Roman" w:hAnsi="Times New Roman" w:cs="Times New Roman"/>
          <w:iCs/>
          <w:szCs w:val="21"/>
        </w:rPr>
      </w:pPr>
      <w:r>
        <w:rPr>
          <w:rFonts w:ascii="Times New Roman" w:hAnsi="Times New Roman" w:cs="Times New Roman"/>
          <w:iCs/>
          <w:szCs w:val="21"/>
        </w:rPr>
        <w:t>2. Sun, G. W.</w:t>
      </w:r>
      <w:r>
        <w:rPr>
          <w:rFonts w:hint="eastAsia" w:ascii="Times New Roman" w:hAnsi="Times New Roman" w:cs="Times New Roman"/>
          <w:iCs/>
          <w:szCs w:val="21"/>
        </w:rPr>
        <w:t>,</w:t>
      </w:r>
      <w:r>
        <w:rPr>
          <w:rFonts w:ascii="Times New Roman" w:hAnsi="Times New Roman" w:cs="Times New Roman"/>
          <w:iCs/>
          <w:szCs w:val="21"/>
        </w:rPr>
        <w:t xml:space="preserve"> Zhang, J. J. </w:t>
      </w:r>
      <w:r>
        <w:rPr>
          <w:rFonts w:hint="eastAsia" w:ascii="Times New Roman" w:hAnsi="Times New Roman"/>
          <w:bCs/>
        </w:rPr>
        <w:t>&amp;</w:t>
      </w:r>
      <w:r>
        <w:rPr>
          <w:rFonts w:hint="eastAsia" w:ascii="Times New Roman" w:hAnsi="Times New Roman" w:cs="Times New Roman"/>
          <w:iCs/>
          <w:szCs w:val="21"/>
        </w:rPr>
        <w:t xml:space="preserve"> </w:t>
      </w:r>
      <w:r>
        <w:rPr>
          <w:rFonts w:ascii="Times New Roman" w:hAnsi="Times New Roman" w:cs="Times New Roman"/>
          <w:iCs/>
          <w:szCs w:val="21"/>
        </w:rPr>
        <w:t xml:space="preserve">Yan, N. Microstructural evolution and characterization of ground granulated blast furnace slag in variant pH. </w:t>
      </w:r>
      <w:r>
        <w:rPr>
          <w:rFonts w:ascii="Times New Roman" w:hAnsi="Times New Roman" w:cs="Times New Roman"/>
          <w:i/>
          <w:iCs/>
          <w:szCs w:val="21"/>
        </w:rPr>
        <w:t>Constr. Build. Mater.</w:t>
      </w:r>
      <w:r>
        <w:rPr>
          <w:rFonts w:ascii="Times New Roman" w:hAnsi="Times New Roman" w:cs="Times New Roman"/>
          <w:iCs/>
          <w:szCs w:val="21"/>
        </w:rPr>
        <w:t xml:space="preserve"> </w:t>
      </w:r>
      <w:r>
        <w:rPr>
          <w:rFonts w:ascii="Times New Roman" w:hAnsi="Times New Roman" w:cs="Times New Roman"/>
          <w:b/>
          <w:iCs/>
          <w:szCs w:val="21"/>
        </w:rPr>
        <w:t>251</w:t>
      </w:r>
      <w:r>
        <w:rPr>
          <w:rFonts w:ascii="Times New Roman" w:hAnsi="Times New Roman" w:cs="Times New Roman"/>
          <w:iCs/>
          <w:szCs w:val="21"/>
        </w:rPr>
        <w:t>, 118978 (2020).</w:t>
      </w:r>
    </w:p>
    <w:p>
      <w:pPr>
        <w:spacing w:line="288" w:lineRule="auto"/>
        <w:rPr>
          <w:rFonts w:ascii="Times New Roman" w:hAnsi="Times New Roman" w:cs="Times New Roman"/>
          <w:szCs w:val="21"/>
        </w:rPr>
      </w:pPr>
      <w:r>
        <w:rPr>
          <w:rFonts w:ascii="Times New Roman" w:hAnsi="Times New Roman" w:cs="Times New Roman"/>
          <w:szCs w:val="21"/>
        </w:rPr>
        <w:t>3. Esswein, J.</w:t>
      </w:r>
      <w:r>
        <w:rPr>
          <w:rFonts w:hint="eastAsia" w:ascii="Times New Roman" w:hAnsi="Times New Roman" w:cs="Times New Roman"/>
          <w:szCs w:val="21"/>
        </w:rPr>
        <w:t>,</w:t>
      </w:r>
      <w:r>
        <w:rPr>
          <w:rFonts w:ascii="Times New Roman" w:hAnsi="Times New Roman" w:cs="Times New Roman"/>
          <w:szCs w:val="21"/>
        </w:rPr>
        <w:t xml:space="preserve"> McMurdo, M. J., Ross, P. N., Bell, A. T. </w:t>
      </w:r>
      <w:r>
        <w:rPr>
          <w:rFonts w:hint="eastAsia" w:ascii="Times New Roman" w:hAnsi="Times New Roman"/>
          <w:bCs/>
        </w:rPr>
        <w:t>&amp;</w:t>
      </w:r>
      <w:r>
        <w:rPr>
          <w:rFonts w:hint="eastAsia" w:ascii="Times New Roman" w:hAnsi="Times New Roman" w:cs="Times New Roman"/>
          <w:szCs w:val="21"/>
        </w:rPr>
        <w:t xml:space="preserve"> </w:t>
      </w:r>
      <w:r>
        <w:rPr>
          <w:rFonts w:ascii="Times New Roman" w:hAnsi="Times New Roman" w:cs="Times New Roman"/>
          <w:szCs w:val="21"/>
        </w:rPr>
        <w:t>Tilley, T. D. Size-dependent activity of Co</w:t>
      </w:r>
      <w:r>
        <w:rPr>
          <w:rFonts w:ascii="Times New Roman" w:hAnsi="Times New Roman" w:cs="Times New Roman"/>
          <w:szCs w:val="21"/>
          <w:vertAlign w:val="subscript"/>
        </w:rPr>
        <w:t>3</w:t>
      </w:r>
      <w:r>
        <w:rPr>
          <w:rFonts w:ascii="Times New Roman" w:hAnsi="Times New Roman" w:cs="Times New Roman"/>
          <w:szCs w:val="21"/>
        </w:rPr>
        <w:t>O</w:t>
      </w:r>
      <w:r>
        <w:rPr>
          <w:rFonts w:ascii="Times New Roman" w:hAnsi="Times New Roman" w:cs="Times New Roman"/>
          <w:szCs w:val="21"/>
          <w:vertAlign w:val="subscript"/>
        </w:rPr>
        <w:t>4</w:t>
      </w:r>
      <w:r>
        <w:rPr>
          <w:rFonts w:ascii="Times New Roman" w:hAnsi="Times New Roman" w:cs="Times New Roman"/>
          <w:szCs w:val="21"/>
        </w:rPr>
        <w:t xml:space="preserve"> nanoparticle anodes for alkaline water electrolysis.</w:t>
      </w:r>
      <w:r>
        <w:rPr>
          <w:rFonts w:ascii="Times New Roman" w:hAnsi="Times New Roman" w:cs="Times New Roman"/>
          <w:i/>
          <w:iCs/>
          <w:szCs w:val="21"/>
        </w:rPr>
        <w:t xml:space="preserve"> J. Phys. Chem. C</w:t>
      </w:r>
      <w:r>
        <w:rPr>
          <w:rFonts w:ascii="Times New Roman" w:hAnsi="Times New Roman" w:cs="Times New Roman"/>
          <w:szCs w:val="21"/>
        </w:rPr>
        <w:t xml:space="preserve"> </w:t>
      </w:r>
      <w:r>
        <w:rPr>
          <w:rFonts w:ascii="Times New Roman" w:hAnsi="Times New Roman" w:cs="Times New Roman"/>
          <w:b/>
          <w:bCs/>
          <w:szCs w:val="21"/>
        </w:rPr>
        <w:t>113</w:t>
      </w:r>
      <w:r>
        <w:rPr>
          <w:rFonts w:ascii="Times New Roman" w:hAnsi="Times New Roman" w:cs="Times New Roman"/>
          <w:szCs w:val="21"/>
        </w:rPr>
        <w:t>, 15068-15072 (2009).</w:t>
      </w:r>
    </w:p>
    <w:p>
      <w:pPr>
        <w:spacing w:line="288" w:lineRule="auto"/>
        <w:rPr>
          <w:rFonts w:ascii="Times New Roman" w:hAnsi="Times New Roman" w:cs="Times New Roman"/>
          <w:szCs w:val="21"/>
        </w:rPr>
      </w:pPr>
      <w:r>
        <w:rPr>
          <w:rFonts w:ascii="Times New Roman" w:hAnsi="Times New Roman"/>
          <w:color w:val="080808"/>
          <w:kern w:val="0"/>
        </w:rPr>
        <w:t>4. Zahran, Z. N. et al. Electrocatalytic water splitting with</w:t>
      </w:r>
      <w:r>
        <w:rPr>
          <w:rFonts w:hint="eastAsia" w:ascii="Times New Roman" w:hAnsi="Times New Roman"/>
          <w:color w:val="080808"/>
          <w:kern w:val="0"/>
        </w:rPr>
        <w:t xml:space="preserve"> </w:t>
      </w:r>
      <w:r>
        <w:rPr>
          <w:rFonts w:ascii="Times New Roman" w:hAnsi="Times New Roman"/>
          <w:color w:val="080808"/>
          <w:kern w:val="0"/>
        </w:rPr>
        <w:t>unprecedentedly low overpotentials by nickel</w:t>
      </w:r>
      <w:r>
        <w:rPr>
          <w:rFonts w:hint="eastAsia" w:ascii="Times New Roman" w:hAnsi="Times New Roman"/>
          <w:color w:val="080808"/>
          <w:kern w:val="0"/>
        </w:rPr>
        <w:t xml:space="preserve"> </w:t>
      </w:r>
      <w:r>
        <w:rPr>
          <w:rFonts w:ascii="Times New Roman" w:hAnsi="Times New Roman"/>
          <w:color w:val="080808"/>
          <w:kern w:val="0"/>
        </w:rPr>
        <w:t>sulfide nanowires stuffed into carbon nitride</w:t>
      </w:r>
      <w:r>
        <w:rPr>
          <w:rFonts w:hint="eastAsia" w:ascii="Times New Roman" w:hAnsi="Times New Roman"/>
          <w:color w:val="080808"/>
          <w:kern w:val="0"/>
        </w:rPr>
        <w:t xml:space="preserve"> </w:t>
      </w:r>
      <w:r>
        <w:rPr>
          <w:rFonts w:ascii="Times New Roman" w:hAnsi="Times New Roman"/>
          <w:color w:val="080808"/>
          <w:kern w:val="0"/>
        </w:rPr>
        <w:t xml:space="preserve">scabbards. </w:t>
      </w:r>
      <w:r>
        <w:rPr>
          <w:rFonts w:ascii="Times New Roman" w:hAnsi="Times New Roman"/>
          <w:i/>
          <w:color w:val="080808"/>
          <w:kern w:val="0"/>
        </w:rPr>
        <w:t>Energy Environ. Sci</w:t>
      </w:r>
      <w:r>
        <w:rPr>
          <w:rFonts w:ascii="Times New Roman" w:hAnsi="Times New Roman"/>
          <w:color w:val="080808"/>
          <w:kern w:val="0"/>
        </w:rPr>
        <w:t xml:space="preserve">. </w:t>
      </w:r>
      <w:r>
        <w:rPr>
          <w:rFonts w:ascii="Times New Roman" w:hAnsi="Times New Roman"/>
          <w:b/>
          <w:color w:val="080808"/>
          <w:kern w:val="0"/>
        </w:rPr>
        <w:t>14</w:t>
      </w:r>
      <w:r>
        <w:rPr>
          <w:rFonts w:ascii="Times New Roman" w:hAnsi="Times New Roman"/>
          <w:color w:val="080808"/>
          <w:kern w:val="0"/>
        </w:rPr>
        <w:t>, 5358-5365 (2021).</w:t>
      </w:r>
    </w:p>
    <w:p>
      <w:pPr>
        <w:spacing w:line="288" w:lineRule="auto"/>
        <w:rPr>
          <w:rFonts w:ascii="Times New Roman" w:hAnsi="Times New Roman" w:cs="Times New Roman"/>
          <w:szCs w:val="21"/>
        </w:rPr>
      </w:pPr>
      <w:r>
        <w:rPr>
          <w:rFonts w:ascii="Times New Roman" w:hAnsi="Times New Roman" w:cs="Times New Roman"/>
          <w:szCs w:val="21"/>
        </w:rPr>
        <w:t>5. Wu, Y. et al. Efficient electrocatalysis of overall water splitting by ultrasmall Ni</w:t>
      </w:r>
      <w:r>
        <w:rPr>
          <w:rFonts w:ascii="Times New Roman" w:hAnsi="Times New Roman" w:cs="Times New Roman"/>
          <w:szCs w:val="21"/>
          <w:vertAlign w:val="subscript"/>
        </w:rPr>
        <w:t>x</w:t>
      </w:r>
      <w:r>
        <w:rPr>
          <w:rFonts w:ascii="Times New Roman" w:hAnsi="Times New Roman" w:cs="Times New Roman"/>
          <w:szCs w:val="21"/>
        </w:rPr>
        <w:t>Co</w:t>
      </w:r>
      <w:r>
        <w:rPr>
          <w:rFonts w:ascii="Times New Roman" w:hAnsi="Times New Roman" w:cs="Times New Roman"/>
          <w:szCs w:val="21"/>
          <w:vertAlign w:val="subscript"/>
        </w:rPr>
        <w:t>3−x</w:t>
      </w:r>
      <w:r>
        <w:rPr>
          <w:rFonts w:ascii="Times New Roman" w:hAnsi="Times New Roman" w:cs="Times New Roman"/>
          <w:szCs w:val="21"/>
        </w:rPr>
        <w:t>S</w:t>
      </w:r>
      <w:r>
        <w:rPr>
          <w:rFonts w:ascii="Times New Roman" w:hAnsi="Times New Roman" w:cs="Times New Roman"/>
          <w:szCs w:val="21"/>
          <w:vertAlign w:val="subscript"/>
        </w:rPr>
        <w:t>4</w:t>
      </w:r>
      <w:r>
        <w:rPr>
          <w:rFonts w:ascii="Times New Roman" w:hAnsi="Times New Roman" w:cs="Times New Roman"/>
          <w:szCs w:val="21"/>
        </w:rPr>
        <w:t xml:space="preserve"> coupled Ni</w:t>
      </w:r>
      <w:r>
        <w:rPr>
          <w:rFonts w:ascii="Times New Roman" w:hAnsi="Times New Roman" w:cs="Times New Roman"/>
          <w:szCs w:val="21"/>
          <w:vertAlign w:val="subscript"/>
        </w:rPr>
        <w:t>3</w:t>
      </w:r>
      <w:r>
        <w:rPr>
          <w:rFonts w:ascii="Times New Roman" w:hAnsi="Times New Roman" w:cs="Times New Roman"/>
          <w:szCs w:val="21"/>
        </w:rPr>
        <w:t>S</w:t>
      </w:r>
      <w:r>
        <w:rPr>
          <w:rFonts w:ascii="Times New Roman" w:hAnsi="Times New Roman" w:cs="Times New Roman"/>
          <w:szCs w:val="21"/>
          <w:vertAlign w:val="subscript"/>
        </w:rPr>
        <w:t>2</w:t>
      </w:r>
      <w:r>
        <w:rPr>
          <w:rFonts w:ascii="Times New Roman" w:hAnsi="Times New Roman" w:cs="Times New Roman"/>
          <w:szCs w:val="21"/>
        </w:rPr>
        <w:t xml:space="preserve"> nanosheet arrays. </w:t>
      </w:r>
      <w:r>
        <w:rPr>
          <w:rFonts w:ascii="Times New Roman" w:hAnsi="Times New Roman" w:cs="Times New Roman"/>
          <w:i/>
          <w:iCs/>
          <w:szCs w:val="21"/>
        </w:rPr>
        <w:t>Nano Energy</w:t>
      </w:r>
      <w:r>
        <w:rPr>
          <w:rFonts w:ascii="Times New Roman" w:hAnsi="Times New Roman" w:cs="Times New Roman"/>
          <w:szCs w:val="21"/>
        </w:rPr>
        <w:t xml:space="preserve"> </w:t>
      </w:r>
      <w:r>
        <w:rPr>
          <w:rFonts w:ascii="Times New Roman" w:hAnsi="Times New Roman" w:cs="Times New Roman"/>
          <w:b/>
          <w:bCs/>
          <w:szCs w:val="21"/>
        </w:rPr>
        <w:t>35</w:t>
      </w:r>
      <w:r>
        <w:rPr>
          <w:rFonts w:ascii="Times New Roman" w:hAnsi="Times New Roman" w:cs="Times New Roman"/>
          <w:szCs w:val="21"/>
        </w:rPr>
        <w:t>, 161-170 (2017).</w:t>
      </w:r>
    </w:p>
    <w:p>
      <w:pPr>
        <w:spacing w:line="288" w:lineRule="auto"/>
        <w:rPr>
          <w:rFonts w:ascii="Times New Roman" w:hAnsi="Times New Roman" w:cs="Times New Roman"/>
          <w:szCs w:val="21"/>
        </w:rPr>
      </w:pPr>
      <w:r>
        <w:rPr>
          <w:rFonts w:ascii="Times New Roman" w:hAnsi="Times New Roman" w:cs="Times New Roman"/>
          <w:szCs w:val="21"/>
        </w:rPr>
        <w:t xml:space="preserve">6. Yang, H. et al. Preparation of nickel-iron hydroxides by microorganism corrosion for efficient oxygen evolution. </w:t>
      </w:r>
      <w:r>
        <w:rPr>
          <w:rFonts w:ascii="Times New Roman" w:hAnsi="Times New Roman" w:cs="Times New Roman"/>
          <w:i/>
          <w:iCs/>
          <w:szCs w:val="21"/>
        </w:rPr>
        <w:t xml:space="preserve">Nat. Commun. </w:t>
      </w:r>
      <w:r>
        <w:rPr>
          <w:rFonts w:ascii="Times New Roman" w:hAnsi="Times New Roman" w:cs="Times New Roman"/>
          <w:b/>
          <w:bCs/>
          <w:szCs w:val="21"/>
        </w:rPr>
        <w:t>11</w:t>
      </w:r>
      <w:r>
        <w:rPr>
          <w:rFonts w:ascii="Times New Roman" w:hAnsi="Times New Roman" w:cs="Times New Roman"/>
          <w:szCs w:val="21"/>
        </w:rPr>
        <w:t>, 5075 (2020).</w:t>
      </w:r>
    </w:p>
    <w:p>
      <w:pPr>
        <w:spacing w:line="288" w:lineRule="auto"/>
        <w:rPr>
          <w:rFonts w:ascii="Times New Roman" w:hAnsi="Times New Roman" w:cs="Times New Roman"/>
          <w:szCs w:val="21"/>
        </w:rPr>
      </w:pPr>
      <w:r>
        <w:rPr>
          <w:rFonts w:ascii="Times New Roman" w:hAnsi="Times New Roman" w:cs="Times New Roman"/>
          <w:szCs w:val="21"/>
        </w:rPr>
        <w:t xml:space="preserve">7. Liu, X. et al. Deep reconstruction of nickel-based precatalysts for water oxidation catalysis. </w:t>
      </w:r>
      <w:r>
        <w:rPr>
          <w:rFonts w:ascii="Times New Roman" w:hAnsi="Times New Roman" w:cs="Times New Roman"/>
          <w:i/>
          <w:szCs w:val="21"/>
        </w:rPr>
        <w:t>ACS Energy Lett.</w:t>
      </w:r>
      <w:r>
        <w:rPr>
          <w:rFonts w:ascii="Times New Roman" w:hAnsi="Times New Roman" w:cs="Times New Roman"/>
          <w:szCs w:val="21"/>
        </w:rPr>
        <w:t xml:space="preserve"> </w:t>
      </w:r>
      <w:r>
        <w:rPr>
          <w:rFonts w:ascii="Times New Roman" w:hAnsi="Times New Roman" w:cs="Times New Roman"/>
          <w:b/>
          <w:szCs w:val="21"/>
        </w:rPr>
        <w:t>4</w:t>
      </w:r>
      <w:r>
        <w:rPr>
          <w:rFonts w:ascii="Times New Roman" w:hAnsi="Times New Roman" w:cs="Times New Roman"/>
          <w:szCs w:val="21"/>
        </w:rPr>
        <w:t>, 2585-2592 (2019).</w:t>
      </w:r>
    </w:p>
    <w:p>
      <w:pPr>
        <w:pStyle w:val="18"/>
        <w:widowControl/>
        <w:spacing w:line="288" w:lineRule="auto"/>
        <w:ind w:firstLine="0" w:firstLineChars="0"/>
        <w:rPr>
          <w:rFonts w:ascii="Times New Roman" w:hAnsi="Times New Roman"/>
        </w:rPr>
      </w:pPr>
      <w:r>
        <w:rPr>
          <w:rFonts w:ascii="Times New Roman" w:hAnsi="Times New Roman"/>
        </w:rPr>
        <w:t>8. Zhou</w:t>
      </w:r>
      <w:r>
        <w:rPr>
          <w:rFonts w:hint="eastAsia" w:ascii="Times New Roman" w:hAnsi="Times New Roman"/>
        </w:rPr>
        <w:t>,</w:t>
      </w:r>
      <w:r>
        <w:rPr>
          <w:rFonts w:ascii="Times New Roman" w:hAnsi="Times New Roman"/>
        </w:rPr>
        <w:t xml:space="preserve"> W. et al. Ni</w:t>
      </w:r>
      <w:r>
        <w:rPr>
          <w:rFonts w:ascii="Times New Roman" w:hAnsi="Times New Roman"/>
          <w:vertAlign w:val="subscript"/>
        </w:rPr>
        <w:t>3</w:t>
      </w:r>
      <w:r>
        <w:rPr>
          <w:rFonts w:ascii="Times New Roman" w:hAnsi="Times New Roman"/>
        </w:rPr>
        <w:t>S</w:t>
      </w:r>
      <w:r>
        <w:rPr>
          <w:rFonts w:ascii="Times New Roman" w:hAnsi="Times New Roman"/>
          <w:vertAlign w:val="subscript"/>
        </w:rPr>
        <w:t>2</w:t>
      </w:r>
      <w:r>
        <w:rPr>
          <w:rFonts w:ascii="Times New Roman" w:hAnsi="Times New Roman"/>
        </w:rPr>
        <w:t xml:space="preserve"> nanorods/Ni foam composite electrode with low overpotential for electrocatalytic oxygen evolution. </w:t>
      </w:r>
      <w:r>
        <w:rPr>
          <w:rFonts w:ascii="Times New Roman" w:hAnsi="Times New Roman"/>
          <w:i/>
          <w:kern w:val="0"/>
        </w:rPr>
        <w:t>Energy Environ. Sci.</w:t>
      </w:r>
      <w:r>
        <w:rPr>
          <w:rFonts w:ascii="Times New Roman" w:hAnsi="Times New Roman"/>
        </w:rPr>
        <w:t xml:space="preserve"> </w:t>
      </w:r>
      <w:r>
        <w:rPr>
          <w:rFonts w:ascii="Times New Roman" w:hAnsi="Times New Roman"/>
          <w:b/>
          <w:bCs/>
        </w:rPr>
        <w:t>6</w:t>
      </w:r>
      <w:r>
        <w:rPr>
          <w:rFonts w:ascii="Times New Roman" w:hAnsi="Times New Roman"/>
        </w:rPr>
        <w:t>, 2921-2924 (2013).</w:t>
      </w:r>
    </w:p>
    <w:p>
      <w:pPr>
        <w:spacing w:line="288" w:lineRule="auto"/>
        <w:rPr>
          <w:rFonts w:ascii="Times New Roman" w:hAnsi="Times New Roman" w:cs="Times New Roman"/>
          <w:szCs w:val="21"/>
        </w:rPr>
      </w:pPr>
      <w:r>
        <w:rPr>
          <w:rFonts w:ascii="Times New Roman" w:hAnsi="Times New Roman" w:cs="Times New Roman"/>
          <w:szCs w:val="21"/>
        </w:rPr>
        <w:t xml:space="preserve">9. Su, X. et al. Operando spectroscopic identification of active sites in NiFe prussian blue analogues as electrocatalysts: Activation of oxygen atoms for oxygen evolution reaction. </w:t>
      </w:r>
      <w:r>
        <w:rPr>
          <w:rFonts w:ascii="Times New Roman" w:hAnsi="Times New Roman" w:cs="Times New Roman"/>
          <w:i/>
          <w:iCs/>
          <w:szCs w:val="21"/>
        </w:rPr>
        <w:t>J. Am. Chem. Soc.</w:t>
      </w:r>
      <w:r>
        <w:rPr>
          <w:rFonts w:ascii="Times New Roman" w:hAnsi="Times New Roman" w:cs="Times New Roman"/>
          <w:szCs w:val="21"/>
        </w:rPr>
        <w:t xml:space="preserve"> </w:t>
      </w:r>
      <w:r>
        <w:rPr>
          <w:rFonts w:ascii="Times New Roman" w:hAnsi="Times New Roman" w:cs="Times New Roman"/>
          <w:b/>
          <w:bCs/>
          <w:szCs w:val="21"/>
        </w:rPr>
        <w:t>140</w:t>
      </w:r>
      <w:r>
        <w:rPr>
          <w:rFonts w:ascii="Times New Roman" w:hAnsi="Times New Roman" w:cs="Times New Roman"/>
          <w:szCs w:val="21"/>
        </w:rPr>
        <w:t xml:space="preserve">, 11286-11292 (2018). </w:t>
      </w:r>
    </w:p>
    <w:p>
      <w:pPr>
        <w:spacing w:line="288" w:lineRule="auto"/>
        <w:rPr>
          <w:rFonts w:ascii="Times New Roman" w:hAnsi="Times New Roman" w:cs="Times New Roman"/>
          <w:szCs w:val="21"/>
        </w:rPr>
      </w:pPr>
      <w:r>
        <w:rPr>
          <w:rFonts w:ascii="Times New Roman" w:hAnsi="Times New Roman" w:cs="Times New Roman"/>
          <w:szCs w:val="21"/>
        </w:rPr>
        <w:t>10. Liu, Y. et al. Interface engineering of (Ni,Fe)S</w:t>
      </w:r>
      <w:r>
        <w:rPr>
          <w:rFonts w:ascii="Times New Roman" w:hAnsi="Times New Roman" w:cs="Times New Roman"/>
          <w:szCs w:val="21"/>
          <w:vertAlign w:val="subscript"/>
        </w:rPr>
        <w:t>2</w:t>
      </w:r>
      <w:r>
        <w:rPr>
          <w:rFonts w:ascii="Times New Roman" w:hAnsi="Times New Roman" w:cs="Times New Roman"/>
          <w:szCs w:val="21"/>
        </w:rPr>
        <w:t>@MoS</w:t>
      </w:r>
      <w:r>
        <w:rPr>
          <w:rFonts w:ascii="Times New Roman" w:hAnsi="Times New Roman" w:cs="Times New Roman"/>
          <w:szCs w:val="21"/>
          <w:vertAlign w:val="subscript"/>
        </w:rPr>
        <w:t>2</w:t>
      </w:r>
      <w:r>
        <w:rPr>
          <w:rFonts w:ascii="Times New Roman" w:hAnsi="Times New Roman" w:cs="Times New Roman"/>
          <w:szCs w:val="21"/>
        </w:rPr>
        <w:t xml:space="preserve"> heterostructures for synergetic electrochemical water splitting. </w:t>
      </w:r>
      <w:r>
        <w:rPr>
          <w:rFonts w:ascii="Times New Roman" w:hAnsi="Times New Roman" w:cs="Times New Roman"/>
          <w:i/>
          <w:iCs/>
          <w:kern w:val="0"/>
          <w:szCs w:val="21"/>
        </w:rPr>
        <w:t>Appl. Catal. B Environ.</w:t>
      </w:r>
      <w:r>
        <w:rPr>
          <w:rFonts w:ascii="Times New Roman" w:hAnsi="Times New Roman" w:cs="Times New Roman"/>
          <w:b/>
          <w:bCs/>
          <w:i/>
          <w:iCs/>
          <w:kern w:val="0"/>
          <w:szCs w:val="21"/>
        </w:rPr>
        <w:t xml:space="preserve"> </w:t>
      </w:r>
      <w:r>
        <w:rPr>
          <w:rFonts w:ascii="Times New Roman" w:hAnsi="Times New Roman" w:cs="Times New Roman"/>
          <w:b/>
          <w:bCs/>
          <w:kern w:val="0"/>
          <w:szCs w:val="21"/>
        </w:rPr>
        <w:t>247</w:t>
      </w:r>
      <w:r>
        <w:rPr>
          <w:rFonts w:ascii="Times New Roman" w:hAnsi="Times New Roman" w:cs="Times New Roman"/>
          <w:kern w:val="0"/>
          <w:szCs w:val="21"/>
        </w:rPr>
        <w:t>, 107-114 (2019).</w:t>
      </w:r>
    </w:p>
    <w:p>
      <w:pPr>
        <w:spacing w:line="288" w:lineRule="auto"/>
        <w:rPr>
          <w:rFonts w:ascii="Times New Roman" w:hAnsi="Times New Roman" w:cs="Times New Roman"/>
          <w:szCs w:val="21"/>
        </w:rPr>
      </w:pPr>
      <w:r>
        <w:rPr>
          <w:rFonts w:ascii="Times New Roman" w:hAnsi="Times New Roman" w:cs="Times New Roman"/>
          <w:szCs w:val="21"/>
        </w:rPr>
        <w:t>11. Liu, Y. et al.</w:t>
      </w:r>
      <w:r>
        <w:t xml:space="preserve"> </w:t>
      </w:r>
      <w:r>
        <w:rPr>
          <w:rFonts w:ascii="Times New Roman" w:hAnsi="Times New Roman" w:cs="Times New Roman"/>
          <w:szCs w:val="21"/>
        </w:rPr>
        <w:t xml:space="preserve">Coupling sub-nanometric copper clusters with quasi-amorphous cobalt sulfide yields efficient and robust electrocatalysts for water splitting reaction. </w:t>
      </w:r>
      <w:r>
        <w:rPr>
          <w:rFonts w:ascii="Times New Roman" w:hAnsi="Times New Roman" w:cs="Times New Roman"/>
          <w:i/>
          <w:iCs/>
          <w:szCs w:val="21"/>
        </w:rPr>
        <w:t>Adv. Mater.</w:t>
      </w:r>
      <w:r>
        <w:rPr>
          <w:rFonts w:ascii="Times New Roman" w:hAnsi="Times New Roman" w:cs="Times New Roman"/>
          <w:b/>
          <w:bCs/>
          <w:i/>
          <w:iCs/>
          <w:szCs w:val="21"/>
        </w:rPr>
        <w:t xml:space="preserve"> </w:t>
      </w:r>
      <w:r>
        <w:rPr>
          <w:rFonts w:ascii="Times New Roman" w:hAnsi="Times New Roman" w:cs="Times New Roman"/>
          <w:b/>
          <w:bCs/>
          <w:szCs w:val="21"/>
        </w:rPr>
        <w:t>29</w:t>
      </w:r>
      <w:r>
        <w:rPr>
          <w:rFonts w:ascii="Times New Roman" w:hAnsi="Times New Roman" w:cs="Times New Roman"/>
          <w:szCs w:val="21"/>
        </w:rPr>
        <w:t>, 1606200 (2017).</w:t>
      </w:r>
    </w:p>
    <w:p>
      <w:pPr>
        <w:spacing w:line="288" w:lineRule="auto"/>
        <w:rPr>
          <w:rFonts w:ascii="Times New Roman" w:hAnsi="Times New Roman" w:cs="Times New Roman"/>
          <w:iCs/>
          <w:szCs w:val="21"/>
        </w:rPr>
      </w:pPr>
      <w:r>
        <w:rPr>
          <w:rFonts w:ascii="Times New Roman" w:hAnsi="Times New Roman" w:cs="Times New Roman"/>
          <w:szCs w:val="21"/>
        </w:rPr>
        <w:t>12. Kou, T. Y. et al. Ni foam-supported Fe-doped β-Ni(OH)</w:t>
      </w:r>
      <w:r>
        <w:rPr>
          <w:rFonts w:ascii="Times New Roman" w:hAnsi="Times New Roman" w:cs="Times New Roman"/>
          <w:szCs w:val="21"/>
          <w:vertAlign w:val="subscript"/>
        </w:rPr>
        <w:t>2</w:t>
      </w:r>
      <w:r>
        <w:rPr>
          <w:rFonts w:ascii="Times New Roman" w:hAnsi="Times New Roman" w:cs="Times New Roman"/>
          <w:szCs w:val="21"/>
        </w:rPr>
        <w:t xml:space="preserve"> nanosheets show ultralow overpotential for oxygen evolution reaction. </w:t>
      </w:r>
      <w:r>
        <w:rPr>
          <w:rFonts w:ascii="Times New Roman" w:hAnsi="Times New Roman" w:cs="Times New Roman"/>
          <w:i/>
          <w:iCs/>
          <w:szCs w:val="21"/>
        </w:rPr>
        <w:t>ACS Energy Lett.</w:t>
      </w:r>
      <w:r>
        <w:rPr>
          <w:rFonts w:ascii="Times New Roman" w:hAnsi="Times New Roman" w:cs="Times New Roman"/>
          <w:szCs w:val="21"/>
        </w:rPr>
        <w:t xml:space="preserve"> </w:t>
      </w:r>
      <w:r>
        <w:rPr>
          <w:rFonts w:ascii="Times New Roman" w:hAnsi="Times New Roman" w:cs="Times New Roman"/>
          <w:b/>
          <w:bCs/>
          <w:szCs w:val="21"/>
        </w:rPr>
        <w:t>4</w:t>
      </w:r>
      <w:r>
        <w:rPr>
          <w:rFonts w:ascii="Times New Roman" w:hAnsi="Times New Roman" w:cs="Times New Roman"/>
          <w:szCs w:val="21"/>
        </w:rPr>
        <w:t>, 622-628 (2019).</w:t>
      </w:r>
    </w:p>
    <w:p>
      <w:pPr>
        <w:spacing w:line="288" w:lineRule="auto"/>
        <w:rPr>
          <w:rFonts w:ascii="Times New Roman" w:hAnsi="Times New Roman" w:cs="Times New Roman"/>
          <w:iCs/>
          <w:szCs w:val="21"/>
        </w:rPr>
      </w:pPr>
      <w:r>
        <w:rPr>
          <w:rFonts w:ascii="Times New Roman" w:hAnsi="Times New Roman" w:cs="Times New Roman"/>
          <w:iCs/>
          <w:szCs w:val="21"/>
        </w:rPr>
        <w:t xml:space="preserve">13. Liu, X., Meng, J.S., Ni, K., et al. Complete reconstruction of hydrate pre-catalysts for ultrastable water electrolysis in industrial-concentration alkali media. </w:t>
      </w:r>
      <w:r>
        <w:rPr>
          <w:rFonts w:ascii="Times New Roman" w:hAnsi="Times New Roman" w:cs="Times New Roman"/>
          <w:i/>
          <w:iCs/>
          <w:szCs w:val="21"/>
        </w:rPr>
        <w:t>Cell Rep. Phys. Sci.</w:t>
      </w:r>
      <w:r>
        <w:rPr>
          <w:rFonts w:ascii="Times New Roman" w:hAnsi="Times New Roman" w:cs="Times New Roman"/>
          <w:iCs/>
          <w:szCs w:val="21"/>
        </w:rPr>
        <w:t xml:space="preserve"> </w:t>
      </w:r>
      <w:r>
        <w:rPr>
          <w:rFonts w:ascii="Times New Roman" w:hAnsi="Times New Roman" w:cs="Times New Roman"/>
          <w:b/>
          <w:iCs/>
          <w:szCs w:val="21"/>
        </w:rPr>
        <w:t>1</w:t>
      </w:r>
      <w:r>
        <w:rPr>
          <w:rFonts w:ascii="Times New Roman" w:hAnsi="Times New Roman" w:cs="Times New Roman"/>
          <w:iCs/>
          <w:szCs w:val="21"/>
        </w:rPr>
        <w:t>, 100241 (2020).</w:t>
      </w:r>
    </w:p>
    <w:p>
      <w:pPr>
        <w:spacing w:line="288" w:lineRule="auto"/>
        <w:rPr>
          <w:rFonts w:ascii="Times New Roman" w:hAnsi="Times New Roman" w:cs="Times New Roman"/>
          <w:szCs w:val="21"/>
        </w:rPr>
      </w:pPr>
      <w:r>
        <w:rPr>
          <w:rFonts w:ascii="Times New Roman" w:hAnsi="Times New Roman" w:cs="Times New Roman"/>
          <w:szCs w:val="21"/>
        </w:rPr>
        <w:t xml:space="preserve">14. Zhao, S. et al. Ultrathin metal-organic framework nanosheets for electrocatalytic oxygen evolution. </w:t>
      </w:r>
      <w:r>
        <w:rPr>
          <w:rFonts w:ascii="Times New Roman" w:hAnsi="Times New Roman" w:cs="Times New Roman"/>
          <w:i/>
          <w:iCs/>
          <w:szCs w:val="21"/>
        </w:rPr>
        <w:t>Nat. Energy</w:t>
      </w:r>
      <w:r>
        <w:rPr>
          <w:rFonts w:ascii="Times New Roman" w:hAnsi="Times New Roman" w:cs="Times New Roman"/>
          <w:szCs w:val="21"/>
        </w:rPr>
        <w:t xml:space="preserve"> </w:t>
      </w:r>
      <w:r>
        <w:rPr>
          <w:rFonts w:ascii="Times New Roman" w:hAnsi="Times New Roman" w:cs="Times New Roman"/>
          <w:b/>
          <w:bCs/>
          <w:szCs w:val="21"/>
        </w:rPr>
        <w:t>1</w:t>
      </w:r>
      <w:r>
        <w:rPr>
          <w:rFonts w:ascii="Times New Roman" w:hAnsi="Times New Roman" w:cs="Times New Roman"/>
          <w:szCs w:val="21"/>
        </w:rPr>
        <w:t>, 1-10 (2016).</w:t>
      </w:r>
    </w:p>
    <w:p>
      <w:pPr>
        <w:spacing w:line="288" w:lineRule="auto"/>
        <w:rPr>
          <w:rFonts w:ascii="Times New Roman" w:hAnsi="Times New Roman" w:cs="Times New Roman"/>
          <w:iCs/>
          <w:szCs w:val="21"/>
        </w:rPr>
      </w:pPr>
      <w:r>
        <w:rPr>
          <w:rFonts w:ascii="Times New Roman" w:hAnsi="Times New Roman" w:cs="Times New Roman"/>
          <w:szCs w:val="21"/>
        </w:rPr>
        <w:t xml:space="preserve">15. Li, F. L., Shao, Q., Huang, X. </w:t>
      </w:r>
      <w:r>
        <w:rPr>
          <w:rFonts w:hint="eastAsia" w:ascii="Times New Roman" w:hAnsi="Times New Roman"/>
          <w:bCs/>
        </w:rPr>
        <w:t>&amp;</w:t>
      </w:r>
      <w:r>
        <w:rPr>
          <w:rFonts w:hint="eastAsia" w:ascii="Times New Roman" w:hAnsi="Times New Roman" w:cs="Times New Roman"/>
          <w:szCs w:val="21"/>
        </w:rPr>
        <w:t xml:space="preserve"> </w:t>
      </w:r>
      <w:r>
        <w:rPr>
          <w:rFonts w:ascii="Times New Roman" w:hAnsi="Times New Roman" w:cs="Times New Roman"/>
          <w:szCs w:val="21"/>
        </w:rPr>
        <w:t>Lang, J. P. Nanoscale trimetallic metal-organic frameworks enable efficient oxygen evolution electrocatalysis.</w:t>
      </w:r>
      <w:r>
        <w:rPr>
          <w:rFonts w:ascii="Times New Roman" w:hAnsi="Times New Roman" w:cs="Times New Roman"/>
          <w:kern w:val="0"/>
          <w:szCs w:val="21"/>
        </w:rPr>
        <w:t xml:space="preserve"> </w:t>
      </w:r>
      <w:r>
        <w:rPr>
          <w:rFonts w:ascii="Times New Roman" w:hAnsi="Times New Roman" w:cs="Times New Roman"/>
          <w:i/>
          <w:kern w:val="0"/>
          <w:szCs w:val="21"/>
        </w:rPr>
        <w:t xml:space="preserve">Angew. Chem. Int. Ed. </w:t>
      </w:r>
      <w:r>
        <w:rPr>
          <w:rFonts w:ascii="Times New Roman" w:hAnsi="Times New Roman" w:cs="Times New Roman"/>
          <w:b/>
          <w:bCs/>
          <w:iCs/>
          <w:kern w:val="0"/>
          <w:szCs w:val="21"/>
        </w:rPr>
        <w:t>130</w:t>
      </w:r>
      <w:r>
        <w:rPr>
          <w:rFonts w:ascii="Times New Roman" w:hAnsi="Times New Roman" w:cs="Times New Roman"/>
          <w:iCs/>
          <w:kern w:val="0"/>
          <w:szCs w:val="21"/>
        </w:rPr>
        <w:t>, 1906-1910 (2018).</w:t>
      </w:r>
    </w:p>
    <w:p>
      <w:pPr>
        <w:pStyle w:val="18"/>
        <w:spacing w:line="288" w:lineRule="auto"/>
        <w:ind w:firstLine="0" w:firstLineChars="0"/>
        <w:rPr>
          <w:rFonts w:ascii="Times New Roman" w:hAnsi="Times New Roman"/>
          <w:bCs/>
          <w:iCs/>
        </w:rPr>
      </w:pPr>
      <w:r>
        <w:rPr>
          <w:rFonts w:ascii="Times New Roman" w:hAnsi="Times New Roman"/>
          <w:bCs/>
          <w:iCs/>
        </w:rPr>
        <w:t>16. Li, G.</w:t>
      </w:r>
      <w:r>
        <w:rPr>
          <w:rFonts w:hint="eastAsia" w:ascii="Times New Roman" w:hAnsi="Times New Roman"/>
          <w:bCs/>
          <w:iCs/>
        </w:rPr>
        <w:t>,</w:t>
      </w:r>
      <w:r>
        <w:rPr>
          <w:rFonts w:ascii="Times New Roman" w:hAnsi="Times New Roman"/>
          <w:bCs/>
          <w:iCs/>
        </w:rPr>
        <w:t xml:space="preserve"> Anderson, L., Chen, Y., Pan, M. </w:t>
      </w:r>
      <w:r>
        <w:rPr>
          <w:rFonts w:hint="eastAsia" w:ascii="Times New Roman" w:hAnsi="Times New Roman"/>
          <w:bCs/>
        </w:rPr>
        <w:t>&amp;</w:t>
      </w:r>
      <w:r>
        <w:rPr>
          <w:rFonts w:hint="eastAsia" w:ascii="Times New Roman" w:hAnsi="Times New Roman"/>
          <w:bCs/>
          <w:iCs/>
        </w:rPr>
        <w:t xml:space="preserve"> </w:t>
      </w:r>
      <w:r>
        <w:rPr>
          <w:rFonts w:ascii="Times New Roman" w:hAnsi="Times New Roman"/>
          <w:bCs/>
          <w:iCs/>
        </w:rPr>
        <w:t>Chuang, P.Y.A. New insights into evaluating catalyst activity and stability for oxygen evolution reactions in alkaline media.</w:t>
      </w:r>
      <w:r>
        <w:rPr>
          <w:rFonts w:ascii="Times New Roman" w:hAnsi="Times New Roman"/>
          <w:bCs/>
          <w:i/>
          <w:iCs/>
        </w:rPr>
        <w:t xml:space="preserve"> Sustain. Energy Fuels </w:t>
      </w:r>
      <w:r>
        <w:rPr>
          <w:rFonts w:ascii="Times New Roman" w:hAnsi="Times New Roman"/>
          <w:b/>
          <w:bCs/>
          <w:iCs/>
        </w:rPr>
        <w:t>2</w:t>
      </w:r>
      <w:r>
        <w:rPr>
          <w:rFonts w:ascii="Times New Roman" w:hAnsi="Times New Roman"/>
          <w:bCs/>
          <w:iCs/>
        </w:rPr>
        <w:t>,</w:t>
      </w:r>
      <w:r>
        <w:rPr>
          <w:rFonts w:ascii="Times New Roman" w:hAnsi="Times New Roman"/>
          <w:bCs/>
          <w:i/>
          <w:iCs/>
        </w:rPr>
        <w:t xml:space="preserve"> </w:t>
      </w:r>
      <w:r>
        <w:rPr>
          <w:rFonts w:ascii="Times New Roman" w:hAnsi="Times New Roman"/>
          <w:bCs/>
          <w:iCs/>
        </w:rPr>
        <w:t>237-251 (2018).</w:t>
      </w:r>
    </w:p>
    <w:p>
      <w:pPr>
        <w:pStyle w:val="18"/>
        <w:spacing w:line="288" w:lineRule="auto"/>
        <w:ind w:firstLine="0" w:firstLineChars="0"/>
        <w:rPr>
          <w:rFonts w:ascii="Times New Roman" w:hAnsi="Times New Roman"/>
          <w:bCs/>
          <w:i/>
          <w:iCs/>
        </w:rPr>
      </w:pPr>
      <w:r>
        <w:rPr>
          <w:rFonts w:ascii="Times New Roman" w:hAnsi="Times New Roman"/>
          <w:bCs/>
          <w:iCs/>
        </w:rPr>
        <w:t>17. Brug, G. J.</w:t>
      </w:r>
      <w:r>
        <w:rPr>
          <w:rFonts w:hint="eastAsia" w:ascii="Times New Roman" w:hAnsi="Times New Roman"/>
          <w:bCs/>
          <w:iCs/>
        </w:rPr>
        <w:t>,</w:t>
      </w:r>
      <w:r>
        <w:rPr>
          <w:rFonts w:ascii="Times New Roman" w:hAnsi="Times New Roman"/>
          <w:bCs/>
          <w:iCs/>
        </w:rPr>
        <w:t xml:space="preserve"> van den Eeden, A. L. G., Sluyters-Rehbach, M. </w:t>
      </w:r>
      <w:r>
        <w:rPr>
          <w:rFonts w:hint="eastAsia" w:ascii="Times New Roman" w:hAnsi="Times New Roman"/>
          <w:bCs/>
        </w:rPr>
        <w:t>&amp;</w:t>
      </w:r>
      <w:r>
        <w:rPr>
          <w:rFonts w:hint="eastAsia" w:ascii="Times New Roman" w:hAnsi="Times New Roman"/>
          <w:bCs/>
          <w:iCs/>
        </w:rPr>
        <w:t xml:space="preserve"> </w:t>
      </w:r>
      <w:r>
        <w:rPr>
          <w:rFonts w:ascii="Times New Roman" w:hAnsi="Times New Roman"/>
          <w:bCs/>
          <w:iCs/>
        </w:rPr>
        <w:t xml:space="preserve">Sluyters, J. H. The analysis of electrode impedances complicated by the presence of a constant phase element. </w:t>
      </w:r>
      <w:r>
        <w:rPr>
          <w:rFonts w:ascii="Times New Roman" w:hAnsi="Times New Roman"/>
          <w:bCs/>
          <w:i/>
          <w:iCs/>
        </w:rPr>
        <w:t>J. Electroanal. Chem. Interfacial Electrochem.</w:t>
      </w:r>
      <w:r>
        <w:rPr>
          <w:rFonts w:ascii="Times New Roman" w:hAnsi="Times New Roman"/>
          <w:b/>
          <w:bCs/>
          <w:iCs/>
        </w:rPr>
        <w:t xml:space="preserve"> 176</w:t>
      </w:r>
      <w:r>
        <w:rPr>
          <w:rFonts w:ascii="Times New Roman" w:hAnsi="Times New Roman"/>
          <w:bCs/>
          <w:iCs/>
        </w:rPr>
        <w:t>, 275-295 (1984).</w:t>
      </w:r>
    </w:p>
    <w:p>
      <w:pPr>
        <w:pStyle w:val="18"/>
        <w:spacing w:line="288" w:lineRule="auto"/>
        <w:ind w:firstLine="0" w:firstLineChars="0"/>
        <w:rPr>
          <w:rFonts w:ascii="Times New Roman" w:hAnsi="Times New Roman"/>
          <w:bCs/>
          <w:iCs/>
        </w:rPr>
      </w:pPr>
      <w:r>
        <w:rPr>
          <w:rFonts w:ascii="Times New Roman" w:hAnsi="Times New Roman"/>
          <w:bCs/>
          <w:iCs/>
        </w:rPr>
        <w:t>18. Hirschorn</w:t>
      </w:r>
      <w:r>
        <w:rPr>
          <w:rFonts w:hint="eastAsia" w:ascii="Times New Roman" w:hAnsi="Times New Roman"/>
          <w:bCs/>
          <w:iCs/>
          <w:lang w:val="en-US" w:eastAsia="zh-CN"/>
        </w:rPr>
        <w:t>, B.</w:t>
      </w:r>
      <w:r>
        <w:rPr>
          <w:rFonts w:ascii="Times New Roman" w:hAnsi="Times New Roman"/>
          <w:bCs/>
          <w:iCs/>
        </w:rPr>
        <w:t xml:space="preserve"> et al. Determination of effective capacitance and film thickness from constant-phase-element parameters.</w:t>
      </w:r>
      <w:r>
        <w:rPr>
          <w:rFonts w:ascii="Times New Roman" w:hAnsi="Times New Roman"/>
          <w:bCs/>
          <w:i/>
          <w:iCs/>
        </w:rPr>
        <w:t xml:space="preserve"> Electrochim. Acta </w:t>
      </w:r>
      <w:r>
        <w:rPr>
          <w:rFonts w:ascii="Times New Roman" w:hAnsi="Times New Roman"/>
          <w:b/>
          <w:bCs/>
          <w:iCs/>
        </w:rPr>
        <w:t>55</w:t>
      </w:r>
      <w:r>
        <w:rPr>
          <w:rFonts w:ascii="Times New Roman" w:hAnsi="Times New Roman"/>
          <w:bCs/>
          <w:iCs/>
        </w:rPr>
        <w:t>, 6218-6227 (2010).</w:t>
      </w:r>
    </w:p>
    <w:p>
      <w:pPr>
        <w:pStyle w:val="18"/>
        <w:spacing w:line="288" w:lineRule="auto"/>
        <w:ind w:firstLine="0" w:firstLineChars="0"/>
        <w:rPr>
          <w:rFonts w:ascii="Times New Roman" w:hAnsi="Times New Roman"/>
          <w:bCs/>
        </w:rPr>
      </w:pPr>
      <w:r>
        <w:rPr>
          <w:rFonts w:ascii="Times New Roman" w:hAnsi="Times New Roman"/>
          <w:bCs/>
        </w:rPr>
        <w:t>19. Alobaid,</w:t>
      </w:r>
      <w:r>
        <w:rPr>
          <w:rFonts w:hint="eastAsia" w:ascii="Times New Roman" w:hAnsi="Times New Roman"/>
          <w:bCs/>
          <w:lang w:val="en-US" w:eastAsia="zh-CN"/>
        </w:rPr>
        <w:t xml:space="preserve"> A.,</w:t>
      </w:r>
      <w:r>
        <w:rPr>
          <w:rFonts w:ascii="Times New Roman" w:hAnsi="Times New Roman"/>
          <w:bCs/>
        </w:rPr>
        <w:t xml:space="preserve"> Wang,</w:t>
      </w:r>
      <w:r>
        <w:rPr>
          <w:rFonts w:hint="eastAsia" w:ascii="Times New Roman" w:hAnsi="Times New Roman"/>
          <w:bCs/>
          <w:lang w:val="en-US" w:eastAsia="zh-CN"/>
        </w:rPr>
        <w:t xml:space="preserve"> </w:t>
      </w:r>
      <w:r>
        <w:rPr>
          <w:rFonts w:ascii="Times New Roman" w:hAnsi="Times New Roman"/>
          <w:bCs/>
        </w:rPr>
        <w:t xml:space="preserve">C. </w:t>
      </w:r>
      <w:r>
        <w:rPr>
          <w:rFonts w:hint="eastAsia" w:ascii="Times New Roman" w:hAnsi="Times New Roman"/>
          <w:bCs/>
        </w:rPr>
        <w:t xml:space="preserve">&amp; </w:t>
      </w:r>
      <w:r>
        <w:rPr>
          <w:rFonts w:ascii="Times New Roman" w:hAnsi="Times New Roman"/>
          <w:bCs/>
        </w:rPr>
        <w:t>Adomaitis, R. A. Mechanism and kinetics of HER and OER on NiFe LDH films in an alkaline electrolyte.</w:t>
      </w:r>
      <w:r>
        <w:rPr>
          <w:rFonts w:ascii="Times New Roman" w:hAnsi="Times New Roman"/>
          <w:bCs/>
          <w:i/>
        </w:rPr>
        <w:t xml:space="preserve"> J. Electrochem. Soc.</w:t>
      </w:r>
      <w:r>
        <w:rPr>
          <w:rFonts w:ascii="Times New Roman" w:hAnsi="Times New Roman"/>
          <w:bCs/>
          <w:i/>
          <w:iCs/>
        </w:rPr>
        <w:t xml:space="preserve"> </w:t>
      </w:r>
      <w:r>
        <w:rPr>
          <w:rFonts w:ascii="Times New Roman" w:hAnsi="Times New Roman"/>
          <w:b/>
          <w:bCs/>
          <w:iCs/>
        </w:rPr>
        <w:t>165</w:t>
      </w:r>
      <w:r>
        <w:rPr>
          <w:rFonts w:ascii="Times New Roman" w:hAnsi="Times New Roman"/>
          <w:bCs/>
          <w:iCs/>
        </w:rPr>
        <w:t>, J3395-J3404 (2018).</w:t>
      </w:r>
    </w:p>
    <w:p>
      <w:pPr>
        <w:pStyle w:val="18"/>
        <w:spacing w:line="288" w:lineRule="auto"/>
        <w:ind w:firstLine="0" w:firstLineChars="0"/>
        <w:rPr>
          <w:rFonts w:ascii="Times New Roman" w:hAnsi="Times New Roman"/>
          <w:bCs/>
        </w:rPr>
      </w:pPr>
      <w:r>
        <w:rPr>
          <w:rFonts w:ascii="Times New Roman" w:hAnsi="Times New Roman"/>
          <w:bCs/>
        </w:rPr>
        <w:t>20. Hao</w:t>
      </w:r>
      <w:r>
        <w:rPr>
          <w:rFonts w:hint="eastAsia" w:ascii="Times New Roman" w:hAnsi="Times New Roman"/>
          <w:bCs/>
        </w:rPr>
        <w:t>,</w:t>
      </w:r>
      <w:r>
        <w:rPr>
          <w:rFonts w:ascii="Times New Roman" w:hAnsi="Times New Roman"/>
          <w:bCs/>
        </w:rPr>
        <w:t xml:space="preserve"> M. et al. Vertically aligned Ni nanowires as a platform for kinetically limited water-splitting electrocatalysis. </w:t>
      </w:r>
      <w:r>
        <w:rPr>
          <w:rFonts w:ascii="Times New Roman" w:hAnsi="Times New Roman"/>
          <w:bCs/>
          <w:i/>
        </w:rPr>
        <w:t>J. Phys. Chem. C</w:t>
      </w:r>
      <w:r>
        <w:rPr>
          <w:rFonts w:ascii="Times New Roman" w:hAnsi="Times New Roman"/>
        </w:rPr>
        <w:t xml:space="preserve"> </w:t>
      </w:r>
      <w:r>
        <w:rPr>
          <w:rFonts w:ascii="Times New Roman" w:hAnsi="Times New Roman"/>
          <w:b/>
        </w:rPr>
        <w:t>123</w:t>
      </w:r>
      <w:r>
        <w:rPr>
          <w:rFonts w:ascii="Times New Roman" w:hAnsi="Times New Roman"/>
        </w:rPr>
        <w:t xml:space="preserve">, </w:t>
      </w:r>
      <w:r>
        <w:rPr>
          <w:rFonts w:ascii="Times New Roman" w:hAnsi="Times New Roman"/>
          <w:bCs/>
        </w:rPr>
        <w:t>1082-1093 (2019).</w:t>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C00ED4"/>
    <w:multiLevelType w:val="singleLevel"/>
    <w:tmpl w:val="70C00ED4"/>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7"/>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c1ODliMzUwYjgzZDEwYTYxZGM5NWYwODI5MjdjODYifQ=="/>
  </w:docVars>
  <w:rsids>
    <w:rsidRoot w:val="00315352"/>
    <w:rsid w:val="000129B5"/>
    <w:rsid w:val="00016E1C"/>
    <w:rsid w:val="0001774C"/>
    <w:rsid w:val="00020AF5"/>
    <w:rsid w:val="0002333E"/>
    <w:rsid w:val="0003289C"/>
    <w:rsid w:val="0005180F"/>
    <w:rsid w:val="000563C5"/>
    <w:rsid w:val="00063795"/>
    <w:rsid w:val="000639A5"/>
    <w:rsid w:val="00077451"/>
    <w:rsid w:val="00080159"/>
    <w:rsid w:val="00082BF2"/>
    <w:rsid w:val="00082D82"/>
    <w:rsid w:val="0008788E"/>
    <w:rsid w:val="00090D16"/>
    <w:rsid w:val="000B21CD"/>
    <w:rsid w:val="000B5A96"/>
    <w:rsid w:val="000D30F5"/>
    <w:rsid w:val="000D46DE"/>
    <w:rsid w:val="000E0353"/>
    <w:rsid w:val="000E6FB4"/>
    <w:rsid w:val="000F33EB"/>
    <w:rsid w:val="00116B37"/>
    <w:rsid w:val="00121A85"/>
    <w:rsid w:val="00123E6B"/>
    <w:rsid w:val="00127D74"/>
    <w:rsid w:val="0013015D"/>
    <w:rsid w:val="0013198D"/>
    <w:rsid w:val="00137DAF"/>
    <w:rsid w:val="00147EFF"/>
    <w:rsid w:val="001636CC"/>
    <w:rsid w:val="0016603B"/>
    <w:rsid w:val="001707F2"/>
    <w:rsid w:val="00173119"/>
    <w:rsid w:val="0018063D"/>
    <w:rsid w:val="00192B6A"/>
    <w:rsid w:val="00194416"/>
    <w:rsid w:val="001A1475"/>
    <w:rsid w:val="001A20B5"/>
    <w:rsid w:val="001A5A9A"/>
    <w:rsid w:val="001A71A4"/>
    <w:rsid w:val="001A723D"/>
    <w:rsid w:val="001B0F40"/>
    <w:rsid w:val="001C5C3D"/>
    <w:rsid w:val="001D1054"/>
    <w:rsid w:val="001E40E2"/>
    <w:rsid w:val="001F681E"/>
    <w:rsid w:val="0020001F"/>
    <w:rsid w:val="00207786"/>
    <w:rsid w:val="002106B9"/>
    <w:rsid w:val="0022235F"/>
    <w:rsid w:val="0023153F"/>
    <w:rsid w:val="00232D70"/>
    <w:rsid w:val="00240A80"/>
    <w:rsid w:val="00250C3D"/>
    <w:rsid w:val="00252A13"/>
    <w:rsid w:val="002544EC"/>
    <w:rsid w:val="00265BDE"/>
    <w:rsid w:val="00266CB2"/>
    <w:rsid w:val="002920E5"/>
    <w:rsid w:val="0029605D"/>
    <w:rsid w:val="002A1B7B"/>
    <w:rsid w:val="002A1DA2"/>
    <w:rsid w:val="002B7681"/>
    <w:rsid w:val="002C0C1E"/>
    <w:rsid w:val="002C1CDA"/>
    <w:rsid w:val="002F5D2D"/>
    <w:rsid w:val="00306D1A"/>
    <w:rsid w:val="00307927"/>
    <w:rsid w:val="00307A3D"/>
    <w:rsid w:val="003134F4"/>
    <w:rsid w:val="00314E15"/>
    <w:rsid w:val="00315352"/>
    <w:rsid w:val="003216BE"/>
    <w:rsid w:val="0032419A"/>
    <w:rsid w:val="00330F86"/>
    <w:rsid w:val="003368C1"/>
    <w:rsid w:val="00337BD9"/>
    <w:rsid w:val="00350A03"/>
    <w:rsid w:val="00353776"/>
    <w:rsid w:val="00360623"/>
    <w:rsid w:val="00361D04"/>
    <w:rsid w:val="0037109F"/>
    <w:rsid w:val="00383929"/>
    <w:rsid w:val="00385572"/>
    <w:rsid w:val="00390D2F"/>
    <w:rsid w:val="00394ACE"/>
    <w:rsid w:val="003A094C"/>
    <w:rsid w:val="003A7D7C"/>
    <w:rsid w:val="003B145F"/>
    <w:rsid w:val="003B26C2"/>
    <w:rsid w:val="003C4C6F"/>
    <w:rsid w:val="003D5CDA"/>
    <w:rsid w:val="003D739B"/>
    <w:rsid w:val="003E5843"/>
    <w:rsid w:val="003F53B0"/>
    <w:rsid w:val="003F58D8"/>
    <w:rsid w:val="00400AC6"/>
    <w:rsid w:val="004107D8"/>
    <w:rsid w:val="00413EF0"/>
    <w:rsid w:val="0041529D"/>
    <w:rsid w:val="00417C37"/>
    <w:rsid w:val="00436D61"/>
    <w:rsid w:val="004434A7"/>
    <w:rsid w:val="00445793"/>
    <w:rsid w:val="00447927"/>
    <w:rsid w:val="00451963"/>
    <w:rsid w:val="0045513C"/>
    <w:rsid w:val="004556DC"/>
    <w:rsid w:val="0046275A"/>
    <w:rsid w:val="004737DC"/>
    <w:rsid w:val="0048080E"/>
    <w:rsid w:val="004827D5"/>
    <w:rsid w:val="004843E8"/>
    <w:rsid w:val="00494EF8"/>
    <w:rsid w:val="004960F9"/>
    <w:rsid w:val="0049638B"/>
    <w:rsid w:val="004A0F7A"/>
    <w:rsid w:val="004A64A9"/>
    <w:rsid w:val="004C3025"/>
    <w:rsid w:val="004C42CD"/>
    <w:rsid w:val="004C47AE"/>
    <w:rsid w:val="004D0F02"/>
    <w:rsid w:val="004E1FD7"/>
    <w:rsid w:val="004E58A8"/>
    <w:rsid w:val="004F1995"/>
    <w:rsid w:val="0051245C"/>
    <w:rsid w:val="005135EF"/>
    <w:rsid w:val="0052636C"/>
    <w:rsid w:val="005307C8"/>
    <w:rsid w:val="00537F6F"/>
    <w:rsid w:val="005500F3"/>
    <w:rsid w:val="00553EA3"/>
    <w:rsid w:val="00562960"/>
    <w:rsid w:val="00565149"/>
    <w:rsid w:val="00566D84"/>
    <w:rsid w:val="005B57A4"/>
    <w:rsid w:val="005B717A"/>
    <w:rsid w:val="005C515B"/>
    <w:rsid w:val="005D50B1"/>
    <w:rsid w:val="005D7B30"/>
    <w:rsid w:val="005E153C"/>
    <w:rsid w:val="005F0A19"/>
    <w:rsid w:val="005F5AF3"/>
    <w:rsid w:val="0060236B"/>
    <w:rsid w:val="006127F8"/>
    <w:rsid w:val="00634941"/>
    <w:rsid w:val="006464F0"/>
    <w:rsid w:val="00646E4F"/>
    <w:rsid w:val="00652CC7"/>
    <w:rsid w:val="006536A0"/>
    <w:rsid w:val="00654187"/>
    <w:rsid w:val="0065600A"/>
    <w:rsid w:val="00656F03"/>
    <w:rsid w:val="00674624"/>
    <w:rsid w:val="00674881"/>
    <w:rsid w:val="006831C2"/>
    <w:rsid w:val="0069052C"/>
    <w:rsid w:val="0069066B"/>
    <w:rsid w:val="0069176B"/>
    <w:rsid w:val="00694D5E"/>
    <w:rsid w:val="006A1BD6"/>
    <w:rsid w:val="006B3DC9"/>
    <w:rsid w:val="006C1817"/>
    <w:rsid w:val="006C3E23"/>
    <w:rsid w:val="006D5C37"/>
    <w:rsid w:val="006E0EAB"/>
    <w:rsid w:val="006E3AA0"/>
    <w:rsid w:val="006E3FE8"/>
    <w:rsid w:val="006E5163"/>
    <w:rsid w:val="00700B03"/>
    <w:rsid w:val="00710B34"/>
    <w:rsid w:val="0072231C"/>
    <w:rsid w:val="00744ACC"/>
    <w:rsid w:val="007559B6"/>
    <w:rsid w:val="00760F9F"/>
    <w:rsid w:val="0076468C"/>
    <w:rsid w:val="00780BF0"/>
    <w:rsid w:val="0078582D"/>
    <w:rsid w:val="007878B2"/>
    <w:rsid w:val="0079125B"/>
    <w:rsid w:val="00794014"/>
    <w:rsid w:val="00797665"/>
    <w:rsid w:val="007A0106"/>
    <w:rsid w:val="007A6123"/>
    <w:rsid w:val="007C094A"/>
    <w:rsid w:val="007C4996"/>
    <w:rsid w:val="007D0DFF"/>
    <w:rsid w:val="007D70E9"/>
    <w:rsid w:val="007E5ACC"/>
    <w:rsid w:val="007E5DCA"/>
    <w:rsid w:val="007E7660"/>
    <w:rsid w:val="007F2DAC"/>
    <w:rsid w:val="007F34C6"/>
    <w:rsid w:val="007F5DCB"/>
    <w:rsid w:val="007F6893"/>
    <w:rsid w:val="0080223A"/>
    <w:rsid w:val="0080637B"/>
    <w:rsid w:val="0081266F"/>
    <w:rsid w:val="008158CA"/>
    <w:rsid w:val="00827D4E"/>
    <w:rsid w:val="008372DE"/>
    <w:rsid w:val="00837B15"/>
    <w:rsid w:val="008410FE"/>
    <w:rsid w:val="00847285"/>
    <w:rsid w:val="00847414"/>
    <w:rsid w:val="00850CB9"/>
    <w:rsid w:val="00851548"/>
    <w:rsid w:val="008516F4"/>
    <w:rsid w:val="00864A96"/>
    <w:rsid w:val="00864E0C"/>
    <w:rsid w:val="008712FB"/>
    <w:rsid w:val="0087352A"/>
    <w:rsid w:val="0087603D"/>
    <w:rsid w:val="00883DCB"/>
    <w:rsid w:val="00884616"/>
    <w:rsid w:val="0089266D"/>
    <w:rsid w:val="0089270B"/>
    <w:rsid w:val="00892AAA"/>
    <w:rsid w:val="00896D32"/>
    <w:rsid w:val="008A3E02"/>
    <w:rsid w:val="008B2696"/>
    <w:rsid w:val="008B3CC6"/>
    <w:rsid w:val="008B3CDD"/>
    <w:rsid w:val="008C2490"/>
    <w:rsid w:val="008C6256"/>
    <w:rsid w:val="008C73BF"/>
    <w:rsid w:val="008E1EF8"/>
    <w:rsid w:val="008E3C46"/>
    <w:rsid w:val="008F2615"/>
    <w:rsid w:val="008F551B"/>
    <w:rsid w:val="00902754"/>
    <w:rsid w:val="00922501"/>
    <w:rsid w:val="00930DD0"/>
    <w:rsid w:val="00936679"/>
    <w:rsid w:val="009453C6"/>
    <w:rsid w:val="00954785"/>
    <w:rsid w:val="00956986"/>
    <w:rsid w:val="009666FC"/>
    <w:rsid w:val="00974F63"/>
    <w:rsid w:val="00977475"/>
    <w:rsid w:val="009811FB"/>
    <w:rsid w:val="00994A25"/>
    <w:rsid w:val="009A2E13"/>
    <w:rsid w:val="009A58EF"/>
    <w:rsid w:val="009A795E"/>
    <w:rsid w:val="009B192A"/>
    <w:rsid w:val="009C2F44"/>
    <w:rsid w:val="009D195C"/>
    <w:rsid w:val="009D526D"/>
    <w:rsid w:val="009E1368"/>
    <w:rsid w:val="009F1687"/>
    <w:rsid w:val="009F552F"/>
    <w:rsid w:val="00A01F0F"/>
    <w:rsid w:val="00A11A7B"/>
    <w:rsid w:val="00A3270D"/>
    <w:rsid w:val="00A36E86"/>
    <w:rsid w:val="00A37C29"/>
    <w:rsid w:val="00A462F2"/>
    <w:rsid w:val="00A5603B"/>
    <w:rsid w:val="00A64E50"/>
    <w:rsid w:val="00A654F9"/>
    <w:rsid w:val="00A93D77"/>
    <w:rsid w:val="00A95014"/>
    <w:rsid w:val="00AA10BF"/>
    <w:rsid w:val="00AA316D"/>
    <w:rsid w:val="00AA4ED5"/>
    <w:rsid w:val="00AB14C1"/>
    <w:rsid w:val="00AD7B21"/>
    <w:rsid w:val="00AE2796"/>
    <w:rsid w:val="00AE6DCB"/>
    <w:rsid w:val="00AE7A54"/>
    <w:rsid w:val="00AF0E4E"/>
    <w:rsid w:val="00AF121E"/>
    <w:rsid w:val="00AF5681"/>
    <w:rsid w:val="00B03583"/>
    <w:rsid w:val="00B07DCD"/>
    <w:rsid w:val="00B13D1E"/>
    <w:rsid w:val="00B151C8"/>
    <w:rsid w:val="00B16D3A"/>
    <w:rsid w:val="00B23ADF"/>
    <w:rsid w:val="00B351FB"/>
    <w:rsid w:val="00B36CE7"/>
    <w:rsid w:val="00B47CEE"/>
    <w:rsid w:val="00B523FF"/>
    <w:rsid w:val="00B915CF"/>
    <w:rsid w:val="00B97F6A"/>
    <w:rsid w:val="00BA0604"/>
    <w:rsid w:val="00BA1206"/>
    <w:rsid w:val="00BC5292"/>
    <w:rsid w:val="00BC58A9"/>
    <w:rsid w:val="00BC693E"/>
    <w:rsid w:val="00BD64EB"/>
    <w:rsid w:val="00C00458"/>
    <w:rsid w:val="00C06B68"/>
    <w:rsid w:val="00C14EFA"/>
    <w:rsid w:val="00C17A4A"/>
    <w:rsid w:val="00C17C80"/>
    <w:rsid w:val="00C24897"/>
    <w:rsid w:val="00C30C35"/>
    <w:rsid w:val="00C320A2"/>
    <w:rsid w:val="00C34F7C"/>
    <w:rsid w:val="00C44EC0"/>
    <w:rsid w:val="00C4510A"/>
    <w:rsid w:val="00C53BB7"/>
    <w:rsid w:val="00C55177"/>
    <w:rsid w:val="00C55C7F"/>
    <w:rsid w:val="00C77E68"/>
    <w:rsid w:val="00C82471"/>
    <w:rsid w:val="00C86810"/>
    <w:rsid w:val="00C939C7"/>
    <w:rsid w:val="00C95D4E"/>
    <w:rsid w:val="00CA6AA7"/>
    <w:rsid w:val="00CB07DB"/>
    <w:rsid w:val="00CC3ADC"/>
    <w:rsid w:val="00CC3C62"/>
    <w:rsid w:val="00CC538D"/>
    <w:rsid w:val="00CD640D"/>
    <w:rsid w:val="00CE0D87"/>
    <w:rsid w:val="00CE3464"/>
    <w:rsid w:val="00CE7131"/>
    <w:rsid w:val="00CF3003"/>
    <w:rsid w:val="00CF4B36"/>
    <w:rsid w:val="00D0485F"/>
    <w:rsid w:val="00D07401"/>
    <w:rsid w:val="00D10A32"/>
    <w:rsid w:val="00D1502C"/>
    <w:rsid w:val="00D16B3B"/>
    <w:rsid w:val="00D302A3"/>
    <w:rsid w:val="00D45B75"/>
    <w:rsid w:val="00D50ABE"/>
    <w:rsid w:val="00D57883"/>
    <w:rsid w:val="00D6248F"/>
    <w:rsid w:val="00D67A5D"/>
    <w:rsid w:val="00D70336"/>
    <w:rsid w:val="00D84A10"/>
    <w:rsid w:val="00D925F4"/>
    <w:rsid w:val="00DA29B1"/>
    <w:rsid w:val="00DA4AC8"/>
    <w:rsid w:val="00DA7103"/>
    <w:rsid w:val="00DB1601"/>
    <w:rsid w:val="00DB2FB4"/>
    <w:rsid w:val="00DB7BE1"/>
    <w:rsid w:val="00DC0E17"/>
    <w:rsid w:val="00DC2BF7"/>
    <w:rsid w:val="00DD3FDE"/>
    <w:rsid w:val="00DE3F5F"/>
    <w:rsid w:val="00DE7A8A"/>
    <w:rsid w:val="00DF0596"/>
    <w:rsid w:val="00DF064C"/>
    <w:rsid w:val="00DF4873"/>
    <w:rsid w:val="00DF6130"/>
    <w:rsid w:val="00DF676F"/>
    <w:rsid w:val="00E01C06"/>
    <w:rsid w:val="00E04225"/>
    <w:rsid w:val="00E1221B"/>
    <w:rsid w:val="00E209C6"/>
    <w:rsid w:val="00E22504"/>
    <w:rsid w:val="00E275E7"/>
    <w:rsid w:val="00E30DC1"/>
    <w:rsid w:val="00E358C6"/>
    <w:rsid w:val="00E40A72"/>
    <w:rsid w:val="00E421A6"/>
    <w:rsid w:val="00E45CF0"/>
    <w:rsid w:val="00E55CAD"/>
    <w:rsid w:val="00E60D1A"/>
    <w:rsid w:val="00E61AE6"/>
    <w:rsid w:val="00E645C2"/>
    <w:rsid w:val="00E67543"/>
    <w:rsid w:val="00E679A7"/>
    <w:rsid w:val="00E731F8"/>
    <w:rsid w:val="00E77D15"/>
    <w:rsid w:val="00E82E9E"/>
    <w:rsid w:val="00ED056E"/>
    <w:rsid w:val="00EE34B3"/>
    <w:rsid w:val="00F00584"/>
    <w:rsid w:val="00F07257"/>
    <w:rsid w:val="00F077AE"/>
    <w:rsid w:val="00F16A45"/>
    <w:rsid w:val="00F23CDB"/>
    <w:rsid w:val="00F26015"/>
    <w:rsid w:val="00F27BCC"/>
    <w:rsid w:val="00F316A2"/>
    <w:rsid w:val="00F43ECE"/>
    <w:rsid w:val="00F47A78"/>
    <w:rsid w:val="00F57846"/>
    <w:rsid w:val="00F64373"/>
    <w:rsid w:val="00F64D1B"/>
    <w:rsid w:val="00F73B05"/>
    <w:rsid w:val="00F90CCE"/>
    <w:rsid w:val="00F94ED9"/>
    <w:rsid w:val="00F96354"/>
    <w:rsid w:val="00FA0DFC"/>
    <w:rsid w:val="00FA155A"/>
    <w:rsid w:val="00FA4538"/>
    <w:rsid w:val="00FB07F2"/>
    <w:rsid w:val="00FC2FA4"/>
    <w:rsid w:val="00FC6D95"/>
    <w:rsid w:val="00FF2B5E"/>
    <w:rsid w:val="00FF49B1"/>
    <w:rsid w:val="00FF73A0"/>
    <w:rsid w:val="00FF76FD"/>
    <w:rsid w:val="059E36F3"/>
    <w:rsid w:val="07A32B08"/>
    <w:rsid w:val="0BA61553"/>
    <w:rsid w:val="0FE9185F"/>
    <w:rsid w:val="1AFB4FD3"/>
    <w:rsid w:val="23D32F39"/>
    <w:rsid w:val="29945160"/>
    <w:rsid w:val="305F5CA6"/>
    <w:rsid w:val="32B35E5F"/>
    <w:rsid w:val="35B00005"/>
    <w:rsid w:val="3896755E"/>
    <w:rsid w:val="39217A77"/>
    <w:rsid w:val="3A20582D"/>
    <w:rsid w:val="3A765F49"/>
    <w:rsid w:val="3A836A23"/>
    <w:rsid w:val="3A957B25"/>
    <w:rsid w:val="3C395A2A"/>
    <w:rsid w:val="412D7FCB"/>
    <w:rsid w:val="474549F6"/>
    <w:rsid w:val="4CCF4650"/>
    <w:rsid w:val="4E6863A5"/>
    <w:rsid w:val="51B30118"/>
    <w:rsid w:val="52D10EF8"/>
    <w:rsid w:val="54914A8F"/>
    <w:rsid w:val="56B52BD2"/>
    <w:rsid w:val="56B93636"/>
    <w:rsid w:val="570B1AB1"/>
    <w:rsid w:val="58126E6D"/>
    <w:rsid w:val="58657C25"/>
    <w:rsid w:val="5D095CCB"/>
    <w:rsid w:val="5E427B32"/>
    <w:rsid w:val="5F7D7C75"/>
    <w:rsid w:val="603D3A95"/>
    <w:rsid w:val="604277B7"/>
    <w:rsid w:val="604F09E7"/>
    <w:rsid w:val="639E4198"/>
    <w:rsid w:val="681D4CA2"/>
    <w:rsid w:val="6CEB5E53"/>
    <w:rsid w:val="70FD2D5B"/>
    <w:rsid w:val="71285477"/>
    <w:rsid w:val="7590674D"/>
    <w:rsid w:val="76B64D8A"/>
    <w:rsid w:val="77826739"/>
    <w:rsid w:val="79A82C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11">
    <w:name w:val="Default Paragraph Font"/>
    <w:semiHidden/>
    <w:unhideWhenUsed/>
    <w:qFormat/>
    <w:uiPriority w:val="1"/>
  </w:style>
  <w:style w:type="table" w:default="1" w:styleId="10">
    <w:name w:val="Normal Table"/>
    <w:semiHidden/>
    <w:unhideWhenUsed/>
    <w:uiPriority w:val="99"/>
    <w:tblPr>
      <w:tblCellMar>
        <w:top w:w="0" w:type="dxa"/>
        <w:left w:w="108" w:type="dxa"/>
        <w:bottom w:w="0" w:type="dxa"/>
        <w:right w:w="108" w:type="dxa"/>
      </w:tblCellMar>
    </w:tblPr>
  </w:style>
  <w:style w:type="paragraph" w:styleId="2">
    <w:name w:val="annotation text"/>
    <w:basedOn w:val="1"/>
    <w:link w:val="24"/>
    <w:unhideWhenUsed/>
    <w:qFormat/>
    <w:uiPriority w:val="0"/>
    <w:pPr>
      <w:jc w:val="left"/>
    </w:pPr>
  </w:style>
  <w:style w:type="paragraph" w:styleId="3">
    <w:name w:val="Balloon Text"/>
    <w:basedOn w:val="1"/>
    <w:link w:val="23"/>
    <w:semiHidden/>
    <w:unhideWhenUsed/>
    <w:qFormat/>
    <w:uiPriority w:val="99"/>
    <w:rPr>
      <w:sz w:val="18"/>
      <w:szCs w:val="18"/>
    </w:rPr>
  </w:style>
  <w:style w:type="paragraph" w:styleId="4">
    <w:name w:val="footer"/>
    <w:basedOn w:val="1"/>
    <w:link w:val="15"/>
    <w:unhideWhenUsed/>
    <w:qFormat/>
    <w:uiPriority w:val="99"/>
    <w:pPr>
      <w:tabs>
        <w:tab w:val="center" w:pos="4153"/>
        <w:tab w:val="right" w:pos="8306"/>
      </w:tabs>
      <w:snapToGrid w:val="0"/>
      <w:jc w:val="left"/>
    </w:pPr>
    <w:rPr>
      <w:sz w:val="18"/>
      <w:szCs w:val="18"/>
    </w:rPr>
  </w:style>
  <w:style w:type="paragraph" w:styleId="5">
    <w:name w:val="header"/>
    <w:basedOn w:val="1"/>
    <w:link w:val="14"/>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toc 1"/>
    <w:basedOn w:val="1"/>
    <w:next w:val="1"/>
    <w:semiHidden/>
    <w:unhideWhenUsed/>
    <w:uiPriority w:val="39"/>
  </w:style>
  <w:style w:type="paragraph" w:styleId="7">
    <w:name w:val="toc 2"/>
    <w:basedOn w:val="1"/>
    <w:next w:val="1"/>
    <w:semiHidden/>
    <w:unhideWhenUsed/>
    <w:uiPriority w:val="39"/>
    <w:pPr>
      <w:ind w:left="420" w:leftChars="200"/>
    </w:pPr>
  </w:style>
  <w:style w:type="paragraph" w:styleId="8">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9">
    <w:name w:val="annotation subject"/>
    <w:basedOn w:val="2"/>
    <w:next w:val="2"/>
    <w:link w:val="28"/>
    <w:semiHidden/>
    <w:unhideWhenUsed/>
    <w:qFormat/>
    <w:uiPriority w:val="99"/>
    <w:rPr>
      <w:b/>
      <w:bCs/>
    </w:rPr>
  </w:style>
  <w:style w:type="character" w:styleId="12">
    <w:name w:val="Hyperlink"/>
    <w:basedOn w:val="11"/>
    <w:unhideWhenUsed/>
    <w:qFormat/>
    <w:uiPriority w:val="99"/>
    <w:rPr>
      <w:color w:val="0563C1" w:themeColor="hyperlink"/>
      <w:u w:val="single"/>
      <w14:textFill>
        <w14:solidFill>
          <w14:schemeClr w14:val="hlink"/>
        </w14:solidFill>
      </w14:textFill>
    </w:rPr>
  </w:style>
  <w:style w:type="character" w:styleId="13">
    <w:name w:val="annotation reference"/>
    <w:basedOn w:val="11"/>
    <w:semiHidden/>
    <w:unhideWhenUsed/>
    <w:qFormat/>
    <w:uiPriority w:val="99"/>
    <w:rPr>
      <w:sz w:val="21"/>
      <w:szCs w:val="21"/>
    </w:rPr>
  </w:style>
  <w:style w:type="character" w:customStyle="1" w:styleId="14">
    <w:name w:val="页眉 字符"/>
    <w:basedOn w:val="11"/>
    <w:link w:val="5"/>
    <w:qFormat/>
    <w:uiPriority w:val="99"/>
    <w:rPr>
      <w:sz w:val="18"/>
      <w:szCs w:val="18"/>
    </w:rPr>
  </w:style>
  <w:style w:type="character" w:customStyle="1" w:styleId="15">
    <w:name w:val="页脚 字符"/>
    <w:basedOn w:val="11"/>
    <w:link w:val="4"/>
    <w:qFormat/>
    <w:uiPriority w:val="99"/>
    <w:rPr>
      <w:sz w:val="18"/>
      <w:szCs w:val="18"/>
    </w:rPr>
  </w:style>
  <w:style w:type="paragraph" w:customStyle="1" w:styleId="16">
    <w:name w:val="正文1"/>
    <w:qFormat/>
    <w:uiPriority w:val="0"/>
    <w:pPr>
      <w:jc w:val="both"/>
    </w:pPr>
    <w:rPr>
      <w:rFonts w:ascii="Times New Roman" w:hAnsi="Times New Roman" w:eastAsia="宋体" w:cs="Times New Roman"/>
      <w:kern w:val="2"/>
      <w:sz w:val="21"/>
      <w:szCs w:val="21"/>
      <w:lang w:val="en-US" w:eastAsia="zh-CN" w:bidi="ar-SA"/>
    </w:rPr>
  </w:style>
  <w:style w:type="paragraph" w:styleId="17">
    <w:name w:val="List Paragraph"/>
    <w:basedOn w:val="1"/>
    <w:qFormat/>
    <w:uiPriority w:val="99"/>
    <w:pPr>
      <w:ind w:firstLine="420" w:firstLineChars="200"/>
    </w:pPr>
  </w:style>
  <w:style w:type="paragraph" w:customStyle="1" w:styleId="18">
    <w:name w:val="列表段落1"/>
    <w:basedOn w:val="1"/>
    <w:qFormat/>
    <w:uiPriority w:val="0"/>
    <w:pPr>
      <w:ind w:firstLine="420" w:firstLineChars="200"/>
    </w:pPr>
    <w:rPr>
      <w:rFonts w:ascii="等线" w:hAnsi="等线" w:eastAsia="等线" w:cs="Times New Roman"/>
      <w:szCs w:val="21"/>
    </w:rPr>
  </w:style>
  <w:style w:type="paragraph" w:customStyle="1" w:styleId="19">
    <w:name w:val="书目1"/>
    <w:basedOn w:val="1"/>
    <w:next w:val="1"/>
    <w:semiHidden/>
    <w:qFormat/>
    <w:uiPriority w:val="0"/>
    <w:pPr>
      <w:widowControl/>
      <w:spacing w:before="100" w:beforeAutospacing="1" w:after="100" w:afterAutospacing="1"/>
      <w:ind w:left="504" w:hanging="504"/>
      <w:jc w:val="left"/>
    </w:pPr>
    <w:rPr>
      <w:rFonts w:ascii="等线" w:hAnsi="等线" w:eastAsia="等线" w:cs="Times New Roman"/>
      <w:kern w:val="0"/>
      <w:sz w:val="24"/>
      <w:szCs w:val="24"/>
    </w:rPr>
  </w:style>
  <w:style w:type="character" w:styleId="20">
    <w:name w:val="Placeholder Text"/>
    <w:basedOn w:val="11"/>
    <w:semiHidden/>
    <w:qFormat/>
    <w:uiPriority w:val="99"/>
    <w:rPr>
      <w:color w:val="808080"/>
    </w:rPr>
  </w:style>
  <w:style w:type="paragraph" w:customStyle="1" w:styleId="21">
    <w:name w:val="书目2"/>
    <w:basedOn w:val="1"/>
    <w:next w:val="1"/>
    <w:semiHidden/>
    <w:qFormat/>
    <w:uiPriority w:val="0"/>
    <w:pPr>
      <w:widowControl/>
      <w:spacing w:before="100" w:beforeAutospacing="1" w:after="100" w:afterAutospacing="1"/>
      <w:ind w:left="504" w:hanging="504"/>
      <w:jc w:val="left"/>
    </w:pPr>
    <w:rPr>
      <w:rFonts w:ascii="Calibri" w:hAnsi="Calibri" w:eastAsia="等线" w:cs="Times New Roman"/>
      <w:kern w:val="0"/>
      <w:sz w:val="24"/>
      <w:szCs w:val="24"/>
    </w:rPr>
  </w:style>
  <w:style w:type="character" w:customStyle="1" w:styleId="22">
    <w:name w:val="未处理的提及1"/>
    <w:basedOn w:val="11"/>
    <w:semiHidden/>
    <w:unhideWhenUsed/>
    <w:qFormat/>
    <w:uiPriority w:val="99"/>
    <w:rPr>
      <w:color w:val="605E5C"/>
      <w:shd w:val="clear" w:color="auto" w:fill="E1DFDD"/>
    </w:rPr>
  </w:style>
  <w:style w:type="character" w:customStyle="1" w:styleId="23">
    <w:name w:val="批注框文本 字符"/>
    <w:basedOn w:val="11"/>
    <w:link w:val="3"/>
    <w:semiHidden/>
    <w:qFormat/>
    <w:uiPriority w:val="99"/>
    <w:rPr>
      <w:kern w:val="2"/>
      <w:sz w:val="18"/>
      <w:szCs w:val="18"/>
    </w:rPr>
  </w:style>
  <w:style w:type="character" w:customStyle="1" w:styleId="24">
    <w:name w:val="批注文字 字符"/>
    <w:basedOn w:val="11"/>
    <w:link w:val="2"/>
    <w:qFormat/>
    <w:uiPriority w:val="0"/>
    <w:rPr>
      <w:kern w:val="2"/>
      <w:sz w:val="21"/>
      <w:szCs w:val="22"/>
    </w:rPr>
  </w:style>
  <w:style w:type="character" w:customStyle="1" w:styleId="25">
    <w:name w:val="未处理的提及2"/>
    <w:basedOn w:val="11"/>
    <w:semiHidden/>
    <w:unhideWhenUsed/>
    <w:qFormat/>
    <w:uiPriority w:val="99"/>
    <w:rPr>
      <w:color w:val="605E5C"/>
      <w:shd w:val="clear" w:color="auto" w:fill="E1DFDD"/>
    </w:rPr>
  </w:style>
  <w:style w:type="paragraph" w:customStyle="1" w:styleId="26">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27">
    <w:name w:val="WPSOffice手动目录 1"/>
    <w:qFormat/>
    <w:uiPriority w:val="0"/>
    <w:rPr>
      <w:rFonts w:asciiTheme="minorHAnsi" w:hAnsiTheme="minorHAnsi" w:eastAsiaTheme="minorEastAsia" w:cstheme="minorBidi"/>
      <w:lang w:val="en-US" w:eastAsia="zh-CN" w:bidi="ar-SA"/>
    </w:rPr>
  </w:style>
  <w:style w:type="character" w:customStyle="1" w:styleId="28">
    <w:name w:val="批注主题 字符"/>
    <w:basedOn w:val="24"/>
    <w:link w:val="9"/>
    <w:semiHidden/>
    <w:qFormat/>
    <w:uiPriority w:val="99"/>
    <w:rPr>
      <w:b/>
      <w:bCs/>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5.emf"/><Relationship Id="rId8" Type="http://schemas.openxmlformats.org/officeDocument/2006/relationships/image" Target="media/image4.emf"/><Relationship Id="rId7" Type="http://schemas.openxmlformats.org/officeDocument/2006/relationships/image" Target="media/image3.emf"/><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theme" Target="theme/theme1.xml"/><Relationship Id="rId30" Type="http://schemas.openxmlformats.org/officeDocument/2006/relationships/fontTable" Target="fontTable.xml"/><Relationship Id="rId3" Type="http://schemas.openxmlformats.org/officeDocument/2006/relationships/footer" Target="foot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3.emf"/><Relationship Id="rId26" Type="http://schemas.openxmlformats.org/officeDocument/2006/relationships/image" Target="media/image22.emf"/><Relationship Id="rId25" Type="http://schemas.openxmlformats.org/officeDocument/2006/relationships/image" Target="media/image21.emf"/><Relationship Id="rId24" Type="http://schemas.openxmlformats.org/officeDocument/2006/relationships/image" Target="media/image20.emf"/><Relationship Id="rId23" Type="http://schemas.openxmlformats.org/officeDocument/2006/relationships/image" Target="media/image19.emf"/><Relationship Id="rId22" Type="http://schemas.openxmlformats.org/officeDocument/2006/relationships/image" Target="media/image18.emf"/><Relationship Id="rId21" Type="http://schemas.openxmlformats.org/officeDocument/2006/relationships/image" Target="media/image17.emf"/><Relationship Id="rId20" Type="http://schemas.openxmlformats.org/officeDocument/2006/relationships/image" Target="media/image16.emf"/><Relationship Id="rId2" Type="http://schemas.openxmlformats.org/officeDocument/2006/relationships/settings" Target="settings.xml"/><Relationship Id="rId19" Type="http://schemas.openxmlformats.org/officeDocument/2006/relationships/image" Target="media/image15.emf"/><Relationship Id="rId18" Type="http://schemas.openxmlformats.org/officeDocument/2006/relationships/image" Target="media/image14.emf"/><Relationship Id="rId17" Type="http://schemas.openxmlformats.org/officeDocument/2006/relationships/image" Target="media/image13.emf"/><Relationship Id="rId16" Type="http://schemas.openxmlformats.org/officeDocument/2006/relationships/image" Target="media/image12.png"/><Relationship Id="rId15" Type="http://schemas.openxmlformats.org/officeDocument/2006/relationships/image" Target="media/image11.emf"/><Relationship Id="rId14" Type="http://schemas.openxmlformats.org/officeDocument/2006/relationships/image" Target="media/image10.emf"/><Relationship Id="rId13" Type="http://schemas.openxmlformats.org/officeDocument/2006/relationships/image" Target="media/image9.png"/><Relationship Id="rId12" Type="http://schemas.openxmlformats.org/officeDocument/2006/relationships/image" Target="media/image8.emf"/><Relationship Id="rId11" Type="http://schemas.openxmlformats.org/officeDocument/2006/relationships/image" Target="media/image7.emf"/><Relationship Id="rId10" Type="http://schemas.openxmlformats.org/officeDocument/2006/relationships/image" Target="media/image6.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19</Pages>
  <Words>2197</Words>
  <Characters>11430</Characters>
  <Lines>108</Lines>
  <Paragraphs>30</Paragraphs>
  <TotalTime>0</TotalTime>
  <ScaleCrop>false</ScaleCrop>
  <LinksUpToDate>false</LinksUpToDate>
  <CharactersWithSpaces>13568</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2022-11-03T04:19:00Z</dcterms:created>
  <dc:creator>WSJ</dc:creator>
  <cp:lastModifiedBy>。。。。</cp:lastModifiedBy>
  <cp:lastPrinted>2022-07-05T09:24:00Z</cp:lastPrinted>
  <dcterms:modified xsi:type="dcterms:W3CDTF">2022-11-05T05:05:22Z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D493D132C9334A689348F9A97DE63D49</vt:lpwstr>
  </property>
</Properties>
</file>