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BD160" w14:textId="753BF07C" w:rsidR="00AB4887" w:rsidRPr="00D934F5" w:rsidRDefault="000D1DDA" w:rsidP="00D934F5">
      <w:pPr>
        <w:spacing w:line="480" w:lineRule="auto"/>
        <w:rPr>
          <w:rFonts w:ascii="Times New Roman" w:hAnsi="Times New Roman" w:cs="Times New Roman"/>
          <w:b/>
          <w:bCs/>
          <w:sz w:val="24"/>
          <w:szCs w:val="24"/>
        </w:rPr>
      </w:pPr>
      <w:r w:rsidRPr="00D934F5">
        <w:rPr>
          <w:rFonts w:ascii="Times New Roman" w:hAnsi="Times New Roman" w:cs="Times New Roman"/>
          <w:b/>
          <w:bCs/>
          <w:sz w:val="24"/>
          <w:szCs w:val="24"/>
        </w:rPr>
        <w:t>Supplementary figure legend:</w:t>
      </w:r>
    </w:p>
    <w:p w14:paraId="1953C23D" w14:textId="77777777" w:rsidR="00D934F5" w:rsidRPr="00D934F5" w:rsidRDefault="00D934F5" w:rsidP="00D934F5">
      <w:pPr>
        <w:spacing w:line="480" w:lineRule="auto"/>
        <w:rPr>
          <w:rFonts w:ascii="Times New Roman" w:hAnsi="Times New Roman" w:cs="Times New Roman"/>
          <w:sz w:val="24"/>
          <w:szCs w:val="24"/>
        </w:rPr>
      </w:pPr>
      <w:r w:rsidRPr="00D934F5">
        <w:rPr>
          <w:rFonts w:ascii="Times New Roman" w:hAnsi="Times New Roman" w:cs="Times New Roman"/>
          <w:sz w:val="24"/>
          <w:szCs w:val="24"/>
        </w:rPr>
        <w:t>Figure S1. Study timeline.</w:t>
      </w:r>
    </w:p>
    <w:p w14:paraId="154B59F9" w14:textId="77777777" w:rsidR="00D934F5" w:rsidRPr="00D934F5" w:rsidRDefault="00D934F5" w:rsidP="00D934F5">
      <w:pPr>
        <w:spacing w:line="480" w:lineRule="auto"/>
        <w:rPr>
          <w:rFonts w:ascii="Times New Roman" w:hAnsi="Times New Roman" w:cs="Times New Roman"/>
          <w:sz w:val="24"/>
          <w:szCs w:val="24"/>
        </w:rPr>
      </w:pPr>
      <w:r w:rsidRPr="00D934F5">
        <w:rPr>
          <w:rFonts w:ascii="Times New Roman" w:hAnsi="Times New Roman" w:cs="Times New Roman"/>
          <w:sz w:val="24"/>
          <w:szCs w:val="24"/>
        </w:rPr>
        <w:t>Figure S2. Body weight of all rats in the pilot study remained in the vendor-supplied healthy range (+/- 1 standard deviation from the mean) or had a weight above the vendor supplied upper limit. Since we are worried about excessive weight loss as an indicator of decreased animal wellbeing, a body weight slightly above the vendor-supplied curve was viewed as a positive outcome. As indicated in the above figure, diet supplementation was given a couple days after surgery to help rats recover their weight after an observed weight decline.</w:t>
      </w:r>
    </w:p>
    <w:p w14:paraId="59136882" w14:textId="77777777" w:rsidR="00D934F5" w:rsidRPr="00D934F5" w:rsidRDefault="00D934F5" w:rsidP="00D934F5">
      <w:pPr>
        <w:spacing w:line="480" w:lineRule="auto"/>
        <w:rPr>
          <w:rFonts w:ascii="Times New Roman" w:hAnsi="Times New Roman" w:cs="Times New Roman"/>
          <w:sz w:val="24"/>
          <w:szCs w:val="24"/>
        </w:rPr>
      </w:pPr>
      <w:r w:rsidRPr="00D934F5">
        <w:rPr>
          <w:rFonts w:ascii="Times New Roman" w:hAnsi="Times New Roman" w:cs="Times New Roman"/>
          <w:sz w:val="24"/>
          <w:szCs w:val="24"/>
        </w:rPr>
        <w:t>Figure S3. Radiographs of the rat tibia at day 1, week 2, 4, 6, and 8. The fracture labeled with white arrow.</w:t>
      </w:r>
    </w:p>
    <w:p w14:paraId="66A9D911" w14:textId="77777777" w:rsidR="00D934F5" w:rsidRPr="00D934F5" w:rsidRDefault="00D934F5" w:rsidP="00D934F5">
      <w:pPr>
        <w:spacing w:line="480" w:lineRule="auto"/>
        <w:rPr>
          <w:rFonts w:ascii="Times New Roman" w:hAnsi="Times New Roman" w:cs="Times New Roman"/>
          <w:sz w:val="24"/>
          <w:szCs w:val="24"/>
        </w:rPr>
      </w:pPr>
      <w:r w:rsidRPr="00D934F5">
        <w:rPr>
          <w:rFonts w:ascii="Times New Roman" w:hAnsi="Times New Roman" w:cs="Times New Roman"/>
          <w:sz w:val="24"/>
          <w:szCs w:val="24"/>
        </w:rPr>
        <w:t>Figure S4. Designation of regions of interest (ROI) for quantification overlaid on a micro-CT image cross-section.</w:t>
      </w:r>
    </w:p>
    <w:p w14:paraId="1A052980" w14:textId="77777777" w:rsidR="00D934F5" w:rsidRPr="00D934F5" w:rsidRDefault="00D934F5" w:rsidP="00D934F5">
      <w:pPr>
        <w:spacing w:line="480" w:lineRule="auto"/>
        <w:rPr>
          <w:rFonts w:ascii="Times New Roman" w:hAnsi="Times New Roman" w:cs="Times New Roman"/>
          <w:sz w:val="24"/>
          <w:szCs w:val="24"/>
        </w:rPr>
      </w:pPr>
      <w:r w:rsidRPr="00D934F5">
        <w:rPr>
          <w:rFonts w:ascii="Times New Roman" w:hAnsi="Times New Roman" w:cs="Times New Roman"/>
          <w:sz w:val="24"/>
          <w:szCs w:val="24"/>
        </w:rPr>
        <w:t>Figure S5. Quantitative analyses of tibia at the osteotomy site. Designation of regions of interest for quantification overlaid on a micro-CT image cross-section (a); total tissue volume (b); total bone volume (c) and bone volume fraction (bone volume/total volume) (d).</w:t>
      </w:r>
    </w:p>
    <w:p w14:paraId="1CA9A28D" w14:textId="77777777" w:rsidR="00D934F5" w:rsidRPr="00D934F5" w:rsidRDefault="00D934F5" w:rsidP="00D934F5">
      <w:pPr>
        <w:spacing w:line="480" w:lineRule="auto"/>
        <w:rPr>
          <w:rFonts w:ascii="Times New Roman" w:hAnsi="Times New Roman" w:cs="Times New Roman"/>
          <w:sz w:val="24"/>
          <w:szCs w:val="24"/>
        </w:rPr>
      </w:pPr>
      <w:r w:rsidRPr="00D934F5">
        <w:rPr>
          <w:rFonts w:ascii="Times New Roman" w:hAnsi="Times New Roman" w:cs="Times New Roman"/>
          <w:sz w:val="24"/>
          <w:szCs w:val="24"/>
        </w:rPr>
        <w:t>Figure S6. Quantitative analyses of tibia at the osteotomy site. Designation of regions of interest for quantification overlaid on a micro-CT image cross-section (a); cortical volume (b); mean cortical bone density (c).</w:t>
      </w:r>
    </w:p>
    <w:p w14:paraId="451DA2E9" w14:textId="77777777" w:rsidR="00D934F5" w:rsidRPr="00D934F5" w:rsidRDefault="00D934F5" w:rsidP="00D934F5">
      <w:pPr>
        <w:spacing w:line="480" w:lineRule="auto"/>
        <w:rPr>
          <w:rFonts w:ascii="Times New Roman" w:hAnsi="Times New Roman" w:cs="Times New Roman"/>
          <w:sz w:val="24"/>
          <w:szCs w:val="24"/>
        </w:rPr>
      </w:pPr>
      <w:r w:rsidRPr="00D934F5">
        <w:rPr>
          <w:rFonts w:ascii="Times New Roman" w:hAnsi="Times New Roman" w:cs="Times New Roman"/>
          <w:sz w:val="24"/>
          <w:szCs w:val="24"/>
        </w:rPr>
        <w:t xml:space="preserve">Figure S7. Weight bearing </w:t>
      </w:r>
      <w:proofErr w:type="spellStart"/>
      <w:proofErr w:type="gramStart"/>
      <w:r w:rsidRPr="00D934F5">
        <w:rPr>
          <w:rFonts w:ascii="Times New Roman" w:hAnsi="Times New Roman" w:cs="Times New Roman"/>
          <w:sz w:val="24"/>
          <w:szCs w:val="24"/>
        </w:rPr>
        <w:t>right:left</w:t>
      </w:r>
      <w:proofErr w:type="spellEnd"/>
      <w:proofErr w:type="gramEnd"/>
      <w:r w:rsidRPr="00D934F5">
        <w:rPr>
          <w:rFonts w:ascii="Times New Roman" w:hAnsi="Times New Roman" w:cs="Times New Roman"/>
          <w:sz w:val="24"/>
          <w:szCs w:val="24"/>
        </w:rPr>
        <w:t xml:space="preserve"> (</w:t>
      </w:r>
      <w:proofErr w:type="spellStart"/>
      <w:r w:rsidRPr="00D934F5">
        <w:rPr>
          <w:rFonts w:ascii="Times New Roman" w:hAnsi="Times New Roman" w:cs="Times New Roman"/>
          <w:sz w:val="24"/>
          <w:szCs w:val="24"/>
        </w:rPr>
        <w:t>surgical:non-surgical</w:t>
      </w:r>
      <w:proofErr w:type="spellEnd"/>
      <w:r w:rsidRPr="00D934F5">
        <w:rPr>
          <w:rFonts w:ascii="Times New Roman" w:hAnsi="Times New Roman" w:cs="Times New Roman"/>
          <w:sz w:val="24"/>
          <w:szCs w:val="24"/>
        </w:rPr>
        <w:t>) ratio for hind limbs. Asterisks indicate difference between groups (p&lt;0.05). Shaded area is the margin of error from database of healthy animals. Error bars are +/- 1 SD.</w:t>
      </w:r>
    </w:p>
    <w:p w14:paraId="0E4D08B1" w14:textId="77777777" w:rsidR="00D934F5" w:rsidRPr="00D934F5" w:rsidRDefault="00D934F5" w:rsidP="00D934F5">
      <w:pPr>
        <w:spacing w:line="480" w:lineRule="auto"/>
        <w:rPr>
          <w:rFonts w:ascii="Times New Roman" w:hAnsi="Times New Roman" w:cs="Times New Roman"/>
          <w:sz w:val="24"/>
          <w:szCs w:val="24"/>
        </w:rPr>
      </w:pPr>
      <w:r w:rsidRPr="00D934F5">
        <w:rPr>
          <w:rFonts w:ascii="Times New Roman" w:hAnsi="Times New Roman" w:cs="Times New Roman"/>
          <w:sz w:val="24"/>
          <w:szCs w:val="24"/>
        </w:rPr>
        <w:lastRenderedPageBreak/>
        <w:t>Figure S8. Von Frey reflex response testing (electronic) was used to assess mechanical allodynia and results from the pilot study remained mostly in the range for healthy animals (in blue on the figure), indicating wellbeing of the animals for the duration of the study. The response on the surgical limb (the limb that received the tibia fracture and plate fixation) showed slightly more sensitivity to application of the von Frey probe than the non-surgical limb. Asterisks indicate difference between groups (p&lt;0.05). Shaded area is the margin of error from database of healthy animals. Error bars are +/- 1 SD.</w:t>
      </w:r>
    </w:p>
    <w:p w14:paraId="1785C361" w14:textId="77777777" w:rsidR="00D934F5" w:rsidRPr="00D934F5" w:rsidRDefault="00D934F5" w:rsidP="00D934F5">
      <w:pPr>
        <w:spacing w:line="480" w:lineRule="auto"/>
        <w:rPr>
          <w:rFonts w:ascii="Times New Roman" w:hAnsi="Times New Roman" w:cs="Times New Roman"/>
          <w:sz w:val="24"/>
          <w:szCs w:val="24"/>
        </w:rPr>
      </w:pPr>
    </w:p>
    <w:p w14:paraId="4EC02CF9" w14:textId="77777777" w:rsidR="000D1DDA" w:rsidRPr="00D934F5" w:rsidRDefault="000D1DDA" w:rsidP="00D934F5">
      <w:pPr>
        <w:spacing w:line="480" w:lineRule="auto"/>
        <w:rPr>
          <w:rFonts w:ascii="Times New Roman" w:hAnsi="Times New Roman" w:cs="Times New Roman"/>
          <w:sz w:val="24"/>
          <w:szCs w:val="24"/>
        </w:rPr>
      </w:pPr>
    </w:p>
    <w:sectPr w:rsidR="000D1DDA" w:rsidRPr="00D93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26"/>
    <w:rsid w:val="000D1DDA"/>
    <w:rsid w:val="00AB4887"/>
    <w:rsid w:val="00CB2226"/>
    <w:rsid w:val="00D93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B69E1"/>
  <w15:chartTrackingRefBased/>
  <w15:docId w15:val="{FB149298-2BBE-4662-B7EC-BA5A90FE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808271">
      <w:bodyDiv w:val="1"/>
      <w:marLeft w:val="0"/>
      <w:marRight w:val="0"/>
      <w:marTop w:val="0"/>
      <w:marBottom w:val="0"/>
      <w:divBdr>
        <w:top w:val="none" w:sz="0" w:space="0" w:color="auto"/>
        <w:left w:val="none" w:sz="0" w:space="0" w:color="auto"/>
        <w:bottom w:val="none" w:sz="0" w:space="0" w:color="auto"/>
        <w:right w:val="none" w:sz="0" w:space="0" w:color="auto"/>
      </w:divBdr>
    </w:div>
    <w:div w:id="308830987">
      <w:bodyDiv w:val="1"/>
      <w:marLeft w:val="0"/>
      <w:marRight w:val="0"/>
      <w:marTop w:val="0"/>
      <w:marBottom w:val="0"/>
      <w:divBdr>
        <w:top w:val="none" w:sz="0" w:space="0" w:color="auto"/>
        <w:left w:val="none" w:sz="0" w:space="0" w:color="auto"/>
        <w:bottom w:val="none" w:sz="0" w:space="0" w:color="auto"/>
        <w:right w:val="none" w:sz="0" w:space="0" w:color="auto"/>
      </w:divBdr>
    </w:div>
    <w:div w:id="716005886">
      <w:bodyDiv w:val="1"/>
      <w:marLeft w:val="0"/>
      <w:marRight w:val="0"/>
      <w:marTop w:val="0"/>
      <w:marBottom w:val="0"/>
      <w:divBdr>
        <w:top w:val="none" w:sz="0" w:space="0" w:color="auto"/>
        <w:left w:val="none" w:sz="0" w:space="0" w:color="auto"/>
        <w:bottom w:val="none" w:sz="0" w:space="0" w:color="auto"/>
        <w:right w:val="none" w:sz="0" w:space="0" w:color="auto"/>
      </w:divBdr>
    </w:div>
    <w:div w:id="734166058">
      <w:bodyDiv w:val="1"/>
      <w:marLeft w:val="0"/>
      <w:marRight w:val="0"/>
      <w:marTop w:val="0"/>
      <w:marBottom w:val="0"/>
      <w:divBdr>
        <w:top w:val="none" w:sz="0" w:space="0" w:color="auto"/>
        <w:left w:val="none" w:sz="0" w:space="0" w:color="auto"/>
        <w:bottom w:val="none" w:sz="0" w:space="0" w:color="auto"/>
        <w:right w:val="none" w:sz="0" w:space="0" w:color="auto"/>
      </w:divBdr>
    </w:div>
    <w:div w:id="797644358">
      <w:bodyDiv w:val="1"/>
      <w:marLeft w:val="0"/>
      <w:marRight w:val="0"/>
      <w:marTop w:val="0"/>
      <w:marBottom w:val="0"/>
      <w:divBdr>
        <w:top w:val="none" w:sz="0" w:space="0" w:color="auto"/>
        <w:left w:val="none" w:sz="0" w:space="0" w:color="auto"/>
        <w:bottom w:val="none" w:sz="0" w:space="0" w:color="auto"/>
        <w:right w:val="none" w:sz="0" w:space="0" w:color="auto"/>
      </w:divBdr>
    </w:div>
    <w:div w:id="1479223336">
      <w:bodyDiv w:val="1"/>
      <w:marLeft w:val="0"/>
      <w:marRight w:val="0"/>
      <w:marTop w:val="0"/>
      <w:marBottom w:val="0"/>
      <w:divBdr>
        <w:top w:val="none" w:sz="0" w:space="0" w:color="auto"/>
        <w:left w:val="none" w:sz="0" w:space="0" w:color="auto"/>
        <w:bottom w:val="none" w:sz="0" w:space="0" w:color="auto"/>
        <w:right w:val="none" w:sz="0" w:space="0" w:color="auto"/>
      </w:divBdr>
    </w:div>
    <w:div w:id="1955749264">
      <w:bodyDiv w:val="1"/>
      <w:marLeft w:val="0"/>
      <w:marRight w:val="0"/>
      <w:marTop w:val="0"/>
      <w:marBottom w:val="0"/>
      <w:divBdr>
        <w:top w:val="none" w:sz="0" w:space="0" w:color="auto"/>
        <w:left w:val="none" w:sz="0" w:space="0" w:color="auto"/>
        <w:bottom w:val="none" w:sz="0" w:space="0" w:color="auto"/>
        <w:right w:val="none" w:sz="0" w:space="0" w:color="auto"/>
      </w:divBdr>
    </w:div>
    <w:div w:id="201873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 Yingfang,MD, MSC, PhD</dc:creator>
  <cp:keywords/>
  <dc:description/>
  <cp:lastModifiedBy>Fan, Yingfang,MD, MSC, PhD</cp:lastModifiedBy>
  <cp:revision>3</cp:revision>
  <dcterms:created xsi:type="dcterms:W3CDTF">2022-11-03T20:24:00Z</dcterms:created>
  <dcterms:modified xsi:type="dcterms:W3CDTF">2022-11-03T20:26:00Z</dcterms:modified>
</cp:coreProperties>
</file>