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33DAF" w14:textId="77777777" w:rsidR="00844A23" w:rsidRDefault="00844A23" w:rsidP="00844A23">
      <w:pPr>
        <w:pStyle w:val="NormalWeb"/>
        <w:spacing w:before="0" w:beforeAutospacing="0" w:after="0" w:afterAutospacing="0"/>
        <w:jc w:val="both"/>
        <w:rPr>
          <w:rFonts w:ascii="Arial" w:hAnsi="Arial" w:cs="Arial"/>
          <w:color w:val="000000"/>
          <w:sz w:val="22"/>
          <w:szCs w:val="22"/>
        </w:rPr>
      </w:pPr>
    </w:p>
    <w:p w14:paraId="32E23226" w14:textId="77777777" w:rsidR="00844A23" w:rsidRDefault="00844A23" w:rsidP="00844A23">
      <w:pPr>
        <w:pStyle w:val="Caption"/>
        <w:rPr>
          <w:rFonts w:ascii="Arial" w:hAnsi="Arial" w:cs="Arial"/>
          <w:b/>
          <w:bCs/>
          <w:i w:val="0"/>
          <w:iCs w:val="0"/>
          <w:color w:val="000000"/>
          <w:sz w:val="24"/>
          <w:szCs w:val="24"/>
          <w:lang w:val="en-US"/>
        </w:rPr>
      </w:pPr>
      <w:r>
        <w:rPr>
          <w:rFonts w:ascii="Arial" w:hAnsi="Arial" w:cs="Arial"/>
          <w:b/>
          <w:bCs/>
          <w:i w:val="0"/>
          <w:iCs w:val="0"/>
          <w:color w:val="000000" w:themeColor="text1"/>
          <w:sz w:val="20"/>
          <w:szCs w:val="20"/>
        </w:rPr>
        <w:t>Table I: Material used for the vocabular</w:t>
      </w:r>
      <w:r>
        <w:rPr>
          <w:rFonts w:ascii="Arial" w:hAnsi="Arial" w:cs="Arial"/>
          <w:b/>
          <w:bCs/>
          <w:i w:val="0"/>
          <w:iCs w:val="0"/>
          <w:color w:val="000000" w:themeColor="text1"/>
          <w:sz w:val="20"/>
          <w:szCs w:val="20"/>
          <w:lang w:val="en-US"/>
        </w:rPr>
        <w:t xml:space="preserve">y </w:t>
      </w:r>
      <w:proofErr w:type="spellStart"/>
      <w:r>
        <w:rPr>
          <w:rFonts w:ascii="Arial" w:hAnsi="Arial" w:cs="Arial"/>
          <w:b/>
          <w:bCs/>
          <w:i w:val="0"/>
          <w:iCs w:val="0"/>
          <w:color w:val="000000" w:themeColor="text1"/>
          <w:sz w:val="20"/>
          <w:szCs w:val="20"/>
          <w:lang w:val="en-US"/>
        </w:rPr>
        <w:t>defintions</w:t>
      </w:r>
      <w:proofErr w:type="spellEnd"/>
    </w:p>
    <w:tbl>
      <w:tblPr>
        <w:tblStyle w:val="PlainTable2"/>
        <w:tblW w:w="0" w:type="auto"/>
        <w:tblInd w:w="0" w:type="dxa"/>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10"/>
      </w:tblGrid>
      <w:tr w:rsidR="00844A23" w14:paraId="71779314" w14:textId="77777777" w:rsidTr="00844A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18" w:space="0" w:color="7F7F7F" w:themeColor="text1" w:themeTint="80"/>
              <w:right w:val="nil"/>
            </w:tcBorders>
            <w:hideMark/>
          </w:tcPr>
          <w:p w14:paraId="2AAAB1E6" w14:textId="77777777" w:rsidR="00844A23" w:rsidRDefault="00844A23">
            <w:pPr>
              <w:rPr>
                <w:rFonts w:ascii="Arial" w:hAnsi="Arial" w:cs="Arial"/>
                <w:color w:val="000000"/>
                <w:sz w:val="22"/>
                <w:szCs w:val="22"/>
                <w:lang w:val="es-ES"/>
              </w:rPr>
            </w:pPr>
            <w:proofErr w:type="spellStart"/>
            <w:r>
              <w:rPr>
                <w:rFonts w:ascii="Arial" w:hAnsi="Arial" w:cs="Arial"/>
                <w:color w:val="000000"/>
                <w:sz w:val="22"/>
                <w:szCs w:val="22"/>
                <w:lang w:val="es-ES"/>
              </w:rPr>
              <w:t>P</w:t>
            </w:r>
            <w:r>
              <w:rPr>
                <w:rFonts w:ascii="Arial" w:hAnsi="Arial" w:cs="Arial"/>
                <w:sz w:val="22"/>
                <w:szCs w:val="22"/>
                <w:lang w:val="es-ES"/>
              </w:rPr>
              <w:t>ublications</w:t>
            </w:r>
            <w:proofErr w:type="spellEnd"/>
          </w:p>
        </w:tc>
      </w:tr>
      <w:tr w:rsidR="00844A23" w14:paraId="578305C2"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top w:val="single" w:sz="18" w:space="0" w:color="7F7F7F" w:themeColor="text1" w:themeTint="80"/>
              <w:left w:val="nil"/>
              <w:right w:val="nil"/>
            </w:tcBorders>
            <w:hideMark/>
          </w:tcPr>
          <w:p w14:paraId="13524DE5"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color w:val="000000"/>
                <w:sz w:val="22"/>
                <w:szCs w:val="22"/>
              </w:rPr>
              <w:instrText>ADDIN CSL_CITATION {"citationItems":[{"id":"ITEM-1","itemData":{"ISSN":"07423241","PMID":"3723422","abstract":"Alignment of a prosthesis is defined as the position of the socket relative to the other prosthetic components of the limb. During dynamic alignment the prosthetist, using subjective judgment and feedback from the patient, aims to achieve the most suitable limb geometry for best function and comfort. Until recently it was generally believed that a patient could only be satisfied with a unique 'optimum alignment'. The purpose of this systematic study of lower-limb alignment parameters was to gain an understanding of the factors that make a limb configuration or optimum alignment, acceptable to the patient, and to obtain a measure of the variation of this alignment that would be acceptable to the amputee. In this paper, the acceptable range of alignments for 10 below- and 10 above-knee amputees are established. Three prosthetists were involved in the majority of the 183 below-knee and 100 above-knee fittings, although several other prosthetists were also involved. The effects of each different prosthetist on the established range of alignment for each patient are reported to be significant. It is now established that an amputee can tolerate several alignments ranging in some parameters by as much as 148 mm in shifts and 17 degrees in tilts. This paper describes the method of defining and measuring the alignment of lower-limb prostheses. It presents quantitatively established values for bench alignment position and the range of adjustment required for incorporation into the design of new alignment units.","author":[{"dropping-particle":"","family":"Zahedi","given":"M. S.","non-dropping-particle":"","parse-names":false,"suffix":""},{"dropping-particle":"","family":"Spence","given":"W. D.","non-dropping-particle":"","parse-names":false,"suffix":""},{"dropping-particle":"","family":"Solomonidis","given":"S. E.","non-dropping-particle":"","parse-names":false,"suffix":""},{"dropping-particle":"","family":"Paul","given":"J. P.","non-dropping-particle":"","parse-names":false,"suffix":""}],"container-title":"Journal of rehabilitation R&amp;D","id":"ITEM-1","issue":"2","issued":{"date-parts":[["1986"]]},"page":"2-19","title":"Alignment of lower-limb prostheses","type":"article-journal","volume":"23"},"uris":["http://www.mendeley.com/documents/?uuid=f406b762-1bc6-4d6b-9d1f-f2f680f09395"]}],"mendeley":{"formattedCitation":"[5]","plainTextFormattedCitation":"[5]","previouslyFormattedCitation":"(Zahedi, Spence, Solomonidis, &amp; Paul, 1986)"},"properties":{"noteIndex":0},"schema":"https://github.com/citation-style-language/schema/raw/master/csl-citation.json"}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noProof/>
                <w:color w:val="000000"/>
                <w:sz w:val="22"/>
                <w:szCs w:val="22"/>
              </w:rPr>
              <w:t>[5]</w:t>
            </w:r>
            <w:r>
              <w:rPr>
                <w:rFonts w:ascii="Arial" w:hAnsi="Arial" w:cs="Arial"/>
                <w:b w:val="0"/>
                <w:bCs w:val="0"/>
                <w:color w:val="000000"/>
                <w:sz w:val="22"/>
                <w:szCs w:val="22"/>
              </w:rPr>
              <w:fldChar w:fldCharType="end"/>
            </w:r>
          </w:p>
        </w:tc>
      </w:tr>
      <w:tr w:rsidR="00844A23" w14:paraId="603EA353"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5880CCD3" w14:textId="77777777" w:rsidR="00844A23" w:rsidRDefault="00844A23">
            <w:pPr>
              <w:rPr>
                <w:rFonts w:ascii="Arial" w:hAnsi="Arial" w:cs="Arial"/>
                <w:b w:val="0"/>
                <w:bCs w:val="0"/>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{"citationItems":[{"id":"ITEM-1","itemData":{"DOI":"10.21037/atm.2016.03.31","ISSN":"23055847","abstract":"In the last 10 years many studies have questioned if the strive to mechanical align any knee may pose some problems related to ligament misbalancing that could explain the high rate of disappointed patients, almost 20% in some reports. Proper indication and difference between patient's and surgeon's expectations are among the most important one's but it must be underlined that, there is indeed a sharp difference between normal knee kinematics, prosthetic knee kinematics and arthritic knee kinematics being the last one extremely variable. A so called kinematic alignment has recently been developed in order to improve patient's knee function and pain control minimizing any surgical gesture focused on ligaments balance. The amount of bone resections may not affect limb alignment but has an important consequence in ligament tension and balance, clinical result and function therefore a measured bone resection technique is essential in order to perform a proper kinematic alignment. Purpose of this paper is to briefly review the different alignment procedures used for TKA and to discuss their definitions, concepts and evidence on outcome.","author":[{"dropping-particle":"","family":"Schiraldi","given":"Marco","non-dropping-particle":"","parse-names":false,"suffix":""},{"dropping-particle":"","family":"Bonzanini","given":"Giancarlo","non-dropping-particle":"","parse-names":false,"suffix":""},{"dropping-particle":"","family":"Chirillo","given":"Danilo","non-dropping-particle":"","parse-names":false,"suffix":""},{"dropping-particle":"","family":"Tullio","given":"Vito","non-dropping-particle":"de","parse-names":false,"suffix":""}],"container-title":"Annals of Translational Medicine","id":"ITEM-1","issue":"7","issued":{"date-parts":[["2016"]]},"page":"1-5","title":"Mechanical and kinematic alignment in total knee arthroplasty","type":"article-journal","volume":"4"},"uris":["http://www.mendeley.com/documents/?uuid=cb47f644-97b6-4dc6-b44a-e252e53a7bb7"]}],"mendeley":{"formattedCitation":"[6]","plainTextFormattedCitation":"[6]","previouslyFormattedCitation":"(Schiraldi, Bonzanini, Chirillo, &amp; de Tullio, 2016)"},"properties":{"noteIndex":0},"schema":"https://github.com/citation-style-language/schema/raw/master/csl-citation.json"}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[6]</w:t>
            </w:r>
            <w:r>
              <w:rPr>
                <w:rFonts w:ascii="Arial" w:hAnsi="Arial" w:cs="Arial"/>
                <w:b w:val="0"/>
                <w:bCs w:val="0"/>
                <w:color w:val="000000"/>
                <w:sz w:val="22"/>
                <w:szCs w:val="22"/>
              </w:rPr>
              <w:fldChar w:fldCharType="end"/>
            </w:r>
          </w:p>
        </w:tc>
      </w:tr>
      <w:tr w:rsidR="00844A23" w14:paraId="25101028"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5E0C9DD6"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{"citationItems":[{"id":"ITEM-1","itemData":{"abstract":"The importance of function of the central core of the body for stabilisation and force generation in all sports activities is being increasingly recognised. 'Core stability' is seen as being pivotal for efficient biomechanical function to maximise force generation and minimise joint loads in all types of activities ranging from running to throwing. However, there is less clarity about what exactly constitutes 'the core', either anatomically or physiologically, and physical evaluation of core function is also variable. 'Core stability' is defined as the ability to control the position and motion of the trunk over the pelvis to allow optimum production, transfer and control of force and motion to the terminal segment in integrated athletic activities. Core muscle activity is best understood as the pre-programmed integration of local, single-joint muscles and multi-joint muscles to provide stability and produce motion. This results in proximal stability for distal mobility, a proximal to distal patterning of generation of force, and the creation of interactive moments that move and protect distal joints. Evaluation of the core should be dynamic, and include evaluation of the specific functions (trunk control over the planted leg) and directions of motions (three-planar activity). Rehabilitation should include the restoring of the core itself, but also include the core as the base for extremity function.","author":[{"dropping-particle":"","family":"W.B.","given":"Kibler","non-dropping-particle":"","parse-names":false,"suffix":""},{"dropping-particle":"","family":"J.","given":"Press","non-dropping-particle":"","parse-names":false,"suffix":""},{"dropping-particle":"","family":"A.","given":"Sciascia","non-dropping-particle":"","parse-names":false,"suffix":""}],"container-title":"Sports medicine (Auckland, N.Z.)","id":"ITEM-1","issue":"3","issued":{"date-parts":[["2006"]]},"page":"189-198","title":"The role of core stability in athletic function","type":"article-journal","volume":"36"},"uris":["http://www.mendeley.com/documents/?uuid=1b601ba2-3089-43db-9db7-b16deac5bcfd"]}],"mendeley":{"formattedCitation":"[7]","plainTextFormattedCitation":"[7]","previouslyFormattedCitation":"(W.B., J., &amp; A., 2006)"},"properties":{"noteIndex":0},"schema":"https://github.com/citation-style-language/schema/raw/master/csl-citation.json"}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[7]</w:t>
            </w:r>
            <w:r>
              <w:rPr>
                <w:rFonts w:ascii="Arial" w:hAnsi="Arial" w:cs="Arial"/>
                <w:b w:val="0"/>
                <w:bCs w:val="0"/>
                <w:color w:val="000000"/>
                <w:sz w:val="22"/>
                <w:szCs w:val="22"/>
              </w:rPr>
              <w:fldChar w:fldCharType="end"/>
            </w:r>
          </w:p>
        </w:tc>
      </w:tr>
      <w:tr w:rsidR="00844A23" w14:paraId="2050CEA1"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74489A35"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{"citationItems":[{"id":"ITEM-1","itemData":{"abstract":"Thesis. (M.S.)--Massachusetts Institute of Technology, Dept. of Mechanical Engineering, 1987.","author":[{"dropping-particle":"","family":"Fasse","given":"Ernest Dean","non-dropping-particle":"","parse-names":false,"suffix":""}],"id":"ITEM-1","issued":{"date-parts":[["1987"]]},"title":"Stability robustness of impedance controlled manipulators coupled to passive environments","type":"article"},"uris":["http://www.mendeley.com/documents/?uuid=dbe4c78a-74d4-477b-80b9-0f7411759161"]}],"mendeley":{"formattedCitation":"[8]","plainTextFormattedCitation":"[8]","previouslyFormattedCitation":"(Fasse, 1987)"},"properties":{"noteIndex":0},"schema":"https://github.com/citation-style-language/schema/raw/master/csl-citation.json"}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[8]</w:t>
            </w:r>
            <w:r>
              <w:rPr>
                <w:rFonts w:ascii="Arial" w:hAnsi="Arial" w:cs="Arial"/>
                <w:b w:val="0"/>
                <w:bCs w:val="0"/>
                <w:color w:val="000000"/>
                <w:sz w:val="22"/>
                <w:szCs w:val="22"/>
              </w:rPr>
              <w:fldChar w:fldCharType="end"/>
            </w:r>
          </w:p>
        </w:tc>
      </w:tr>
      <w:tr w:rsidR="00844A23" w14:paraId="2A1B6701"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5713B534" w14:textId="77777777" w:rsidR="00844A23" w:rsidRDefault="00844A23">
            <w:r>
              <w:rPr>
                <w:b w:val="0"/>
                <w:bCs w:val="0"/>
              </w:rPr>
              <w:fldChar w:fldCharType="begin" w:fldLock="1"/>
            </w:r>
            <w:r>
              <w:rPr>
                <w:b w:val="0"/>
                <w:bCs w:val="0"/>
                <w:caps/>
              </w:rPr>
              <w:instrText>ADDIN CSL_CITATION {"citationItems":[{"id":"ITEM-1","itemData":{"DOI":"10.1186/s12984-018-0408-5","ISBN":"1298401804085","ISSN":"17430003","PMID":"29973250","abstract":"Despite upper extremity function playing a crucial role in maintaining one's independence in activities of daily living, upper extremity impairments remain one of the most prevalent post-stroke deficits. To enhance the upper extremity motor recovery and performance among stroke survivors, two training paradigms in the fields of robotics therapy involving modifying haptic feedback were proposed: the error-augmentation (EA) and error-reduction (ER) paradigms. There is a lack of consensus, however, as to which of the two paradigms yields superior training effects. This systematic review aimed to determine (i) whether EA is more effective than conventional repetitive practice; (ii) whether ER is more effective than conventional repetitive practice and; (iii) whether EA is more effective than ER in improving post-stroke upper extremity motor recovery and performance. The study search and selection process as well as the ratings of methodological quality of the articles were conducted by two authors separately, and the results were then compared and discussed among the two reviewers. Findings were analyzed and synthesized using the level of evidence. By August 1st 2017, 269 articles were found after searching 6 databases, and 13 were selected based on criteria such as sample size, type of participants recruited, type of interventions used, etc. Results suggest, with a moderate level of evidence, that EA is overall more effective than conventional repetitive practice (motor recovery and performance) and ER (motor performance only), while ER appears to be no more effective than conventional repetitive practice. However, intervention effects as measured using clinical outcomes were under most instance not 'clinically meaningful' and effect sizes were modest. While stronger evidence is required to further support the efficacy of error modification therapies, the influence of factors related to the delivery of the intervention (such as intensity, duration) and personal factors (such as stroke severity and time of stroke onset) deserves further investigations as well.","author":[{"dropping-particle":"","family":"Liu","given":"Le Yu","non-dropping-particle":"","parse-names":false,"suffix":""},{"dropping-particle":"","family":"Li","given":"Youlin","non-dropping-particle":"","parse-names":false,"suffix":""},{"dropping-particle":"","family":"Lamontagne","given":"Anouk","non-dropping-particle":"","parse-names":false,"suffix":""}],"container-title":"Journal of NeuroEngineering and Rehabilitation","id":"ITEM-1","issue":"1","issued":{"date-parts":[["2018"]]},"page":"1-25","publisher":"Journal of NeuroEngineering and Rehabilitation","title":"The effects of error-augmentation versus error-reduction paradigms in robotic therapy to enhance upper extremity performance and recovery post-stroke: A systematic review","type":"article-journal","volume":"15"},"uris":["http://www.mendeley.com/documents/?uuid=3df4101e-f322-4b31-bb6e-b650ce56453f"]}],"mendeley":{"formattedCitation":"[9]","plainTextFormattedCitation":"[9]","previouslyFormattedCitation":"(Liu, Li, &amp; Lamontagne, 2018)"},"properties":{"noteIndex":0},"schema":"https://github.com/citation-style-language/schema/raw/master/csl-citation.json"}</w:instrText>
            </w:r>
            <w:r>
              <w:rPr>
                <w:b w:val="0"/>
                <w:bCs w:val="0"/>
              </w:rPr>
              <w:fldChar w:fldCharType="separate"/>
            </w:r>
            <w:r>
              <w:rPr>
                <w:bCs w:val="0"/>
                <w:noProof/>
              </w:rPr>
              <w:t>[9]</w:t>
            </w:r>
            <w:r>
              <w:rPr>
                <w:b w:val="0"/>
                <w:bCs w:val="0"/>
              </w:rPr>
              <w:fldChar w:fldCharType="end"/>
            </w:r>
          </w:p>
        </w:tc>
      </w:tr>
      <w:tr w:rsidR="00844A23" w14:paraId="7FA483D6"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784B6667"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{"citationItems":[{"id":"ITEM-1","itemData":{"DOI":"10.4172/2329-8847.1000165","abstract":"Enhancement of sensory motor performance is vital in rehabilitation after brain injury. This short communication discusses a new approach in motor learning and rehabilitation: The error augmentation (EA) which utilizes incorrect visual and proprioceptive feedback to improve motor adaptation. In EA technology, the computer distinguishes and amplifies errors in a patient's movement from a preferred trajectory, or modifies the visual feedback of the movement trajectory, and consequently gives emphasis to visual and sensory feedback. The existence of this error in visual input requires from patients to reinforce their motor control as they work against the error-driven disturbance to the movements, at the same time it enhances motivation to learn by making even little errors seem great.","author":[{"dropping-particle":"","family":"E","given":"Carmeli","non-dropping-particle":"","parse-names":false,"suffix":""}],"container-title":"Journal of Aging Science","id":"ITEM-1","issue":"03","issued":{"date-parts":[["2016"]]},"page":"4-5","title":"Error Augmentation: The Alternative Approach to Treat Brain Injury","type":"article-journal","volume":"04"},"uris":["http://www.mendeley.com/documents/?uuid=557cc226-4cb1-48c9-9c47-baf3401e5a50"]}],"mendeley":{"formattedCitation":"[10]","plainTextFormattedCitation":"[10]","previouslyFormattedCitation":"(E, 2016)"},"properties":{"noteIndex":0},"schema":"https://github.com/citation-style-language/schema/raw/master/csl-citation.json"}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[10]</w:t>
            </w:r>
            <w:r>
              <w:rPr>
                <w:rFonts w:ascii="Arial" w:hAnsi="Arial" w:cs="Arial"/>
                <w:b w:val="0"/>
                <w:bCs w:val="0"/>
                <w:color w:val="000000"/>
                <w:sz w:val="22"/>
                <w:szCs w:val="22"/>
              </w:rPr>
              <w:fldChar w:fldCharType="end"/>
            </w:r>
          </w:p>
        </w:tc>
      </w:tr>
      <w:tr w:rsidR="00844A23" w14:paraId="1434A675"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6562A3D9"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ISBN":"078038914X","author":[{"dropping-particle":"","family":"Wei","given":"Yejun","non-dropping-particle":"","parse-names":false,"suffix":""},{"dropping-particle":"","family":"Patton","given":"James","non-dropping-particle":"","parse-names":false,"suffix":""},{"dropping-particle":"","family":"Scheidt","given":"Robert","non-dropping-particle":"","parse-names":false,"suffix":""}],"id":"ITEM-1","issue":"April","issued":{"date-parts":[["2005"]]},"page":"4406-4411","title":"A Real-Time Haptic / Graphic Demonstration of how Error Augmentation can Enhance Learning *","type":"article-journal"},"uris":["http://www.mendeley.com/documents/?uuid=c2b02e5f-22d9-4170-85af-af4ff07c2afe"]}],"mendeley":{"formattedCitation":"[11]","plainTextFormattedCitation":"[11]","previouslyFormattedCitation":"(Wei, Patton, &amp; Scheidt, 2005)"},"properties":{"noteIndex":0},"schema":"https://github.com/citation-style-language/schema/raw/master/csl-citation.json"}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[11]</w:t>
            </w:r>
            <w:r>
              <w:rPr>
                <w:rFonts w:ascii="Arial" w:hAnsi="Arial" w:cs="Arial"/>
                <w:b w:val="0"/>
                <w:bCs w:val="0"/>
                <w:color w:val="000000"/>
                <w:sz w:val="22"/>
                <w:szCs w:val="22"/>
              </w:rPr>
              <w:fldChar w:fldCharType="end"/>
            </w:r>
          </w:p>
        </w:tc>
      </w:tr>
      <w:tr w:rsidR="00844A23" w14:paraId="0A8EB46F"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42E29C30"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{"citationItems":[{"id":"ITEM-1","itemData":{"DOI":"10.1080/24725838.2019.1579769","ISSN":"24725846","PMID":"31276081","abstract":"This paper provides an overview of a new consensus standards committee for exoskeletons, ASTM International F48, and describes the organization and current activities of this committee. Lack of product standards and certifications have been described as barriers to adoption of exoskeleton technologies in industry practice. While exoskeletons are not considered a traditional form of personal protective equipment (PPE) they are similarly wearable, and much of the interest in their application in the industrial/workplace domain is motivated by injury prevention. ASTM F48 believes that standards and certifications for exoskeletons in their manufacture, deployment, and use would enhance their adoption in the workplace.","author":[{"dropping-particle":"","family":"Lowe","given":"Brian D.","non-dropping-particle":"","parse-names":false,"suffix":""},{"dropping-particle":"","family":"Billotte","given":"William G.","non-dropping-particle":"","parse-names":false,"suffix":""},{"dropping-particle":"","family":"Peterson","given":"Donald R.","non-dropping-particle":"","parse-names":false,"suffix":""}],"container-title":"IISE transactions on occupational ergonomics and human factors","id":"ITEM-1","issue":"0","issued":{"date-parts":[["2019"]]},"page":"-000","publisher":"Taylor &amp; Francis","title":"ASTM F48 Formation and Standards for Industrial Exoskeletons and Exosuits","type":"article-journal","volume":"7"},"uris":["http://www.mendeley.com/documents/?uuid=9c40ee12-7399-41fb-a6f2-a06a24003faf"]}],"mendeley":{"formattedCitation":"[12]","plainTextFormattedCitation":"[12]","previouslyFormattedCitation":"(Lowe, Billotte, &amp; Peterson, 2019)"},"properties":{"noteIndex":0},"schema":"https://github.com/citation-style-language/schema/raw/master/csl-citation.json"}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[12]</w:t>
            </w:r>
            <w:r>
              <w:rPr>
                <w:rFonts w:ascii="Arial" w:hAnsi="Arial" w:cs="Arial"/>
                <w:b w:val="0"/>
                <w:bCs w:val="0"/>
                <w:color w:val="000000"/>
                <w:sz w:val="22"/>
                <w:szCs w:val="22"/>
              </w:rPr>
              <w:fldChar w:fldCharType="end"/>
            </w:r>
          </w:p>
        </w:tc>
      </w:tr>
      <w:tr w:rsidR="00844A23" w14:paraId="3FB726C6"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1FACB562"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{"citationItems":[{"id":"ITEM-1","itemData":{"author":[{"dropping-particle":"","family":"Sanchez-villamañan","given":"Maria Carmen","non-dropping-particle":"","parse-names":false,"suffix":""},{"dropping-particle":"","family":"Gonzalez-vargas","given":"Jose","non-dropping-particle":"","parse-names":false,"suffix":""},{"dropping-particle":"","family":"Torricelli","given":"Diego","non-dropping-particle":"","parse-names":false,"suffix":""},{"dropping-particle":"","family":"Moreno","given":"Juan C","non-dropping-particle":"","parse-names":false,"suffix":""},{"dropping-particle":"","family":"Pons","given":"Jose L","non-dropping-particle":"","parse-names":false,"suffix":""}],"id":"ITEM-1","issued":{"date-parts":[["2019"]]},"page":"1-16","publisher":"Journal of NeuroEngineering and Rehabilitation","title":"Sanchez-Villamañan2019_Article_CompliantLowerLimbExoskeletons.pdf","type":"article-journal"},"uris":["http://www.mendeley.com/documents/?uuid=09a303f5-8e44-4a91-ac19-e159be14820f"]}],"mendeley":{"formattedCitation":"[13]","plainTextFormattedCitation":"[13]","previouslyFormattedCitation":"(Sanchez-villamañan, Gonzalez-vargas, Torricelli, Moreno, &amp; Pons, 2019)"},"properties":{"noteIndex":0},"schema":"https://github.com/citation-style-language/schema/raw/master/csl-citation.json"}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[13]</w:t>
            </w:r>
            <w:r>
              <w:rPr>
                <w:rFonts w:ascii="Arial" w:hAnsi="Arial" w:cs="Arial"/>
                <w:b w:val="0"/>
                <w:bCs w:val="0"/>
                <w:color w:val="000000"/>
                <w:sz w:val="22"/>
                <w:szCs w:val="22"/>
              </w:rPr>
              <w:fldChar w:fldCharType="end"/>
            </w:r>
          </w:p>
        </w:tc>
      </w:tr>
      <w:tr w:rsidR="00844A23" w14:paraId="631588A4"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70576047"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{"citationItems":[{"id":"ITEM-1","itemData":{"DOI":"10.1088/1748-3182/9/1/016007","ISSN":"17483182","PMID":"24434598","abstract":"We describe the design and control of a wearable robotic device powered by pneumatic artificial muscle actuators for use in ankle-foot rehabilitation. The design is inspired by the biological musculoskeletal system of the human foot and lower leg, mimicking the morphology and the functionality of the biological muscle-tendon-ligament structure. A key feature of the device is its soft structure that provides active assistance without restricting natural degrees of freedom at the ankle joint. Four pneumatic artificial muscles assist dorsiflexion and plantarflexion as well as inversion and eversion. The prototype is also equipped with various embedded sensors for gait pattern analysis. For the subject tested, the prototype is capable of generating an ankle range of motion of 27° (14° dorsiflexion and 13° plantarflexion). The controllability of the system is experimentally demonstrated using a linear time-invariant (LTI) controller. The controller is found using an identified LTI model of the system, resulting from the interaction of the soft orthotic device with a human leg, and model-based classical control design techniques. The suitability of the proposed control strategy is demonstrated with several angle-reference following experiments. © 2014 IOP Publishing Ltd.","author":[{"dropping-particle":"","family":"Park","given":"Yong Lae","non-dropping-particle":"","parse-names":false,"suffix":""},{"dropping-particle":"","family":"Chen","given":"Bor Rong","non-dropping-particle":"","parse-names":false,"suffix":""},{"dropping-particle":"","family":"Pérez-Arancibia","given":"Néstor O.","non-dropping-particle":"","parse-names":false,"suffix":""},{"dropping-particle":"","family":"Young","given":"Diana","non-dropping-particle":"","parse-names":false,"suffix":""},{"dropping-particle":"","family":"Stirling","given":"Leia","non-dropping-particle":"","parse-names":false,"suffix":""},{"dropping-particle":"","family":"Wood","given":"Robert J.","non-dropping-particle":"","parse-names":false,"suffix":""},{"dropping-particle":"","family":"Goldfield","given":"Eugene C.","non-dropping-particle":"","parse-names":false,"suffix":""},{"dropping-particle":"","family":"Nagpal","given":"Radhika","non-dropping-particle":"","parse-names":false,"suffix":""}],"container-title":"Bioinspiration and Biomimetics","id":"ITEM-1","issue":"1","issued":{"date-parts":[["2014"]]},"title":"Design and control of a bio-inspired soft wearable robotic device for ankle-foot rehabilitation","type":"article-journal","volume":"9"},"uris":["http://www.mendeley.com/documents/?uuid=8b69c842-f84f-428a-a7e0-4a247a5d26ea"]}],"mendeley":{"formattedCitation":"[14]","plainTextFormattedCitation":"[14]","previouslyFormattedCitation":"(Park et al., 2014)"},"properties":{"noteIndex":0},"schema":"https://github.com/citation-style-language/schema/raw/master/csl-citation.json"}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[14]</w:t>
            </w:r>
            <w:r>
              <w:rPr>
                <w:rFonts w:ascii="Arial" w:hAnsi="Arial" w:cs="Arial"/>
                <w:b w:val="0"/>
                <w:bCs w:val="0"/>
                <w:color w:val="000000"/>
                <w:sz w:val="22"/>
                <w:szCs w:val="22"/>
              </w:rPr>
              <w:fldChar w:fldCharType="end"/>
            </w:r>
          </w:p>
        </w:tc>
      </w:tr>
      <w:tr w:rsidR="00844A23" w14:paraId="2F7DF82F"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4C27D75D"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{"citationItems":[{"id":"ITEM-1","itemData":{"author":[{"dropping-particle":"","family":"Belda-Lois","given":"Juan-Manuel","non-dropping-particle":"","parse-names":false,"suffix":""},{"dropping-particle":"","family":"Horno","given":"Silvia Mena-del","non-dropping-particle":"","parse-names":false,"suffix":""},{"dropping-particle":"","family":"Bermejo-bosch","given":"Ignacio","non-dropping-particle":"","parse-names":false,"suffix":""},{"dropping-particle":"","family":"Moreno","given":"Juan C","non-dropping-particle":"","parse-names":false,"suffix":""},{"dropping-particle":"","family":"Pons","given":"José L","non-dropping-particle":"","parse-names":false,"suffix":""},{"dropping-particle":"","family":"Farina","given":"Dario","non-dropping-particle":"","parse-names":false,"suffix":""},{"dropping-particle":"","family":"Iosa","given":"Marco","non-dropping-particle":"","parse-names":false,"suffix":""},{"dropping-particle":"","family":"Molinari","given":"Marco","non-dropping-particle":"","parse-names":false,"suffix":""},{"dropping-particle":"","family":"Tamburella","given":"Federica","non-dropping-particle":"","parse-names":false,"suffix":""},{"dropping-particle":"","family":"Ramos","given":"Ander","non-dropping-particle":"","parse-names":false,"suffix":""},{"dropping-particle":"","family":"Caria","given":"Andrea","non-dropping-particle":"","parse-names":false,"suffix":""},{"dropping-particle":"","family":"Solis-escalante","given":"Teodoro","non-dropping-particle":"","parse-names":false,"suffix":""},{"dropping-particle":"","family":"Brunner","given":"Clemens","non-dropping-particle":"","parse-names":false,"suffix":""},{"dropping-particle":"","family":"Rea","given":"Massimiliano","non-dropping-particle":"","parse-names":false,"suffix":""}],"container-title":"Journal of NeuroEngineering and Rehabilitation","id":"ITEM-1","issue":"December","issued":{"date-parts":[["2011"]]},"title":"Rehabilitation of gait after stroke:a top down approach","type":"article-journal","volume":"66"},"uris":["http://www.mendeley.com/documents/?uuid=ec23ea59-25d7-4908-9842-f9738e2693ae"]}],"mendeley":{"formattedCitation":"[15]","plainTextFormattedCitation":"[15]","previouslyFormattedCitation":"(Belda-Lois et al., 2011)"},"properties":{"noteIndex":0},"schema":"https://github.com/citation-style-language/schema/raw/master/csl-citation.json"}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[15]</w:t>
            </w:r>
            <w:r>
              <w:rPr>
                <w:rFonts w:ascii="Arial" w:hAnsi="Arial" w:cs="Arial"/>
                <w:b w:val="0"/>
                <w:bCs w:val="0"/>
                <w:color w:val="000000"/>
                <w:sz w:val="22"/>
                <w:szCs w:val="22"/>
              </w:rPr>
              <w:fldChar w:fldCharType="end"/>
            </w:r>
          </w:p>
        </w:tc>
      </w:tr>
      <w:tr w:rsidR="00844A23" w14:paraId="32A123F7"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0EA6DE0C"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{"citationItems":[{"id":"ITEM-1","itemData":{"DOI":"10.1007/978-3-319-62817-2_1","ISBN":"9783319628172","ISSN":"22148019","PMID":"29080018","abstract":"“Neural plasticity” refers to the capacity of the nervous system to modify itself, functionally and structurally, in response to experience and injury. As the various chapters in this volume show, plasticity is a key component of neural development and normal functioning of the nervous system, as well as a response to the changing environment, aging, or pathological insult. This chapter discusses how plasticity is necessary not only for neural networks to acquire new functional properties, but also for them to remain robust and stable. The article also reviews the seminal proposals developed over the years that have driven experiments and strongly influenced concepts of neural plasticity.","author":[{"dropping-particle":"","family":"Bernhardi","given":"Rommy","non-dropping-particle":"Von","parse-names":false,"suffix":""},{"dropping-particle":"","family":"Eugenín-Von Bernhardi","given":"Laura","non-dropping-particle":"","parse-names":false,"suffix":""},{"dropping-particle":"","family":"Eugenín","given":"Jaime","non-dropping-particle":"","parse-names":false,"suffix":""}],"container-title":"Advances in Experimental Medicine and Biology","id":"ITEM-1","issued":{"date-parts":[["2017"]]},"page":"1-15","title":"What is neural plasticity?","type":"article-journal","volume":"1015"},"uris":["http://www.mendeley.com/documents/?uuid=cdd8b4e6-32d7-4f17-8d49-eea193a43737"]}],"mendeley":{"formattedCitation":"[16]","plainTextFormattedCitation":"[16]","previouslyFormattedCitation":"(Von Bernhardi, Eugenín-Von Bernhardi, &amp; Eugenín, 2017)"},"properties":{"noteIndex":0},"schema":"https://github.com/citation-style-language/schema/raw/master/csl-citation.json"}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[16]</w:t>
            </w:r>
            <w:r>
              <w:rPr>
                <w:rFonts w:ascii="Arial" w:hAnsi="Arial" w:cs="Arial"/>
                <w:b w:val="0"/>
                <w:bCs w:val="0"/>
                <w:color w:val="000000"/>
                <w:sz w:val="22"/>
                <w:szCs w:val="22"/>
              </w:rPr>
              <w:fldChar w:fldCharType="end"/>
            </w:r>
          </w:p>
        </w:tc>
      </w:tr>
      <w:tr w:rsidR="00844A23" w14:paraId="3313E8A2"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6AED77A5"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{"citationItems":[{"id":"ITEM-1","itemData":{"DOI":"10.1007/s00415-016-8307-9","ISBN":"0041501683","ISSN":"14321459","PMID":"27778158","abstract":"The prevalence of disability due to neurological conditions is escalating worldwide. Neurological disorders have significant disability-burden with long-term functional and psychosocial issues, requiring specialized rehabilitation services for comprehensive management, especially treatments tapping into brain recovery ‘neuroplastic’ processes. Neurorehabilitation is interdisciplinary and cross-sectorial, requiring coordinated effort of diverse sectors, professions, patients and community to manage complex condition-related disability. This review provides evidence for a range of neurorehabilitation interventions for four common neurological conditions: multiple sclerosis (MS), stroke, traumatic brain injury and Parkinson’s disease using the Grade of Recommendation, Assessment, Development and Evaluation tool for quality of evidence. Although, existing best-evidence for many interventions is still sparse, the overall findings suggest ‘strong’ evidence for physical therapy and psychological intervention for improved patient outcomes; and. ‘moderate’ evidence for multidisciplinary rehabilitation for longer term gains at the levels of activity (disability) and participation in MS and stroke population. The effect of other rehabilitation interventions is inconclusive, due to a paucity of methodologically robust studies. More research is needed to improve evidence-base for many promising rehabilitation interventions.","author":[{"dropping-particle":"","family":"Khan","given":"Fary","non-dropping-particle":"","parse-names":false,"suffix":""},{"dropping-particle":"","family":"Amatya","given":"Bhasker","non-dropping-particle":"","parse-names":false,"suffix":""},{"dropping-particle":"","family":"Galea","given":"Mary P.","non-dropping-particle":"","parse-names":false,"suffix":""},{"dropping-particle":"","family":"Gonzenbach","given":"Roman","non-dropping-particle":"","parse-names":false,"suffix":""},{"dropping-particle":"","family":"Kesselring","given":"Jürg","non-dropping-particle":"","parse-names":false,"suffix":""}],"container-title":"Journal of Neurology","id":"ITEM-1","issue":"3","issued":{"date-parts":[["2017"]]},"page":"603-615","title":"Neurorehabilitation: applied neuroplasticity","type":"article-journal","volume":"264"},"uris":["http://www.mendeley.com/documents/?uuid=fb6ae2ea-b9f0-4d6a-b0e6-85b29724a0b3"]}],"mendeley":{"formattedCitation":"[17]","plainTextFormattedCitation":"[17]","previouslyFormattedCitation":"(Khan, Amatya, Galea, Gonzenbach, &amp; Kesselring, 2017)"},"properties":{"noteIndex":0},"schema":"https://github.com/citation-style-language/schema/raw/master/csl-citation.json"}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[17]</w:t>
            </w:r>
            <w:r>
              <w:rPr>
                <w:rFonts w:ascii="Arial" w:hAnsi="Arial" w:cs="Arial"/>
                <w:b w:val="0"/>
                <w:bCs w:val="0"/>
                <w:color w:val="000000"/>
                <w:sz w:val="22"/>
                <w:szCs w:val="22"/>
              </w:rPr>
              <w:fldChar w:fldCharType="end"/>
            </w:r>
          </w:p>
        </w:tc>
      </w:tr>
      <w:tr w:rsidR="00844A23" w14:paraId="5C28442F"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1DD053B7"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{"citationItems":[{"id":"ITEM-1","itemData":{"DOI":"10.1186/1743-0003-10-79","ISSN":"17430003","PMID":"23870328","abstract":"Background: Functional integration of motor activity patterns enables the production of coordinated movements, such as walking. The activation of muscles by weightened summation of activation signals has been demonstrated to represent the spatiotemporal components that determine motor behavior during walking. Exoskeleton robotic devices are now often used in the rehabilitation practice to assist physical therapy of individuals with neurological disorders. These devices are used to promote motor recovery by providing guidance force to the patients. The guidance should in principle lead to a muscle coordination similar to physiological human walking. However, the influence of robotic devices on locomotor patterns needs still to be characterized. The aim of this study was to analyze the effect of force guidance and gait speed on the modular organization of walking in a group of eight healthy subjects. Method. A group of healthy subjects walked on a treadmill with and without robotic aiding at speeds of 1.5, 2.0 and 2.5 Km/h. The guidance force was varied between 20%, 40%, 70% and 100% level of assistance. EMG recordings were obtained from seven leg muscles of the dominant leg and kinematic and kinetic features of the knee and hip joints were extracted. Results: Four motor modules were sufficient to represent the variety of behavioral goals demanded during robotic guidance, with similar relationships between muscle patterns and biomechanical parameters across subjects, confirming that the low-dimensional and impulsive control of human walking is maintained using robotic force guidance. The conditions of guidance force and speed that maintained correct and incorrect (not natural) modular control were identified. Conclusion: In neurologically intact subjects robotic-guided walking at various force guidance and speed levels does not alter the basic locomotor control and timing. This allows the design of robotic-aided rehabilitation strategies aimed at the modulation of motor modules, which are altered in stroke. © 2013 Moreno et al.; licensee BioMed Central Ltd.","author":[{"dropping-particle":"","family":"Moreno","given":"Juan C.","non-dropping-particle":"","parse-names":false,"suffix":""},{"dropping-particle":"","family":"Barroso","given":"Filipe","non-dropping-particle":"","parse-names":false,"suffix":""},{"dropping-particle":"","family":"Farina","given":"Dario","non-dropping-particle":"","parse-names":false,"suffix":""},{"dropping-particle":"","family":"Gizzi","given":"Leonardo","non-dropping-particle":"","parse-names":false,"suffix":""},{"dropping-particle":"","family":"Santos","given":"Cristina","non-dropping-particle":"","parse-names":false,"suffix":""},{"dropping-particle":"","family":"Molinari","given":"Marco","non-dropping-particle":"","parse-names":false,"suffix":""},{"dropping-particle":"","family":"Pons","given":"José L.","non-dropping-particle":"","parse-names":false,"suffix":""}],"container-title":"Journal of NeuroEngineering and Rehabilitation","id":"ITEM-1","issue":"1","issued":{"date-parts":[["2013"]]},"title":"Effects of robotic guidance on the coordination of locomotion","type":"article-journal","volume":"10"},"uris":["http://www.mendeley.com/documents/?uuid=640f19ed-be68-4f98-a563-fb407c6212f1"]}],"mendeley":{"formattedCitation":"[18]","plainTextFormattedCitation":"[18]","previouslyFormattedCitation":"(Moreno et al., 2013)"},"properties":{"noteIndex":0},"schema":"https://github.com/citation-style-language/schema/raw/master/csl-citation.json"}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[18]</w:t>
            </w:r>
            <w:r>
              <w:rPr>
                <w:rFonts w:ascii="Arial" w:hAnsi="Arial" w:cs="Arial"/>
                <w:b w:val="0"/>
                <w:bCs w:val="0"/>
                <w:color w:val="000000"/>
                <w:sz w:val="22"/>
                <w:szCs w:val="22"/>
              </w:rPr>
              <w:fldChar w:fldCharType="end"/>
            </w:r>
          </w:p>
        </w:tc>
      </w:tr>
      <w:tr w:rsidR="00844A23" w14:paraId="3774D649"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0FCC9B77"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{"citationItems":[{"id":"ITEM-1","itemData":{"abstract":"Balance is a term frequently used by health professionals working in a wide variety of clinical specialities. There is no universally accepted definition of human balance, or related terms. This article identifies mechanical definitions of balance and introduces clinical definitions of balance and postural control. Postural control is defined as the act of maintaining, achieving or restoring a state of balance during any posture or activity. Postural control strategies may be either predictive or reactive, and may involve either a fixed-support or a change-in-support response. Clinical tests of balance assess different components of balance ability. Health professionals should select clinical assessments based on a sound knowledge and understanding of the classification of balance and postural control strategies.","author":[{"dropping-particle":"","family":"Pollock","given":"ALEXANDRA","non-dropping-particle":"","parse-names":false,"suffix":""},{"dropping-particle":"","family":"DURWARD","given":"BRIAN","non-dropping-particle":"","parse-names":false,"suffix":""},{"dropping-particle":"","family":"ROWE","given":"PHILIP","non-dropping-particle":"","parse-names":false,"suffix":""}],"container-title":"Clinical Rehabilitation","id":"ITEM-1","issue":"December 1998","issued":{"date-parts":[["2000"]]},"page":"402-406","title":"Pollock2000","type":"article-journal","volume":"2155"},"uris":["http://www.mendeley.com/documents/?uuid=4e796111-ff0c-40bd-acef-8311601e01bb"]}],"mendeley":{"formattedCitation":"[19]","plainTextFormattedCitation":"[19]","previouslyFormattedCitation":"(Pollock, DURWARD, &amp; ROWE, 2000)"},"properties":{"noteIndex":0},"schema":"https://github.com/citation-style-language/schema/raw/master/csl-citation.json"}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[19]</w:t>
            </w:r>
            <w:r>
              <w:rPr>
                <w:rFonts w:ascii="Arial" w:hAnsi="Arial" w:cs="Arial"/>
                <w:b w:val="0"/>
                <w:bCs w:val="0"/>
                <w:color w:val="000000"/>
                <w:sz w:val="22"/>
                <w:szCs w:val="22"/>
              </w:rPr>
              <w:fldChar w:fldCharType="end"/>
            </w:r>
          </w:p>
        </w:tc>
      </w:tr>
      <w:tr w:rsidR="00844A23" w14:paraId="6DA3AF10"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nil"/>
              <w:right w:val="nil"/>
            </w:tcBorders>
            <w:hideMark/>
          </w:tcPr>
          <w:p w14:paraId="184D6EE3"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author":[{"dropping-particle":"","family":"Committee","given":"Joint","non-dropping-particle":"","parse-names":false,"suffix":""},{"dropping-particle":"","family":"Jcgm-wg","given":"Metrology","non-dropping-particle":"","parse-names":false,"suffix":""}],"id":"ITEM-1","issue":"January","issued":{"date-parts":[["2021"]]},"page":"1-55","title":"International Vocabulary of Metrology Fourth edition – Committee Draft ( VIM4 CD )","type":"article-journal"},"uris":["http://www.mendeley.com/documents/?uuid=a5824953-bcd2-42a8-bdc5-ad4a964898fb"]}],"mendeley":{"formattedCitation":"[20]","plainTextFormattedCitation":"[20]","previouslyFormattedCitation":"(Committee &amp; Jcgm-wg, 2021)"},"properties":{"noteIndex":0},"schema":"https://github.com/citation-style-language/schema/raw/master/csl-citation.json"}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[20]</w:t>
            </w:r>
            <w:r>
              <w:rPr>
                <w:rFonts w:ascii="Arial" w:hAnsi="Arial" w:cs="Arial"/>
                <w:b w:val="0"/>
                <w:bCs w:val="0"/>
                <w:color w:val="000000"/>
                <w:sz w:val="22"/>
                <w:szCs w:val="22"/>
              </w:rPr>
              <w:fldChar w:fldCharType="end"/>
            </w:r>
          </w:p>
        </w:tc>
      </w:tr>
      <w:tr w:rsidR="00844A23" w14:paraId="34B24088"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top w:val="nil"/>
              <w:left w:val="nil"/>
              <w:right w:val="nil"/>
            </w:tcBorders>
            <w:hideMark/>
          </w:tcPr>
          <w:p w14:paraId="3B7FE649" w14:textId="77777777" w:rsidR="00844A23" w:rsidRDefault="00844A23">
            <w:pPr>
              <w:tabs>
                <w:tab w:val="left" w:pos="501"/>
              </w:tabs>
              <w:rPr>
                <w:rFonts w:ascii="Arial" w:hAnsi="Arial" w:cs="Arial"/>
                <w:color w:val="000000"/>
                <w:sz w:val="22"/>
                <w:szCs w:val="22"/>
              </w:rPr>
            </w:pPr>
            <w:r>
              <w:rPr>
                <w:rFonts w:ascii="Arial" w:hAnsi="Arial" w:cs="Arial"/>
                <w:b w:val="0"/>
                <w:bCs w:val="0"/>
                <w:color w:val="000000"/>
                <w:sz w:val="22"/>
                <w:szCs w:val="22"/>
              </w:rPr>
              <w:lastRenderedPageBreak/>
              <w:fldChar w:fldCharType="begin" w:fldLock="1"/>
            </w:r>
            <w:r>
              <w:rPr>
                <w:rFonts w:ascii="Arial" w:hAnsi="Arial" w:cs="Arial"/>
                <w:b w:val="0"/>
                <w:bCs w:val="0"/>
                <w:color w:val="000000"/>
                <w:sz w:val="22"/>
                <w:szCs w:val="22"/>
              </w:rPr>
              <w:instrText>ADDIN CSL_CITATION {"citationItems":[{"id":"ITEM-1","itemData":{"DOI":"10.1152/jn.1988.60.3.1110","ISSN":"00223077","PMID":"3171659","abstract":"The purpose of this study was to evaluate the mechanical response to stretch in normal human ankle dorsiflexors at different levels of voluntary contraction. In an active muscle, the total mechanical response is the sum of the intrinsic response from the contractile apparatus, the response from passive tissues, and the reflex mediated response. Each of these components was investigated. The total incremental stiffness was defined as the ratio between the torque increment and the amplitude of the stretch. In 14 subjects the total stiffness increased from ~0.6 N·m/deg to 2.5 N·m/deg at 50% of MVC and remained constant (±10%) from 30 to 80% of MVC. The contribution to incremental stiffness from intrinsic muscle properties was measured during electrical stimulation of the deep peroneal nerve at 7-50 Hz. Intrinsic stiffness increased linearly with torque from ~0.5 N·m/deg to ~2.5 N·m/deg at 80% of MVC. The reflex component (total minus intrinsic stiffness) had a maximum of 0.5-1.5 N·m/deg at 30-50% of MVC and was approximately zero at no and maximal contraction. For intermediate levels of contraction the reflex increased the stiffness with 40-100% of the intrinsic stiffness in this flexor muscle. Total, intrinsic, and reflex mediated stiffness were all nearly independent of the amplitude of stretch in the range from 2 to 7°. The higher stiffness observed for 1° stretches could be due to 'short range stiffness' of the cross bridges. Stretching of a contracting muscle generates large force increments even for moderate amplitudes of stretch. Approximately half of this force increment is due to the stretch reflex, which makes the muscle stiffer than predicted from the intrinsic stiffness. These findings in human flexor muscles are surprisingly similar to previous findings in extensor muscles of the decerebrate cat.","author":[{"dropping-particle":"","family":"Sinkjaer","given":"T.","non-dropping-particle":"","parse-names":false,"suffix":""},{"dropping-particle":"","family":"Toft","given":"E.","non-dropping-particle":"","parse-names":false,"suffix":""},{"dropping-particle":"","family":"Andreassen","given":"S.","non-dropping-particle":"","parse-names":false,"suffix":""},{"dropping-particle":"","family":"Hornemann","given":"B. C.","non-dropping-particle":"","parse-names":false,"suffix":""}],"container-title":"Journal of Neurophysiology","id":"ITEM-1","issue":"3","issued":{"date-parts":[["1988"]]},"page":"1110-1121","title":"Muscle stiffness in human ankle dorsiflexors: Intrinsic and reflex components","type":"article-journal","volume":"60"},"uris":["http://www.mendeley.com/documents/?uuid=eac9ec9a-4b13-4f8c-86e5-e6c565b839f2"]}],"mendeley":{"formattedCitation":"[21]","plainTextFormattedCitation":"[21]","previouslyFormattedCitation":"(Sinkjaer, Toft, Andreassen, &amp; Hornemann, 1988)"},"properties":{"noteIndex":0},"schema":"https://github.com/citation-style-language/schema/raw/master/csl-citation.json"}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[21]</w:t>
            </w:r>
            <w:r>
              <w:rPr>
                <w:rFonts w:ascii="Arial" w:hAnsi="Arial" w:cs="Arial"/>
                <w:b w:val="0"/>
                <w:bCs w:val="0"/>
                <w:color w:val="000000"/>
                <w:sz w:val="22"/>
                <w:szCs w:val="22"/>
              </w:rPr>
              <w:fldChar w:fldCharType="end"/>
            </w:r>
          </w:p>
        </w:tc>
      </w:tr>
      <w:tr w:rsidR="00844A23" w14:paraId="1E444FE1"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35627C38"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{"citationItems":[{"id":"ITEM-1","itemData":{"DOI":"10.1109/ISWC.1998.729537","ISBN":"0818690747","abstract":"Digital Technology is constantly improving as information becomes wireless. These advances demand more wearable and mobile form factors for products that access information. A product that is wearable should have wearability. This paper explores the concept of dynamic wearability, through design research. Wearability is defined as the interaction between the human body and the wearable object. Dynamic wearability extends that definition to include the human body in motion. Our research has been to locate, understand, and define the spaces on the human body where solid and flexible forms can rest-without interfering with fluid human movement. The result is a set of design guidelines embodied in a set of wearable forms. These wearable forms describe the three dimensional spaces on the body best suited for comfortable and unobtrusive wearability by design.","author":[{"dropping-particle":"","family":"Gemperle","given":"Francine","non-dropping-particle":"","parse-names":false,"suffix":""},{"dropping-particle":"","family":"Kasabach","given":"Chris","non-dropping-particle":"","parse-names":false,"suffix":""},{"dropping-particle":"","family":"Stivoric","given":"John","non-dropping-particle":"","parse-names":false,"suffix":""},{"dropping-particle":"","family":"Bauer","given":"Malcolm","non-dropping-particle":"","parse-names":false,"suffix":""},{"dropping-particle":"","family":"Martin","given":"Richard","non-dropping-particle":"","parse-names":false,"suffix":""}],"container-title":"International Symposium on Wearable Computers, Digest of Papers","id":"ITEM-1","issued":{"date-parts":[["1998"]]},"page":"116-122","title":"Design for wearability","type":"article-journal","volume":"1998-Octob"},"uris":["http://www.mendeley.com/documents/?uuid=62a4bd9e-eb89-4f4f-9aeb-ced8a946c997"]}],"mendeley":{"formattedCitation":"[22]","plainTextFormattedCitation":"[22]","previouslyFormattedCitation":"(Gemperle, Kasabach, Stivoric, Bauer, &amp; Martin, 1998)"},"properties":{"noteIndex":0},"schema":"https://github.com/citation-style-language/schema/raw/master/csl-citation.json"}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[22]</w:t>
            </w:r>
            <w:r>
              <w:rPr>
                <w:rFonts w:ascii="Arial" w:hAnsi="Arial" w:cs="Arial"/>
                <w:b w:val="0"/>
                <w:bCs w:val="0"/>
                <w:color w:val="000000"/>
                <w:sz w:val="22"/>
                <w:szCs w:val="22"/>
              </w:rPr>
              <w:fldChar w:fldCharType="end"/>
            </w:r>
          </w:p>
        </w:tc>
      </w:tr>
      <w:tr w:rsidR="00844A23" w14:paraId="052FEE78"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3DB934EB"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{"citationItems":[{"id":"ITEM-1","itemData":{"DOI":"10.1152/japplphysiol.91324.2008","ISSN":"87507587","PMID":"19131473","abstract":"Mental fatigue is a psychobiological state caused by prolonged periods of demanding cognitive activity. Although the impact of mental fatigue on cognitive and skilled performance is well known, its effect on physical performance has not been thoroughly investigated. In this randomized crossover study, 16 subjects cycled to exhaustion at 80% of their peak power output after 90 min of a demanding cognitive task (mental fatigue) or 90 min of watching emotionally neutral documentaries (control). After experimental treatment, a mood questionnaire revealed a state of mental fatigue (P = 0.005) that significantly reduced time to exhaustion (640 ± 316 s) compared with the control condition (754 ± 339 s) (P = 0.003). This negative effect was not mediated by cardiorespiratory and musculoenergetic factors as physiological responses to intense exercise remained largely unaffected. Self-reported success and intrinsic motivation related to the physical task were also unaffected by prior cognitive activity. However, mentally fatigued subjects rated perception of effort during exercise to be significantly higher compared with the control condition (P = 0.007). As ratings of perceived exertion increased similarly over time in both conditions (P &lt; 0.001), mentally fatigued subjects reached their maximal level of perceived exertion and disengaged from the physical task earlier than in the control condition. In conclusion, our study provides experimental evidence that mental fatigue limits exercise tolerance in humans through higher perception of effort rather than cardiorespiratory and musculoenergetic mechanisms. Future research in this area should investigate the common neurocognitive resources shared by physical and mental activity. Copyright © 2009 the American Physiological Society.","author":[{"dropping-particle":"","family":"Marcora","given":"Samuele M.","non-dropping-particle":"","parse-names":false,"suffix":""},{"dropping-particle":"","family":"Staiano","given":"Walter","non-dropping-particle":"","parse-names":false,"suffix":""},{"dropping-particle":"","family":"Manning","given":"Victoria","non-dropping-particle":"","parse-names":false,"suffix":""}],"container-title":"Journal of Applied Physiology","id":"ITEM-1","issue":"3","issued":{"date-parts":[["2009"]]},"page":"857-864","title":"Mental fatigue impairs physical performance in humans","type":"article-journal","volume":"106"},"uris":["http://www.mendeley.com/documents/?uuid=19ed6ba1-45a8-483d-bebc-8637a1643909"]}],"mendeley":{"formattedCitation":"[23]","plainTextFormattedCitation":"[23]","previouslyFormattedCitation":"(Marcora, Staiano, &amp; Manning, 2009)"},"properties":{"noteIndex":0},"schema":"https://github.com/citation-style-language/schema/raw/master/csl-citation.json"}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[23]</w:t>
            </w:r>
            <w:r>
              <w:rPr>
                <w:rFonts w:ascii="Arial" w:hAnsi="Arial" w:cs="Arial"/>
                <w:b w:val="0"/>
                <w:bCs w:val="0"/>
                <w:color w:val="000000"/>
                <w:sz w:val="22"/>
                <w:szCs w:val="22"/>
              </w:rPr>
              <w:fldChar w:fldCharType="end"/>
            </w:r>
          </w:p>
        </w:tc>
      </w:tr>
      <w:tr w:rsidR="00844A23" w14:paraId="0D0DB81E"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1ADC35EE"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{"citationItems":[{"id":"ITEM-1","itemData":{"DOI":"10.1152/physrev.2001.81.4.1725","ISSN":"00319333","PMID":"11581501","abstract":"Muscle fatigue is an exercise-induced reduction in maximal voluntary muscle force. It may arise not only because of peripheral changes at the level of the muscle, but also because the central nervous system fails to drive the motoneurons adequately. Evidence for \"central\" fatigue and the neural mechanisms underlying it are reviewed, together with its terminology and the methods used to reveal it. Much data suggest that voluntary activation of human motoneurons and muscle fibers is suboptimal and thus maximal voluntary force is commonly less than true maximal force. Hence, maximal voluntary strength can often be below true maximal muscle force. The technique of twitch interpolation has helped to reveal the changes in drive to motoneurons during fatigue. Voluntary activation usually diminishes during maximal voluntary isometric tasks, that is central fatigue develops, and motor unit firing rates decline. Transcranial magnetic stimulation over the motor cortex during fatiguing exercise has revealed focal changes in cortical excitability and inhibitability based on electromyographic (EMG) recordings, and a decline in supraspinal \"drive\" based on force recordings. Some of the changes in motor cortical behavior can be dissociated from the development of this \"supraspinal\" fatigue. Central changes also occur at a spinal level due to the altered input from muscle spindle, tendon organ, and group III and IV muscle afferents innervating the fatiguing muscle. Some intrinsic adaptive properties of the motoneurons help to minimize fatigue. A number of other central changes occur during fatigue and affect, for example, proprioception, tremor, and postural control. Human muscle fatigue does not simply reside in the muscle.","author":[{"dropping-particle":"","family":"Gandevia","given":"S. C.","non-dropping-particle":"","parse-names":false,"suffix":""}],"container-title":"Physiological Reviews","id":"ITEM-1","issue":"4","issued":{"date-parts":[["2001"]]},"page":"1725-1789","title":"Spinal and supraspinal factors in human muscle fatigue","type":"article-journal","volume":"81"},"uris":["http://www.mendeley.com/documents/?uuid=3ba6d530-62e4-48c4-a8ab-2c2c904deb1c"]}],"mendeley":{"formattedCitation":"[24]","plainTextFormattedCitation":"[24]","previouslyFormattedCitation":"(Gandevia, 2001)"},"properties":{"noteIndex":0},"schema":"https://github.com/citation-style-language/schema/raw/master/csl-citation.json"}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[24]</w:t>
            </w:r>
            <w:r>
              <w:rPr>
                <w:rFonts w:ascii="Arial" w:hAnsi="Arial" w:cs="Arial"/>
                <w:b w:val="0"/>
                <w:bCs w:val="0"/>
                <w:color w:val="000000"/>
                <w:sz w:val="22"/>
                <w:szCs w:val="22"/>
              </w:rPr>
              <w:fldChar w:fldCharType="end"/>
            </w:r>
          </w:p>
        </w:tc>
      </w:tr>
      <w:tr w:rsidR="00844A23" w14:paraId="4F961A6B"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bottom w:val="single" w:sz="18" w:space="0" w:color="7F7F7F" w:themeColor="text1" w:themeTint="80"/>
              <w:right w:val="nil"/>
            </w:tcBorders>
          </w:tcPr>
          <w:p w14:paraId="625D0367" w14:textId="77777777" w:rsidR="00844A23" w:rsidRDefault="00844A23">
            <w:pPr>
              <w:rPr>
                <w:rFonts w:ascii="Arial" w:hAnsi="Arial" w:cs="Arial"/>
                <w:color w:val="000000"/>
                <w:sz w:val="22"/>
                <w:szCs w:val="22"/>
              </w:rPr>
            </w:pPr>
            <w:r>
              <w:rPr>
                <w:rFonts w:ascii="Arial" w:hAnsi="Arial" w:cs="Arial"/>
                <w:b w:val="0"/>
                <w:bCs w:val="0"/>
                <w:color w:val="000000"/>
                <w:sz w:val="22"/>
                <w:szCs w:val="22"/>
              </w:rPr>
              <w:fldChar w:fldCharType="begin" w:fldLock="1"/>
            </w:r>
            <w:r>
              <w:rPr>
                <w:rFonts w:ascii="Arial" w:hAnsi="Arial" w:cs="Arial"/>
                <w:b w:val="0"/>
                <w:bCs w:val="0"/>
                <w:color w:val="000000"/>
                <w:sz w:val="22"/>
                <w:szCs w:val="22"/>
              </w:rPr>
              <w:instrText>ADDIN CSL_CITATION {"citationItems":[{"id":"ITEM-1","itemData":{"DOI":"10.1109/TAC.1984.1103644","ISSN":"15582523","abstract":"This paper examines the postulate that an important function of the activity of antagonist muscle groups is to modulate mechanical impedance. Some biomechanical modeling and analyses are presented leading to a prediction of simultaneous activation of antagonist muscles in the maintenance of upright posture of the forearm and hand. An experimental observation of antagonist coactivation in this situation is presented. Copyright © 1984 by The Institute of Electrical and Electronics Engineers, Inc.","author":[{"dropping-particle":"","family":"Hogan","given":"Neville","non-dropping-particle":"","parse-names":false,"suffix":""}],"container-title":"IEEE Transactions on Automatic Control","id":"ITEM-1","issue":"8","issued":{"date-parts":[["1984"]]},"page":"681-690","title":"Adaptive Control of Mechanical Impedance by Coactivation of Antagonist Muscles","type":"article-journal","volume":"29"},"uris":["http://www.mendeley.com/documents/?uuid=2ef3f2cc-93c0-4cc2-8cf1-c230cd9d0d25"]}],"mendeley":{"formattedCitation":"[25]","plainTextFormattedCitation":"[25]","previouslyFormattedCitation":"(Hogan, 1984)"},"properties":{"noteIndex":0},"schema":"https://github.com/citation-style-language/schema/raw/master/csl-citation.json"}</w:instrText>
            </w:r>
            <w:r>
              <w:rPr>
                <w:rFonts w:ascii="Arial" w:hAnsi="Arial" w:cs="Arial"/>
                <w:b w:val="0"/>
                <w:bCs w:val="0"/>
                <w:color w:val="000000"/>
                <w:sz w:val="22"/>
                <w:szCs w:val="22"/>
              </w:rPr>
              <w:fldChar w:fldCharType="separate"/>
            </w:r>
            <w:r>
              <w:rPr>
                <w:rFonts w:ascii="Arial" w:hAnsi="Arial" w:cs="Arial"/>
                <w:bCs w:val="0"/>
                <w:noProof/>
                <w:color w:val="000000"/>
                <w:sz w:val="22"/>
                <w:szCs w:val="22"/>
              </w:rPr>
              <w:t>[25]</w:t>
            </w:r>
            <w:r>
              <w:rPr>
                <w:rFonts w:ascii="Arial" w:hAnsi="Arial" w:cs="Arial"/>
                <w:b w:val="0"/>
                <w:bCs w:val="0"/>
                <w:color w:val="000000"/>
                <w:sz w:val="22"/>
                <w:szCs w:val="22"/>
              </w:rPr>
              <w:fldChar w:fldCharType="end"/>
            </w:r>
          </w:p>
          <w:p w14:paraId="25588293" w14:textId="77777777" w:rsidR="00844A23" w:rsidRDefault="00844A23">
            <w:pPr>
              <w:rPr>
                <w:rFonts w:ascii="Arial" w:hAnsi="Arial" w:cs="Arial"/>
                <w:b w:val="0"/>
                <w:bCs w:val="0"/>
                <w:color w:val="000000"/>
                <w:sz w:val="22"/>
                <w:szCs w:val="22"/>
              </w:rPr>
            </w:pPr>
          </w:p>
        </w:tc>
      </w:tr>
      <w:tr w:rsidR="00844A23" w14:paraId="710829C1"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18" w:space="0" w:color="7F7F7F" w:themeColor="text1" w:themeTint="80"/>
              <w:left w:val="nil"/>
              <w:bottom w:val="single" w:sz="18" w:space="0" w:color="7F7F7F" w:themeColor="text1" w:themeTint="80"/>
              <w:right w:val="nil"/>
            </w:tcBorders>
            <w:hideMark/>
          </w:tcPr>
          <w:p w14:paraId="4C804C9E" w14:textId="77777777" w:rsidR="00844A23" w:rsidRDefault="00844A23">
            <w:pPr>
              <w:rPr>
                <w:rFonts w:ascii="Arial" w:hAnsi="Arial" w:cs="Arial"/>
                <w:color w:val="000000"/>
                <w:sz w:val="22"/>
                <w:szCs w:val="22"/>
                <w:lang w:val="es-ES"/>
              </w:rPr>
            </w:pPr>
            <w:proofErr w:type="spellStart"/>
            <w:r>
              <w:rPr>
                <w:rFonts w:ascii="Arial" w:hAnsi="Arial" w:cs="Arial"/>
                <w:color w:val="000000"/>
                <w:sz w:val="22"/>
                <w:szCs w:val="22"/>
                <w:lang w:val="es-ES"/>
              </w:rPr>
              <w:t>Standards</w:t>
            </w:r>
            <w:proofErr w:type="spellEnd"/>
          </w:p>
        </w:tc>
      </w:tr>
      <w:tr w:rsidR="00844A23" w14:paraId="0CAD3D56"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top w:val="single" w:sz="18" w:space="0" w:color="7F7F7F" w:themeColor="text1" w:themeTint="80"/>
              <w:left w:val="nil"/>
              <w:right w:val="nil"/>
            </w:tcBorders>
            <w:hideMark/>
          </w:tcPr>
          <w:p w14:paraId="6136C194" w14:textId="77777777" w:rsidR="00844A23" w:rsidRDefault="00844A23">
            <w:pPr>
              <w:rPr>
                <w:rFonts w:ascii="Arial" w:hAnsi="Arial" w:cs="Arial"/>
                <w:b w:val="0"/>
                <w:bCs w:val="0"/>
                <w:sz w:val="22"/>
                <w:szCs w:val="22"/>
              </w:rPr>
            </w:pPr>
            <w:r>
              <w:rPr>
                <w:rFonts w:ascii="Arial" w:hAnsi="Arial" w:cs="Arial"/>
                <w:b w:val="0"/>
                <w:bCs w:val="0"/>
                <w:sz w:val="22"/>
                <w:szCs w:val="22"/>
              </w:rPr>
              <w:t>ISO 13482:2014</w:t>
            </w:r>
            <w:r>
              <w:rPr>
                <w:rFonts w:ascii="Arial" w:hAnsi="Arial" w:cs="Arial"/>
                <w:b w:val="0"/>
                <w:bCs w:val="0"/>
                <w:sz w:val="22"/>
                <w:szCs w:val="22"/>
                <w:lang w:val="en-US"/>
              </w:rPr>
              <w:t xml:space="preserve"> </w:t>
            </w:r>
            <w:r>
              <w:rPr>
                <w:rFonts w:ascii="Arial" w:hAnsi="Arial" w:cs="Arial"/>
                <w:b w:val="0"/>
                <w:bCs w:val="0"/>
                <w:sz w:val="22"/>
                <w:szCs w:val="22"/>
              </w:rPr>
              <w:t>Robots and robotic devices — Safety requirements for personal care robots</w:t>
            </w:r>
          </w:p>
        </w:tc>
      </w:tr>
      <w:tr w:rsidR="00844A23" w14:paraId="1B36397F"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6D16B54D" w14:textId="77777777" w:rsidR="00844A23" w:rsidRDefault="00844A23">
            <w:pPr>
              <w:rPr>
                <w:rFonts w:ascii="Arial" w:hAnsi="Arial" w:cs="Arial"/>
                <w:b w:val="0"/>
                <w:bCs w:val="0"/>
                <w:sz w:val="22"/>
                <w:szCs w:val="22"/>
              </w:rPr>
            </w:pPr>
            <w:r>
              <w:rPr>
                <w:rFonts w:ascii="Arial" w:hAnsi="Arial" w:cs="Arial"/>
                <w:b w:val="0"/>
                <w:bCs w:val="0"/>
                <w:sz w:val="22"/>
                <w:szCs w:val="22"/>
              </w:rPr>
              <w:t>ISO 8373:2012</w:t>
            </w:r>
            <w:r>
              <w:rPr>
                <w:rFonts w:ascii="Arial" w:hAnsi="Arial" w:cs="Arial"/>
                <w:b w:val="0"/>
                <w:bCs w:val="0"/>
                <w:sz w:val="22"/>
                <w:szCs w:val="22"/>
                <w:lang w:val="en-US"/>
              </w:rPr>
              <w:t xml:space="preserve"> </w:t>
            </w:r>
            <w:r>
              <w:rPr>
                <w:rFonts w:ascii="Arial" w:hAnsi="Arial" w:cs="Arial"/>
                <w:b w:val="0"/>
                <w:bCs w:val="0"/>
                <w:sz w:val="22"/>
                <w:szCs w:val="22"/>
              </w:rPr>
              <w:t>Robots and robotic devices — Vocabulary</w:t>
            </w:r>
          </w:p>
        </w:tc>
      </w:tr>
      <w:tr w:rsidR="00844A23" w14:paraId="17A20DE2"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0A486D9E" w14:textId="77777777" w:rsidR="00844A23" w:rsidRDefault="00844A23">
            <w:pPr>
              <w:rPr>
                <w:rFonts w:ascii="Arial" w:hAnsi="Arial" w:cs="Arial"/>
                <w:b w:val="0"/>
                <w:bCs w:val="0"/>
                <w:sz w:val="22"/>
                <w:szCs w:val="22"/>
              </w:rPr>
            </w:pPr>
            <w:r>
              <w:rPr>
                <w:rFonts w:ascii="Arial" w:hAnsi="Arial" w:cs="Arial"/>
                <w:b w:val="0"/>
                <w:bCs w:val="0"/>
                <w:sz w:val="22"/>
                <w:szCs w:val="22"/>
              </w:rPr>
              <w:t>ISO 9241-940:2017</w:t>
            </w:r>
            <w:r>
              <w:rPr>
                <w:rFonts w:ascii="Arial" w:hAnsi="Arial" w:cs="Arial"/>
                <w:b w:val="0"/>
                <w:bCs w:val="0"/>
                <w:sz w:val="22"/>
                <w:szCs w:val="22"/>
                <w:lang w:val="en-US"/>
              </w:rPr>
              <w:t xml:space="preserve"> </w:t>
            </w:r>
            <w:r>
              <w:rPr>
                <w:rFonts w:ascii="Arial" w:hAnsi="Arial" w:cs="Arial"/>
                <w:b w:val="0"/>
                <w:bCs w:val="0"/>
                <w:sz w:val="22"/>
                <w:szCs w:val="22"/>
              </w:rPr>
              <w:t>Ergonomics of human-system interaction — Part 940: Evaluation of</w:t>
            </w:r>
            <w:r>
              <w:rPr>
                <w:rFonts w:ascii="Arial" w:hAnsi="Arial" w:cs="Arial"/>
                <w:b w:val="0"/>
                <w:bCs w:val="0"/>
                <w:sz w:val="22"/>
                <w:szCs w:val="22"/>
                <w:lang w:val="en-US"/>
              </w:rPr>
              <w:t xml:space="preserve"> </w:t>
            </w:r>
            <w:r>
              <w:rPr>
                <w:rFonts w:ascii="Arial" w:hAnsi="Arial" w:cs="Arial"/>
                <w:b w:val="0"/>
                <w:bCs w:val="0"/>
                <w:sz w:val="22"/>
                <w:szCs w:val="22"/>
              </w:rPr>
              <w:t>tactile and haptic interactions</w:t>
            </w:r>
          </w:p>
        </w:tc>
      </w:tr>
      <w:tr w:rsidR="00844A23" w14:paraId="4B0C8E8E"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3EFB5584" w14:textId="77777777" w:rsidR="00844A23" w:rsidRDefault="00844A23">
            <w:pPr>
              <w:rPr>
                <w:rFonts w:ascii="Arial" w:hAnsi="Arial" w:cs="Arial"/>
                <w:b w:val="0"/>
                <w:bCs w:val="0"/>
              </w:rPr>
            </w:pPr>
            <w:r>
              <w:rPr>
                <w:rFonts w:ascii="Arial" w:hAnsi="Arial" w:cs="Arial"/>
                <w:b w:val="0"/>
                <w:bCs w:val="0"/>
                <w:sz w:val="22"/>
                <w:szCs w:val="22"/>
              </w:rPr>
              <w:t>ISO 14593 – Ultimate Aerobic Biodegradation</w:t>
            </w:r>
          </w:p>
        </w:tc>
      </w:tr>
      <w:tr w:rsidR="00844A23" w14:paraId="2CDB0E19"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3BC5C31D" w14:textId="77777777" w:rsidR="00844A23" w:rsidRDefault="00844A23">
            <w:pPr>
              <w:rPr>
                <w:rFonts w:ascii="Arial" w:hAnsi="Arial" w:cs="Arial"/>
                <w:b w:val="0"/>
                <w:bCs w:val="0"/>
                <w:sz w:val="22"/>
                <w:szCs w:val="22"/>
              </w:rPr>
            </w:pPr>
            <w:r>
              <w:rPr>
                <w:rFonts w:ascii="Arial" w:hAnsi="Arial" w:cs="Arial"/>
                <w:b w:val="0"/>
                <w:bCs w:val="0"/>
                <w:sz w:val="22"/>
                <w:szCs w:val="22"/>
              </w:rPr>
              <w:t>IEC 80601-2-78:2019</w:t>
            </w:r>
            <w:r>
              <w:rPr>
                <w:rFonts w:ascii="Arial" w:hAnsi="Arial" w:cs="Arial"/>
                <w:b w:val="0"/>
                <w:bCs w:val="0"/>
                <w:sz w:val="22"/>
                <w:szCs w:val="22"/>
                <w:lang w:val="en-US"/>
              </w:rPr>
              <w:t xml:space="preserve"> </w:t>
            </w:r>
            <w:r>
              <w:rPr>
                <w:rFonts w:ascii="Arial" w:hAnsi="Arial" w:cs="Arial"/>
                <w:b w:val="0"/>
                <w:bCs w:val="0"/>
                <w:sz w:val="22"/>
                <w:szCs w:val="22"/>
              </w:rPr>
              <w:t>Medical electrical equipment — Part 2-78: Particular requirements for basic safety and essential performance of medical robots for rehabilitation,assessment, compensation or alleviation</w:t>
            </w:r>
          </w:p>
        </w:tc>
      </w:tr>
      <w:tr w:rsidR="00844A23" w14:paraId="5FAF273F"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18" w:space="0" w:color="7F7F7F" w:themeColor="text1" w:themeTint="80"/>
              <w:right w:val="nil"/>
            </w:tcBorders>
          </w:tcPr>
          <w:p w14:paraId="6AB89166" w14:textId="77777777" w:rsidR="00844A23" w:rsidRDefault="00844A23">
            <w:pPr>
              <w:rPr>
                <w:rFonts w:ascii="Arial" w:hAnsi="Arial" w:cs="Arial"/>
                <w:sz w:val="22"/>
                <w:szCs w:val="22"/>
              </w:rPr>
            </w:pPr>
            <w:r>
              <w:rPr>
                <w:rStyle w:val="astm-type-body--lead"/>
                <w:rFonts w:ascii="Arial" w:hAnsi="Arial" w:cs="Arial"/>
                <w:b w:val="0"/>
                <w:bCs w:val="0"/>
                <w:color w:val="232F3A"/>
                <w:sz w:val="22"/>
                <w:szCs w:val="22"/>
              </w:rPr>
              <w:t>ASTM F3323-21</w:t>
            </w:r>
            <w:r>
              <w:rPr>
                <w:rStyle w:val="apple-converted-space"/>
                <w:rFonts w:ascii="Arial" w:hAnsi="Arial" w:cs="Arial"/>
                <w:b w:val="0"/>
                <w:bCs w:val="0"/>
                <w:color w:val="232F3A"/>
                <w:sz w:val="22"/>
                <w:szCs w:val="22"/>
              </w:rPr>
              <w:t> </w:t>
            </w:r>
            <w:r>
              <w:rPr>
                <w:rFonts w:ascii="Arial" w:hAnsi="Arial" w:cs="Arial"/>
                <w:b w:val="0"/>
                <w:bCs w:val="0"/>
                <w:sz w:val="22"/>
                <w:szCs w:val="22"/>
              </w:rPr>
              <w:t>Standard Terminology for Exoskeletons and Exosuits</w:t>
            </w:r>
          </w:p>
          <w:p w14:paraId="45AED85C" w14:textId="77777777" w:rsidR="00844A23" w:rsidRDefault="00844A23">
            <w:pPr>
              <w:rPr>
                <w:rFonts w:ascii="Arial" w:hAnsi="Arial" w:cs="Arial"/>
                <w:sz w:val="22"/>
                <w:szCs w:val="22"/>
              </w:rPr>
            </w:pPr>
          </w:p>
        </w:tc>
      </w:tr>
      <w:tr w:rsidR="00844A23" w14:paraId="4F7099FC"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top w:val="single" w:sz="18" w:space="0" w:color="7F7F7F" w:themeColor="text1" w:themeTint="80"/>
              <w:left w:val="nil"/>
              <w:bottom w:val="single" w:sz="18" w:space="0" w:color="7F7F7F" w:themeColor="text1" w:themeTint="80"/>
              <w:right w:val="nil"/>
            </w:tcBorders>
            <w:hideMark/>
          </w:tcPr>
          <w:p w14:paraId="5D819651" w14:textId="77777777" w:rsidR="00844A23" w:rsidRDefault="00844A23">
            <w:pPr>
              <w:rPr>
                <w:rFonts w:ascii="Arial" w:hAnsi="Arial" w:cs="Arial"/>
                <w:color w:val="000000"/>
                <w:sz w:val="22"/>
                <w:szCs w:val="22"/>
                <w:lang w:val="es-ES"/>
              </w:rPr>
            </w:pPr>
            <w:r>
              <w:rPr>
                <w:rFonts w:ascii="Arial" w:hAnsi="Arial" w:cs="Arial"/>
                <w:color w:val="000000"/>
                <w:sz w:val="22"/>
                <w:szCs w:val="22"/>
                <w:lang w:val="es-ES"/>
              </w:rPr>
              <w:t xml:space="preserve">Web </w:t>
            </w:r>
            <w:proofErr w:type="spellStart"/>
            <w:r>
              <w:rPr>
                <w:rFonts w:ascii="Arial" w:hAnsi="Arial" w:cs="Arial"/>
                <w:color w:val="000000"/>
                <w:sz w:val="22"/>
                <w:szCs w:val="22"/>
                <w:lang w:val="es-ES"/>
              </w:rPr>
              <w:t>References</w:t>
            </w:r>
            <w:proofErr w:type="spellEnd"/>
          </w:p>
        </w:tc>
      </w:tr>
      <w:tr w:rsidR="00844A23" w14:paraId="28A82070"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18" w:space="0" w:color="7F7F7F" w:themeColor="text1" w:themeTint="80"/>
              <w:left w:val="nil"/>
              <w:bottom w:val="single" w:sz="4" w:space="0" w:color="7F7F7F" w:themeColor="text1" w:themeTint="80"/>
              <w:right w:val="nil"/>
            </w:tcBorders>
            <w:hideMark/>
          </w:tcPr>
          <w:p w14:paraId="2DD03C5A" w14:textId="77777777" w:rsidR="00844A23" w:rsidRDefault="00844A23">
            <w:pPr>
              <w:pStyle w:val="NormalWeb"/>
              <w:spacing w:before="0" w:beforeAutospacing="0" w:after="0" w:afterAutospacing="0"/>
              <w:jc w:val="both"/>
              <w:textAlignment w:val="baseline"/>
              <w:rPr>
                <w:rFonts w:ascii="Arial" w:hAnsi="Arial" w:cs="Arial"/>
                <w:b w:val="0"/>
                <w:bCs w:val="0"/>
                <w:color w:val="000000" w:themeColor="text1"/>
                <w:sz w:val="22"/>
                <w:szCs w:val="22"/>
              </w:rPr>
            </w:pPr>
            <w:hyperlink r:id="rId4" w:anchor="Mental_fatigue" w:history="1">
              <w:r>
                <w:rPr>
                  <w:rStyle w:val="Hyperlink"/>
                  <w:rFonts w:ascii="Arial" w:hAnsi="Arial" w:cs="Arial"/>
                  <w:b w:val="0"/>
                  <w:bCs w:val="0"/>
                  <w:color w:val="000000" w:themeColor="text1"/>
                  <w:sz w:val="22"/>
                  <w:szCs w:val="22"/>
                </w:rPr>
                <w:t>https://en.wikipedia.org/wiki/Fatigue#Mental_fatigue</w:t>
              </w:r>
            </w:hyperlink>
          </w:p>
        </w:tc>
      </w:tr>
      <w:tr w:rsidR="00844A23" w14:paraId="44DA3A80"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54F13710" w14:textId="77777777" w:rsidR="00844A23" w:rsidRDefault="00844A23">
            <w:pPr>
              <w:pStyle w:val="NormalWeb"/>
              <w:spacing w:before="0" w:beforeAutospacing="0" w:after="0" w:afterAutospacing="0"/>
              <w:jc w:val="both"/>
              <w:textAlignment w:val="baseline"/>
              <w:rPr>
                <w:rFonts w:ascii="Arial" w:hAnsi="Arial" w:cs="Arial"/>
                <w:b w:val="0"/>
                <w:bCs w:val="0"/>
                <w:color w:val="000000" w:themeColor="text1"/>
                <w:sz w:val="22"/>
                <w:szCs w:val="22"/>
              </w:rPr>
            </w:pPr>
            <w:hyperlink r:id="rId5" w:history="1">
              <w:r>
                <w:rPr>
                  <w:rStyle w:val="Hyperlink"/>
                  <w:rFonts w:ascii="Arial" w:hAnsi="Arial" w:cs="Arial"/>
                  <w:b w:val="0"/>
                  <w:bCs w:val="0"/>
                  <w:color w:val="000000" w:themeColor="text1"/>
                  <w:sz w:val="22"/>
                  <w:szCs w:val="22"/>
                </w:rPr>
                <w:t>https://en.wikipedia.org/wiki/Motor_skill</w:t>
              </w:r>
            </w:hyperlink>
          </w:p>
        </w:tc>
      </w:tr>
      <w:tr w:rsidR="00844A23" w14:paraId="2B861137"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03032A9A" w14:textId="77777777" w:rsidR="00844A23" w:rsidRDefault="00844A23">
            <w:pPr>
              <w:pStyle w:val="NormalWeb"/>
              <w:spacing w:before="0" w:beforeAutospacing="0" w:after="0" w:afterAutospacing="0"/>
              <w:jc w:val="both"/>
              <w:textAlignment w:val="baseline"/>
              <w:rPr>
                <w:rFonts w:ascii="Arial" w:hAnsi="Arial" w:cs="Arial"/>
                <w:b w:val="0"/>
                <w:bCs w:val="0"/>
                <w:color w:val="000000" w:themeColor="text1"/>
                <w:sz w:val="22"/>
                <w:szCs w:val="22"/>
              </w:rPr>
            </w:pPr>
            <w:hyperlink r:id="rId6" w:history="1">
              <w:r>
                <w:rPr>
                  <w:rStyle w:val="Hyperlink"/>
                  <w:rFonts w:ascii="Arial" w:hAnsi="Arial" w:cs="Arial"/>
                  <w:b w:val="0"/>
                  <w:bCs w:val="0"/>
                  <w:color w:val="000000" w:themeColor="text1"/>
                  <w:sz w:val="22"/>
                  <w:szCs w:val="22"/>
                </w:rPr>
                <w:t>https://en.wikipedia.org/wiki/Muscle_fatigue</w:t>
              </w:r>
            </w:hyperlink>
          </w:p>
        </w:tc>
      </w:tr>
      <w:tr w:rsidR="00844A23" w14:paraId="6735CA4D" w14:textId="77777777" w:rsidTr="00844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Borders>
              <w:left w:val="nil"/>
              <w:right w:val="nil"/>
            </w:tcBorders>
            <w:hideMark/>
          </w:tcPr>
          <w:p w14:paraId="514F3875" w14:textId="77777777" w:rsidR="00844A23" w:rsidRDefault="00844A23">
            <w:pPr>
              <w:pStyle w:val="NormalWeb"/>
              <w:spacing w:before="0" w:beforeAutospacing="0" w:after="0" w:afterAutospacing="0"/>
              <w:jc w:val="both"/>
              <w:textAlignment w:val="baseline"/>
              <w:rPr>
                <w:rFonts w:ascii="Arial" w:hAnsi="Arial" w:cs="Arial"/>
                <w:b w:val="0"/>
                <w:bCs w:val="0"/>
                <w:color w:val="000000" w:themeColor="text1"/>
                <w:sz w:val="22"/>
                <w:szCs w:val="22"/>
              </w:rPr>
            </w:pPr>
            <w:hyperlink r:id="rId7" w:history="1">
              <w:r>
                <w:rPr>
                  <w:rStyle w:val="Hyperlink"/>
                  <w:rFonts w:ascii="Arial" w:hAnsi="Arial" w:cs="Arial"/>
                  <w:b w:val="0"/>
                  <w:bCs w:val="0"/>
                  <w:color w:val="000000" w:themeColor="text1"/>
                  <w:sz w:val="22"/>
                  <w:szCs w:val="22"/>
                </w:rPr>
                <w:t>https://en.wikipedia.org/wiki/Impedance_control</w:t>
              </w:r>
            </w:hyperlink>
          </w:p>
        </w:tc>
      </w:tr>
      <w:tr w:rsidR="00844A23" w14:paraId="09D4EEAF" w14:textId="77777777" w:rsidTr="00844A23">
        <w:tc>
          <w:tcPr>
            <w:cnfStyle w:val="001000000000" w:firstRow="0" w:lastRow="0" w:firstColumn="1" w:lastColumn="0" w:oddVBand="0" w:evenVBand="0" w:oddHBand="0" w:evenHBand="0" w:firstRowFirstColumn="0" w:firstRowLastColumn="0" w:lastRowFirstColumn="0" w:lastRowLastColumn="0"/>
            <w:tcW w:w="9010" w:type="dxa"/>
            <w:tcBorders>
              <w:top w:val="single" w:sz="4" w:space="0" w:color="7F7F7F" w:themeColor="text1" w:themeTint="80"/>
              <w:left w:val="nil"/>
              <w:bottom w:val="single" w:sz="4" w:space="0" w:color="7F7F7F" w:themeColor="text1" w:themeTint="80"/>
              <w:right w:val="nil"/>
            </w:tcBorders>
            <w:hideMark/>
          </w:tcPr>
          <w:p w14:paraId="159ED819" w14:textId="77777777" w:rsidR="00844A23" w:rsidRDefault="00844A23">
            <w:pPr>
              <w:pStyle w:val="NormalWeb"/>
              <w:keepNext/>
              <w:spacing w:before="0" w:beforeAutospacing="0" w:after="0" w:afterAutospacing="0"/>
              <w:jc w:val="both"/>
              <w:textAlignment w:val="baseline"/>
              <w:rPr>
                <w:rFonts w:ascii="Arial" w:hAnsi="Arial" w:cs="Arial"/>
                <w:b w:val="0"/>
                <w:bCs w:val="0"/>
                <w:color w:val="000000" w:themeColor="text1"/>
                <w:sz w:val="22"/>
                <w:szCs w:val="22"/>
              </w:rPr>
            </w:pPr>
            <w:hyperlink r:id="rId8" w:history="1">
              <w:r>
                <w:rPr>
                  <w:rStyle w:val="Hyperlink"/>
                  <w:rFonts w:ascii="Arial" w:hAnsi="Arial" w:cs="Arial"/>
                  <w:b w:val="0"/>
                  <w:bCs w:val="0"/>
                  <w:color w:val="000000" w:themeColor="text1"/>
                  <w:sz w:val="22"/>
                  <w:szCs w:val="22"/>
                </w:rPr>
                <w:t>https://www.who.int/news-room/fact-sheets/detail/rehabilitation</w:t>
              </w:r>
            </w:hyperlink>
            <w:r>
              <w:rPr>
                <w:rFonts w:ascii="Arial" w:hAnsi="Arial" w:cs="Arial"/>
                <w:b w:val="0"/>
                <w:bCs w:val="0"/>
                <w:color w:val="000000" w:themeColor="text1"/>
                <w:sz w:val="22"/>
                <w:szCs w:val="22"/>
              </w:rPr>
              <w:t xml:space="preserve"> </w:t>
            </w:r>
          </w:p>
        </w:tc>
      </w:tr>
    </w:tbl>
    <w:p w14:paraId="48D55A82" w14:textId="77777777" w:rsidR="00844A23" w:rsidRDefault="00844A23" w:rsidP="00844A23">
      <w:pPr>
        <w:rPr>
          <w:rFonts w:ascii="Arial" w:hAnsi="Arial" w:cs="Arial"/>
          <w:color w:val="000000"/>
          <w:sz w:val="22"/>
          <w:szCs w:val="22"/>
        </w:rPr>
      </w:pPr>
    </w:p>
    <w:p w14:paraId="10FC80D3"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23"/>
    <w:rsid w:val="00844A23"/>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EBBC2"/>
  <w15:chartTrackingRefBased/>
  <w15:docId w15:val="{37E78FDF-D0E9-47FE-A0D0-342C7553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A23"/>
    <w:pPr>
      <w:spacing w:line="480" w:lineRule="auto"/>
    </w:pPr>
    <w:rPr>
      <w:rFonts w:ascii="Times New Roman" w:eastAsia="Times New Roman" w:hAnsi="Times New Roman" w:cs="Times New Roman"/>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4A23"/>
    <w:rPr>
      <w:color w:val="0000FF"/>
      <w:u w:val="single"/>
    </w:rPr>
  </w:style>
  <w:style w:type="paragraph" w:styleId="NormalWeb">
    <w:name w:val="Normal (Web)"/>
    <w:basedOn w:val="Normal"/>
    <w:uiPriority w:val="99"/>
    <w:semiHidden/>
    <w:unhideWhenUsed/>
    <w:rsid w:val="00844A23"/>
    <w:pPr>
      <w:spacing w:before="100" w:beforeAutospacing="1" w:after="100" w:afterAutospacing="1"/>
    </w:pPr>
  </w:style>
  <w:style w:type="paragraph" w:styleId="Caption">
    <w:name w:val="caption"/>
    <w:basedOn w:val="Normal"/>
    <w:next w:val="Normal"/>
    <w:uiPriority w:val="35"/>
    <w:semiHidden/>
    <w:unhideWhenUsed/>
    <w:qFormat/>
    <w:rsid w:val="00844A23"/>
    <w:pPr>
      <w:spacing w:after="200"/>
    </w:pPr>
    <w:rPr>
      <w:i/>
      <w:iCs/>
      <w:color w:val="44546A" w:themeColor="text2"/>
      <w:sz w:val="18"/>
      <w:szCs w:val="18"/>
    </w:rPr>
  </w:style>
  <w:style w:type="character" w:customStyle="1" w:styleId="apple-converted-space">
    <w:name w:val="apple-converted-space"/>
    <w:basedOn w:val="DefaultParagraphFont"/>
    <w:rsid w:val="00844A23"/>
  </w:style>
  <w:style w:type="character" w:customStyle="1" w:styleId="astm-type-body--lead">
    <w:name w:val="astm-type-body--lead"/>
    <w:basedOn w:val="DefaultParagraphFont"/>
    <w:rsid w:val="00844A23"/>
  </w:style>
  <w:style w:type="table" w:styleId="PlainTable2">
    <w:name w:val="Plain Table 2"/>
    <w:basedOn w:val="TableNormal"/>
    <w:uiPriority w:val="42"/>
    <w:rsid w:val="00844A23"/>
    <w:pPr>
      <w:spacing w:line="480" w:lineRule="auto"/>
    </w:pPr>
    <w:rPr>
      <w:sz w:val="24"/>
      <w:szCs w:val="24"/>
      <w:lang w:val="is-I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19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news-room/fact-sheets/detail/rehabilitation" TargetMode="External"/><Relationship Id="rId3" Type="http://schemas.openxmlformats.org/officeDocument/2006/relationships/webSettings" Target="webSettings.xml"/><Relationship Id="rId7" Type="http://schemas.openxmlformats.org/officeDocument/2006/relationships/hyperlink" Target="https://en.wikipedia.org/wiki/Impedance_contro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Muscle_fatigue" TargetMode="External"/><Relationship Id="rId5" Type="http://schemas.openxmlformats.org/officeDocument/2006/relationships/hyperlink" Target="https://en.wikipedia.org/wiki/Motor_skill" TargetMode="External"/><Relationship Id="rId10" Type="http://schemas.openxmlformats.org/officeDocument/2006/relationships/theme" Target="theme/theme1.xml"/><Relationship Id="rId4" Type="http://schemas.openxmlformats.org/officeDocument/2006/relationships/hyperlink" Target="https://en.wikipedia.org/wiki/Fatigu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7088</Words>
  <Characters>40407</Characters>
  <Application>Microsoft Office Word</Application>
  <DocSecurity>0</DocSecurity>
  <Lines>336</Lines>
  <Paragraphs>94</Paragraphs>
  <ScaleCrop>false</ScaleCrop>
  <Company>Springer Nature</Company>
  <LinksUpToDate>false</LinksUpToDate>
  <CharactersWithSpaces>47401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2022-11-10T07:57:00Z</dcterms:created>
  <dcterms:modified xsi:type="dcterms:W3CDTF">2022-11-10T07:57:00Z</dcterms:modified>
</cp:coreProperties>
</file>