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588" w:rsidRDefault="00BA4588" w:rsidP="00BA4588">
      <w:pPr>
        <w:pStyle w:val="titresection"/>
        <w:numPr>
          <w:ilvl w:val="0"/>
          <w:numId w:val="0"/>
        </w:numPr>
        <w:spacing w:line="360" w:lineRule="auto"/>
        <w:ind w:left="501"/>
        <w:rPr>
          <w:lang w:val="en-US"/>
        </w:rPr>
      </w:pPr>
      <w:bookmarkStart w:id="0" w:name="_Toc83906307"/>
      <w:bookmarkStart w:id="1" w:name="_Toc92610014"/>
      <w:bookmarkStart w:id="2" w:name="_Toc96267780"/>
      <w:r>
        <w:rPr>
          <w:lang w:val="en-US"/>
        </w:rPr>
        <w:t>Supplementary material</w:t>
      </w:r>
    </w:p>
    <w:p w:rsidR="00BA4588" w:rsidRPr="00BA4588" w:rsidRDefault="00BA4588" w:rsidP="00BA4588">
      <w:pPr>
        <w:pStyle w:val="titresection"/>
        <w:numPr>
          <w:ilvl w:val="0"/>
          <w:numId w:val="0"/>
        </w:numPr>
        <w:spacing w:line="360" w:lineRule="auto"/>
        <w:ind w:left="501"/>
        <w:rPr>
          <w:i/>
          <w:lang w:val="en-US"/>
        </w:rPr>
      </w:pPr>
      <w:r w:rsidRPr="00BA4588">
        <w:rPr>
          <w:i/>
          <w:lang w:val="en-US"/>
        </w:rPr>
        <w:t>Variance estimat</w:t>
      </w:r>
      <w:bookmarkEnd w:id="0"/>
      <w:r w:rsidRPr="00BA4588">
        <w:rPr>
          <w:i/>
          <w:lang w:val="en-US"/>
        </w:rPr>
        <w:t>es</w:t>
      </w:r>
      <w:bookmarkEnd w:id="1"/>
      <w:bookmarkEnd w:id="2"/>
      <w:r w:rsidRPr="00BA4588">
        <w:rPr>
          <w:i/>
          <w:lang w:val="en-US"/>
        </w:rPr>
        <w:t xml:space="preserve">  </w:t>
      </w:r>
    </w:p>
    <w:p w:rsidR="00BA4588" w:rsidRPr="00857314" w:rsidRDefault="00BA4588" w:rsidP="00BA4588">
      <w:pPr>
        <w:pStyle w:val="Normal1"/>
        <w:spacing w:line="360" w:lineRule="auto"/>
      </w:pPr>
      <w:r w:rsidRPr="00857314">
        <w:t>The Output Error method is statistically optimal (asymptotically unbiased and minimum variance) when noises and disturbances reduce to an additive white noise on the output. This is not the case here, in particular because of the contribution of climate internal variability. This optimality deficit (weaker as the minimization interval [</w:t>
      </w:r>
      <w:r w:rsidRPr="00857314">
        <w:rPr>
          <w:i/>
        </w:rPr>
        <w:t>t</w:t>
      </w:r>
      <w:r w:rsidRPr="00857314">
        <w:rPr>
          <w:vertAlign w:val="subscript"/>
        </w:rPr>
        <w:t>1</w:t>
      </w:r>
      <w:r w:rsidRPr="00857314">
        <w:t xml:space="preserve">, </w:t>
      </w:r>
      <w:r w:rsidRPr="00857314">
        <w:rPr>
          <w:i/>
        </w:rPr>
        <w:t>t</w:t>
      </w:r>
      <w:r w:rsidRPr="00857314">
        <w:rPr>
          <w:vertAlign w:val="subscript"/>
        </w:rPr>
        <w:t>2</w:t>
      </w:r>
      <w:r w:rsidRPr="00857314">
        <w:t xml:space="preserve">] is larger) is nevertheless compatible with a variance calculation based on the autocorrelation function of the residuals. </w:t>
      </w:r>
      <w:r>
        <w:t>Consider</w:t>
      </w:r>
      <w:r w:rsidRPr="00857314">
        <w:t xml:space="preserve"> the linear equation:  </w:t>
      </w:r>
    </w:p>
    <w:p w:rsidR="00BA4588" w:rsidRPr="00857314" w:rsidRDefault="00BA4588" w:rsidP="00BA4588">
      <w:pPr>
        <w:pStyle w:val="Normal1"/>
        <w:spacing w:line="360" w:lineRule="auto"/>
      </w:pPr>
      <w:r w:rsidRPr="00857314">
        <w:tab/>
      </w:r>
      <w:r w:rsidRPr="00857314">
        <w:rPr>
          <w:position w:val="-10"/>
        </w:rPr>
        <w:object w:dxaOrig="11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75pt;height:15.6pt" o:ole="">
            <v:imagedata r:id="rId5" o:title=""/>
          </v:shape>
          <o:OLEObject Type="Embed" ProgID="Equation.DSMT4" ShapeID="_x0000_i1025" DrawAspect="Content" ObjectID="_1728986029" r:id="rId6"/>
        </w:object>
      </w:r>
      <w:r w:rsidRPr="00857314">
        <w:tab/>
      </w:r>
      <w:r w:rsidRPr="00857314">
        <w:tab/>
      </w:r>
      <w:r w:rsidRPr="00857314">
        <w:tab/>
      </w:r>
      <w:r w:rsidRPr="00857314">
        <w:tab/>
      </w:r>
      <w:r w:rsidRPr="00857314">
        <w:tab/>
      </w:r>
      <w:r w:rsidRPr="00857314">
        <w:tab/>
      </w:r>
      <w:r w:rsidRPr="00857314">
        <w:tab/>
      </w:r>
      <w:r w:rsidRPr="00857314">
        <w:tab/>
      </w:r>
      <w:r w:rsidRPr="00857314">
        <w:tab/>
      </w:r>
      <w:r w:rsidRPr="00857314">
        <w:tab/>
        <w:t xml:space="preserve"> </w:t>
      </w:r>
    </w:p>
    <w:p w:rsidR="00BA4588" w:rsidRPr="00857314" w:rsidRDefault="00BA4588" w:rsidP="00BA4588">
      <w:pPr>
        <w:pStyle w:val="Normal1"/>
        <w:spacing w:line="360" w:lineRule="auto"/>
      </w:pPr>
      <w:r w:rsidRPr="00857314">
        <w:t xml:space="preserve">- </w:t>
      </w:r>
      <w:r w:rsidRPr="00857314">
        <w:rPr>
          <w:position w:val="-12"/>
        </w:rPr>
        <w:object w:dxaOrig="1900" w:dyaOrig="380">
          <v:shape id="_x0000_i1026" type="#_x0000_t75" style="width:97.8pt;height:18.35pt" o:ole="">
            <v:imagedata r:id="rId7" o:title=""/>
          </v:shape>
          <o:OLEObject Type="Embed" ProgID="Equation.DSMT4" ShapeID="_x0000_i1026" DrawAspect="Content" ObjectID="_1728986030" r:id="rId8"/>
        </w:object>
      </w:r>
      <w:r w:rsidRPr="00857314">
        <w:t xml:space="preserve"> is the vector of observations, from </w:t>
      </w:r>
      <w:r w:rsidRPr="00857314">
        <w:rPr>
          <w:i/>
        </w:rPr>
        <w:t xml:space="preserve">t = </w:t>
      </w:r>
      <w:r w:rsidRPr="00857314">
        <w:t xml:space="preserve">1 to </w:t>
      </w:r>
      <w:proofErr w:type="gramStart"/>
      <w:r w:rsidRPr="00857314">
        <w:t>t</w:t>
      </w:r>
      <w:r w:rsidRPr="00857314">
        <w:rPr>
          <w:i/>
        </w:rPr>
        <w:t xml:space="preserve"> </w:t>
      </w:r>
      <w:r w:rsidRPr="00857314">
        <w:t xml:space="preserve"> =</w:t>
      </w:r>
      <w:proofErr w:type="gramEnd"/>
      <w:r w:rsidRPr="00857314">
        <w:t xml:space="preserve"> </w:t>
      </w:r>
      <w:r w:rsidRPr="00857314">
        <w:rPr>
          <w:i/>
          <w:iCs/>
        </w:rPr>
        <w:t>T.</w:t>
      </w:r>
      <w:r w:rsidRPr="00857314">
        <w:t xml:space="preserve"> </w:t>
      </w:r>
    </w:p>
    <w:p w:rsidR="00BA4588" w:rsidRPr="00857314" w:rsidRDefault="00BA4588" w:rsidP="00BA4588">
      <w:pPr>
        <w:pStyle w:val="Normal1"/>
        <w:spacing w:line="360" w:lineRule="auto"/>
      </w:pPr>
      <w:r w:rsidRPr="00857314">
        <w:t xml:space="preserve">- </w:t>
      </w:r>
      <w:r w:rsidRPr="00857314">
        <w:rPr>
          <w:position w:val="-10"/>
        </w:rPr>
        <w:object w:dxaOrig="460" w:dyaOrig="320">
          <v:shape id="_x0000_i1027" type="#_x0000_t75" style="width:18.35pt;height:14.95pt" o:ole="">
            <v:imagedata r:id="rId9" o:title=""/>
          </v:shape>
          <o:OLEObject Type="Embed" ProgID="Equation.DSMT4" ShapeID="_x0000_i1027" DrawAspect="Content" ObjectID="_1728986031" r:id="rId10"/>
        </w:object>
      </w:r>
      <w:r w:rsidRPr="00857314">
        <w:t xml:space="preserve"> is the vector of outputs that would result from the exact, unperturbed model.</w:t>
      </w:r>
    </w:p>
    <w:p w:rsidR="00BA4588" w:rsidRPr="00857314" w:rsidRDefault="00BA4588" w:rsidP="00BA4588">
      <w:pPr>
        <w:pStyle w:val="Normal1"/>
        <w:spacing w:line="360" w:lineRule="auto"/>
      </w:pPr>
      <w:r w:rsidRPr="00857314">
        <w:t xml:space="preserve">- </w:t>
      </w:r>
      <w:r w:rsidRPr="00857314">
        <w:rPr>
          <w:position w:val="-12"/>
        </w:rPr>
        <w:object w:dxaOrig="1840" w:dyaOrig="380">
          <v:shape id="_x0000_i1028" type="#_x0000_t75" style="width:86.95pt;height:18.35pt" o:ole="">
            <v:imagedata r:id="rId11" o:title=""/>
          </v:shape>
          <o:OLEObject Type="Embed" ProgID="Equation.DSMT4" ShapeID="_x0000_i1028" DrawAspect="Content" ObjectID="_1728986032" r:id="rId12"/>
        </w:object>
      </w:r>
      <w:r w:rsidRPr="00857314">
        <w:t xml:space="preserve"> is the deviation resulting from the noise and perturbations carried on the output. The sequence </w:t>
      </w:r>
      <w:proofErr w:type="spellStart"/>
      <w:r w:rsidRPr="00857314">
        <w:rPr>
          <w:i/>
        </w:rPr>
        <w:t>v</w:t>
      </w:r>
      <w:r w:rsidRPr="00857314">
        <w:rPr>
          <w:i/>
          <w:vertAlign w:val="subscript"/>
        </w:rPr>
        <w:t>t</w:t>
      </w:r>
      <w:proofErr w:type="spellEnd"/>
      <w:r w:rsidRPr="00857314">
        <w:t xml:space="preserve"> is assumed to be identically distributed, ergodic and centered, but not necessarily independent</w:t>
      </w:r>
      <w:proofErr w:type="gramStart"/>
      <w:r w:rsidRPr="00857314">
        <w:t xml:space="preserve">: </w:t>
      </w:r>
      <w:proofErr w:type="gramEnd"/>
      <w:r w:rsidRPr="00857314">
        <w:rPr>
          <w:position w:val="-14"/>
        </w:rPr>
        <w:object w:dxaOrig="1320" w:dyaOrig="380">
          <v:shape id="_x0000_i1029" type="#_x0000_t75" style="width:64.55pt;height:18.35pt" o:ole="">
            <v:imagedata r:id="rId13" o:title=""/>
          </v:shape>
          <o:OLEObject Type="Embed" ProgID="Equation.DSMT4" ShapeID="_x0000_i1029" DrawAspect="Content" ObjectID="_1728986033" r:id="rId14"/>
        </w:object>
      </w:r>
      <w:r w:rsidRPr="00857314">
        <w:t>.</w:t>
      </w:r>
    </w:p>
    <w:p w:rsidR="00BA4588" w:rsidRPr="00857314" w:rsidRDefault="00BA4588" w:rsidP="00BA4588">
      <w:pPr>
        <w:pStyle w:val="Normal1"/>
        <w:spacing w:line="360" w:lineRule="auto"/>
      </w:pPr>
      <w:r w:rsidRPr="00857314">
        <w:t xml:space="preserve">Let </w:t>
      </w:r>
      <w:r w:rsidRPr="00857314">
        <w:rPr>
          <w:position w:val="-10"/>
        </w:rPr>
        <w:object w:dxaOrig="900" w:dyaOrig="380">
          <v:shape id="_x0000_i1030" type="#_x0000_t75" style="width:42.1pt;height:22.4pt" o:ole="">
            <v:imagedata r:id="rId15" o:title=""/>
          </v:shape>
          <o:OLEObject Type="Embed" ProgID="Equation.DSMT4" ShapeID="_x0000_i1030" DrawAspect="Content" ObjectID="_1728986034" r:id="rId16"/>
        </w:object>
      </w:r>
      <w:r w:rsidRPr="00857314">
        <w:t xml:space="preserve"> be the least squares estimate of </w:t>
      </w:r>
      <w:r w:rsidRPr="00857314">
        <w:rPr>
          <w:i/>
        </w:rPr>
        <w:t>θ</w:t>
      </w:r>
      <w:r w:rsidRPr="00857314">
        <w:t>, where</w:t>
      </w:r>
      <w:r w:rsidRPr="00857314">
        <w:rPr>
          <w:i/>
        </w:rPr>
        <w:t xml:space="preserve"> X</w:t>
      </w:r>
      <w:r w:rsidRPr="00857314">
        <w:rPr>
          <w:vertAlign w:val="superscript"/>
        </w:rPr>
        <w:t>+</w:t>
      </w:r>
      <w:r w:rsidRPr="00857314">
        <w:t xml:space="preserve"> is the pseudo-inverse of</w:t>
      </w:r>
      <w:r w:rsidRPr="00857314">
        <w:rPr>
          <w:i/>
        </w:rPr>
        <w:t xml:space="preserve"> X</w:t>
      </w:r>
      <w:r w:rsidRPr="00857314">
        <w:t>:</w:t>
      </w:r>
    </w:p>
    <w:p w:rsidR="00BA4588" w:rsidRPr="00857314" w:rsidRDefault="00BA4588" w:rsidP="00BA4588">
      <w:pPr>
        <w:pStyle w:val="Normal1"/>
        <w:spacing w:line="360" w:lineRule="auto"/>
        <w:ind w:firstLine="720"/>
      </w:pPr>
      <w:r w:rsidRPr="00857314">
        <w:rPr>
          <w:position w:val="-12"/>
        </w:rPr>
        <w:object w:dxaOrig="1820" w:dyaOrig="380">
          <v:shape id="_x0000_i1031" type="#_x0000_t75" style="width:90.35pt;height:18.35pt" o:ole="">
            <v:imagedata r:id="rId17" o:title=""/>
          </v:shape>
          <o:OLEObject Type="Embed" ProgID="Equation.DSMT4" ShapeID="_x0000_i1031" DrawAspect="Content" ObjectID="_1728986035" r:id="rId18"/>
        </w:object>
      </w:r>
      <w:r w:rsidRPr="00857314">
        <w:tab/>
      </w:r>
      <w:r w:rsidRPr="00857314">
        <w:tab/>
      </w:r>
      <w:r w:rsidRPr="00857314">
        <w:tab/>
      </w:r>
      <w:r w:rsidRPr="00857314">
        <w:tab/>
      </w:r>
      <w:r w:rsidRPr="00857314">
        <w:tab/>
      </w:r>
      <w:r w:rsidRPr="00857314">
        <w:tab/>
      </w:r>
      <w:r w:rsidRPr="00857314">
        <w:tab/>
      </w:r>
      <w:r w:rsidRPr="00857314">
        <w:tab/>
      </w:r>
      <w:r w:rsidRPr="00857314">
        <w:tab/>
        <w:t>41</w:t>
      </w:r>
    </w:p>
    <w:p w:rsidR="00BA4588" w:rsidRPr="00857314" w:rsidRDefault="00BA4588" w:rsidP="00BA4588">
      <w:pPr>
        <w:pStyle w:val="Normal1"/>
        <w:spacing w:line="360" w:lineRule="auto"/>
      </w:pPr>
      <w:r w:rsidRPr="00857314">
        <w:t>Hence the estimation error:</w:t>
      </w:r>
      <w:r w:rsidRPr="00857314">
        <w:tab/>
      </w:r>
    </w:p>
    <w:p w:rsidR="00BA4588" w:rsidRPr="00857314" w:rsidRDefault="00BA4588" w:rsidP="00BA4588">
      <w:pPr>
        <w:pStyle w:val="Normal1"/>
        <w:spacing w:line="360" w:lineRule="auto"/>
        <w:ind w:firstLine="720"/>
      </w:pPr>
      <w:r w:rsidRPr="00857314">
        <w:rPr>
          <w:position w:val="-12"/>
        </w:rPr>
        <w:object w:dxaOrig="1500" w:dyaOrig="400">
          <v:shape id="_x0000_i1032" type="#_x0000_t75" style="width:75.4pt;height:18.35pt" o:ole="">
            <v:imagedata r:id="rId19" o:title=""/>
          </v:shape>
          <o:OLEObject Type="Embed" ProgID="Equation.DSMT4" ShapeID="_x0000_i1032" DrawAspect="Content" ObjectID="_1728986036" r:id="rId20"/>
        </w:object>
      </w:r>
      <w:r w:rsidRPr="00857314">
        <w:tab/>
      </w:r>
      <w:r w:rsidRPr="00857314">
        <w:tab/>
      </w:r>
      <w:r w:rsidRPr="00857314">
        <w:tab/>
      </w:r>
      <w:r w:rsidRPr="00857314">
        <w:tab/>
      </w:r>
      <w:r w:rsidRPr="00857314">
        <w:tab/>
      </w:r>
      <w:r w:rsidRPr="00857314">
        <w:tab/>
      </w:r>
      <w:r w:rsidRPr="00857314">
        <w:tab/>
      </w:r>
      <w:r w:rsidRPr="00857314">
        <w:tab/>
      </w:r>
      <w:r w:rsidRPr="00857314">
        <w:tab/>
        <w:t>42</w:t>
      </w:r>
    </w:p>
    <w:p w:rsidR="00BA4588" w:rsidRPr="00857314" w:rsidRDefault="00BA4588" w:rsidP="00BA4588">
      <w:pPr>
        <w:pStyle w:val="Normal1"/>
        <w:spacing w:line="360" w:lineRule="auto"/>
        <w:ind w:firstLine="0"/>
      </w:pPr>
      <w:proofErr w:type="gramStart"/>
      <w:r w:rsidRPr="00857314">
        <w:t>and</w:t>
      </w:r>
      <w:proofErr w:type="gramEnd"/>
      <w:r w:rsidRPr="00857314">
        <w:t xml:space="preserve"> the variance of the error:  </w:t>
      </w:r>
      <w:r w:rsidRPr="00857314">
        <w:rPr>
          <w:position w:val="-12"/>
        </w:rPr>
        <w:object w:dxaOrig="1660" w:dyaOrig="380">
          <v:shape id="_x0000_i1033" type="#_x0000_t75" style="width:86.95pt;height:18.35pt" o:ole="">
            <v:imagedata r:id="rId21" o:title=""/>
          </v:shape>
          <o:OLEObject Type="Embed" ProgID="Equation.DSMT4" ShapeID="_x0000_i1033" DrawAspect="Content" ObjectID="_1728986037" r:id="rId22"/>
        </w:object>
      </w:r>
      <w:r w:rsidRPr="00857314">
        <w:t xml:space="preserve">, where </w:t>
      </w:r>
      <w:r w:rsidRPr="00857314">
        <w:rPr>
          <w:position w:val="-12"/>
        </w:rPr>
        <w:object w:dxaOrig="1320" w:dyaOrig="380">
          <v:shape id="_x0000_i1034" type="#_x0000_t75" style="width:68.6pt;height:18.35pt" o:ole="">
            <v:imagedata r:id="rId23" o:title=""/>
          </v:shape>
          <o:OLEObject Type="Embed" ProgID="Equation.DSMT4" ShapeID="_x0000_i1034" DrawAspect="Content" ObjectID="_1728986038" r:id="rId24"/>
        </w:object>
      </w:r>
      <w:r w:rsidRPr="00857314">
        <w:t xml:space="preserve"> is the covariance matrix of </w:t>
      </w:r>
      <w:r w:rsidRPr="00857314">
        <w:rPr>
          <w:i/>
        </w:rPr>
        <w:t>v</w:t>
      </w:r>
      <w:r w:rsidRPr="00857314">
        <w:t xml:space="preserve"> (dimension </w:t>
      </w:r>
      <w:proofErr w:type="spellStart"/>
      <w:r w:rsidRPr="00857314">
        <w:rPr>
          <w:i/>
        </w:rPr>
        <w:t>N</w:t>
      </w:r>
      <w:r w:rsidRPr="00857314">
        <w:rPr>
          <w:rFonts w:asciiTheme="minorHAnsi" w:hAnsiTheme="minorHAnsi"/>
          <w:i/>
        </w:rPr>
        <w:t>x</w:t>
      </w:r>
      <w:r w:rsidRPr="00857314">
        <w:rPr>
          <w:i/>
        </w:rPr>
        <w:t>N</w:t>
      </w:r>
      <w:proofErr w:type="spellEnd"/>
      <w:r w:rsidRPr="00857314">
        <w:t xml:space="preserve">). Let </w:t>
      </w:r>
      <w:r w:rsidRPr="00857314">
        <w:rPr>
          <w:position w:val="-28"/>
        </w:rPr>
        <w:object w:dxaOrig="1960" w:dyaOrig="680">
          <v:shape id="_x0000_i1035" type="#_x0000_t75" style="width:97.8pt;height:33.3pt" o:ole="">
            <v:imagedata r:id="rId25" o:title=""/>
          </v:shape>
          <o:OLEObject Type="Embed" ProgID="Equation.DSMT4" ShapeID="_x0000_i1035" DrawAspect="Content" ObjectID="_1728986039" r:id="rId26"/>
        </w:object>
      </w:r>
      <w:r w:rsidRPr="00857314">
        <w:t>be the autocorrelation function of the residuals</w:t>
      </w:r>
      <w:r w:rsidRPr="00857314">
        <w:rPr>
          <w:position w:val="-10"/>
        </w:rPr>
        <w:object w:dxaOrig="1200" w:dyaOrig="380">
          <v:shape id="_x0000_i1036" type="#_x0000_t75" style="width:54.35pt;height:18.35pt" o:ole="">
            <v:imagedata r:id="rId27" o:title=""/>
          </v:shape>
          <o:OLEObject Type="Embed" ProgID="Equation.DSMT4" ShapeID="_x0000_i1036" DrawAspect="Content" ObjectID="_1728986040" r:id="rId28"/>
        </w:object>
      </w:r>
      <w:r w:rsidRPr="00857314">
        <w:t>. We approximate:</w:t>
      </w:r>
    </w:p>
    <w:p w:rsidR="00BA4588" w:rsidRPr="00857314" w:rsidRDefault="00BA4588" w:rsidP="00BA4588">
      <w:pPr>
        <w:pStyle w:val="Normal1"/>
        <w:spacing w:line="360" w:lineRule="auto"/>
      </w:pPr>
      <w:r w:rsidRPr="00857314">
        <w:tab/>
      </w:r>
      <w:r w:rsidRPr="00857314">
        <w:rPr>
          <w:position w:val="-18"/>
        </w:rPr>
        <w:object w:dxaOrig="2340" w:dyaOrig="480">
          <v:shape id="_x0000_i1037" type="#_x0000_t75" style="width:118.2pt;height:22.4pt" o:ole="">
            <v:imagedata r:id="rId29" o:title=""/>
          </v:shape>
          <o:OLEObject Type="Embed" ProgID="Equation.DSMT4" ShapeID="_x0000_i1037" DrawAspect="Content" ObjectID="_1728986041" r:id="rId30"/>
        </w:object>
      </w:r>
      <w:r w:rsidRPr="00857314">
        <w:tab/>
      </w:r>
      <w:r w:rsidRPr="00857314">
        <w:tab/>
      </w:r>
      <w:r w:rsidRPr="00857314">
        <w:tab/>
      </w:r>
      <w:r w:rsidRPr="00857314">
        <w:tab/>
      </w:r>
      <w:r w:rsidRPr="00857314">
        <w:tab/>
      </w:r>
      <w:r w:rsidRPr="00857314">
        <w:tab/>
      </w:r>
      <w:r w:rsidRPr="00857314">
        <w:tab/>
      </w:r>
      <w:r w:rsidRPr="00857314">
        <w:tab/>
        <w:t>43</w:t>
      </w:r>
    </w:p>
    <w:p w:rsidR="00BA4588" w:rsidRPr="00857314" w:rsidRDefault="00BA4588" w:rsidP="00BA4588">
      <w:pPr>
        <w:pStyle w:val="Normal1"/>
        <w:spacing w:line="360" w:lineRule="auto"/>
      </w:pPr>
      <w:r w:rsidRPr="00857314">
        <w:t>Hence the variance:</w:t>
      </w:r>
    </w:p>
    <w:p w:rsidR="00BA4588" w:rsidRPr="00857314" w:rsidRDefault="00BA4588" w:rsidP="00BA4588">
      <w:pPr>
        <w:pStyle w:val="Normal1"/>
        <w:spacing w:line="360" w:lineRule="auto"/>
        <w:ind w:firstLine="720"/>
      </w:pPr>
      <w:r w:rsidRPr="00857314">
        <w:rPr>
          <w:position w:val="-18"/>
        </w:rPr>
        <w:object w:dxaOrig="2520" w:dyaOrig="480">
          <v:shape id="_x0000_i1038" type="#_x0000_t75" style="width:129.75pt;height:22.4pt" o:ole="">
            <v:imagedata r:id="rId31" o:title=""/>
          </v:shape>
          <o:OLEObject Type="Embed" ProgID="Equation.DSMT4" ShapeID="_x0000_i1038" DrawAspect="Content" ObjectID="_1728986042" r:id="rId32"/>
        </w:object>
      </w:r>
      <w:r w:rsidRPr="00857314">
        <w:tab/>
      </w:r>
      <w:r w:rsidRPr="00857314">
        <w:tab/>
      </w:r>
      <w:r w:rsidRPr="00857314">
        <w:tab/>
      </w:r>
      <w:r w:rsidRPr="00857314">
        <w:tab/>
      </w:r>
      <w:r w:rsidRPr="00857314">
        <w:tab/>
      </w:r>
      <w:r w:rsidRPr="00857314">
        <w:tab/>
      </w:r>
      <w:r w:rsidRPr="00857314">
        <w:tab/>
      </w:r>
      <w:r w:rsidRPr="00857314">
        <w:tab/>
        <w:t>44</w:t>
      </w:r>
    </w:p>
    <w:p w:rsidR="00BA4588" w:rsidRPr="00857314" w:rsidRDefault="00BA4588" w:rsidP="00BA4588">
      <w:pPr>
        <w:pStyle w:val="Normal1"/>
        <w:spacing w:line="360" w:lineRule="auto"/>
        <w:rPr>
          <w:i/>
        </w:rPr>
      </w:pPr>
      <w:r w:rsidRPr="00857314">
        <w:rPr>
          <w:i/>
        </w:rPr>
        <w:t xml:space="preserve">Comment </w:t>
      </w:r>
    </w:p>
    <w:p w:rsidR="00BA4588" w:rsidRPr="00857314" w:rsidRDefault="00BA4588" w:rsidP="00BA4588">
      <w:pPr>
        <w:pStyle w:val="Normal1"/>
        <w:spacing w:line="360" w:lineRule="auto"/>
      </w:pPr>
      <w:r w:rsidRPr="00857314">
        <w:t>The above approximation relies on two assumptions: time invariance and ergodicity of the sequence </w:t>
      </w:r>
      <w:r w:rsidRPr="00857314">
        <w:rPr>
          <w:i/>
        </w:rPr>
        <w:t>ν</w:t>
      </w:r>
      <w:r w:rsidRPr="00857314">
        <w:t xml:space="preserve">. The validity of the invariance assumption is just a matter of degree. Ergodicity is more problematic. It assumes that the concerned series </w:t>
      </w:r>
      <w:r w:rsidRPr="00857314">
        <w:rPr>
          <w:i/>
        </w:rPr>
        <w:t>y</w:t>
      </w:r>
      <w:r w:rsidRPr="00857314">
        <w:t xml:space="preserve"> is representative of the probability </w:t>
      </w:r>
      <w:r w:rsidRPr="00857314">
        <w:lastRenderedPageBreak/>
        <w:t>space of all conceivable data. In our climate context, this space is not probabilizable. It makes no sense to assign probabilities to reconstructions whose proxies and their treatments have been arbitrarily selected.</w:t>
      </w:r>
    </w:p>
    <w:p w:rsidR="00BA4588" w:rsidRPr="00857314" w:rsidRDefault="00BA4588" w:rsidP="00BA4588">
      <w:pPr>
        <w:pStyle w:val="Normal1"/>
        <w:spacing w:line="360" w:lineRule="auto"/>
      </w:pPr>
      <w:r w:rsidRPr="00857314">
        <w:t xml:space="preserve">Under these conditions, the variances calculated above are reduced (which is not to be neglected) to the uncertainties resulting from the noise and perturbations as they are concretely manifested through the temporal variations of the observed signals. Due to the arbitrariness of the selection and processing of the proxies (and even of the instrumental data), a probabilistic formulation makes sense only in a Bayesian perspective pushed to the extreme. Yet, the IPCC authors assign probability ranges and confidence levels to all its assessments or assertions, in spite of that </w:t>
      </w:r>
      <w:r w:rsidRPr="00857314">
        <w:rPr>
          <w:i/>
        </w:rPr>
        <w:t xml:space="preserve">"the probability of an event is the degree of belief that exists among </w:t>
      </w:r>
      <w:r w:rsidRPr="00857314">
        <w:t xml:space="preserve">[ours] </w:t>
      </w:r>
      <w:r w:rsidRPr="00857314">
        <w:rPr>
          <w:i/>
        </w:rPr>
        <w:t>lead authors and reviewers that the event will occur. When complex systems are the topic, both prior and updated probability distributions usually contain a high degree of (informed) subjectivity</w:t>
      </w:r>
      <w:r w:rsidRPr="00857314">
        <w:t xml:space="preserve">" (Moss, R.H. and Schneider, S.H., 2000). </w:t>
      </w:r>
    </w:p>
    <w:p w:rsidR="00BA4588" w:rsidRPr="00857314" w:rsidRDefault="00BA4588" w:rsidP="00BA4588">
      <w:pPr>
        <w:pStyle w:val="Normal1"/>
        <w:spacing w:line="360" w:lineRule="auto"/>
        <w:rPr>
          <w:b/>
          <w:bCs/>
        </w:rPr>
      </w:pPr>
      <w:r w:rsidRPr="00857314">
        <w:t xml:space="preserve">This is why we prefer not to give in to the practice of questionable uncertainty bars. It is better to specify from which data a result has been obtained, and from which method. </w:t>
      </w:r>
    </w:p>
    <w:p w:rsidR="0091723D" w:rsidRPr="00BA4588" w:rsidRDefault="0091723D">
      <w:pPr>
        <w:rPr>
          <w:lang w:val="en-US"/>
        </w:rPr>
      </w:pPr>
    </w:p>
    <w:sectPr w:rsidR="0091723D" w:rsidRPr="00BA4588" w:rsidSect="0091723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275AB"/>
    <w:multiLevelType w:val="multilevel"/>
    <w:tmpl w:val="ACA6FA00"/>
    <w:lvl w:ilvl="0">
      <w:start w:val="2"/>
      <w:numFmt w:val="decimal"/>
      <w:pStyle w:val="Section"/>
      <w:lvlText w:val="%1."/>
      <w:lvlJc w:val="left"/>
      <w:rPr>
        <w:rFonts w:ascii="Times New Roman" w:hAnsi="Times New Roman" w:cs="Times New Roman" w:hint="default"/>
        <w:b w:val="0"/>
        <w:bCs w:val="0"/>
        <w:i w:val="0"/>
        <w:iCs w:val="0"/>
        <w:caps w:val="0"/>
        <w:smallCaps w:val="0"/>
        <w:strike w:val="0"/>
        <w:dstrike w:val="0"/>
        <w:noProof w:val="0"/>
        <w:vanish w:val="0"/>
        <w:spacing w:val="0"/>
        <w:kern w:val="0"/>
        <w:position w:val="0"/>
        <w:u w:val="none"/>
        <w:vertAlign w:val="baseline"/>
        <w:em w:val="none"/>
      </w:rPr>
    </w:lvl>
    <w:lvl w:ilvl="1">
      <w:start w:val="1"/>
      <w:numFmt w:val="decimal"/>
      <w:pStyle w:val="Subsection"/>
      <w:lvlText w:val="%1.%2."/>
      <w:lvlJc w:val="left"/>
      <w:pPr>
        <w:tabs>
          <w:tab w:val="num" w:pos="1142"/>
        </w:tabs>
        <w:ind w:left="1142" w:hanging="432"/>
      </w:pPr>
      <w:rPr>
        <w:rFonts w:cs="Times New Roman" w:hint="default"/>
      </w:rPr>
    </w:lvl>
    <w:lvl w:ilvl="2">
      <w:start w:val="1"/>
      <w:numFmt w:val="decimal"/>
      <w:lvlText w:val="%1.%2.%3."/>
      <w:lvlJc w:val="left"/>
      <w:pPr>
        <w:tabs>
          <w:tab w:val="num" w:pos="1667"/>
        </w:tabs>
        <w:ind w:left="1451" w:hanging="504"/>
      </w:pPr>
      <w:rPr>
        <w:rFonts w:cs="Times New Roman" w:hint="default"/>
      </w:rPr>
    </w:lvl>
    <w:lvl w:ilvl="3">
      <w:start w:val="1"/>
      <w:numFmt w:val="decimal"/>
      <w:lvlText w:val="%1.%2.%3.%4."/>
      <w:lvlJc w:val="left"/>
      <w:pPr>
        <w:tabs>
          <w:tab w:val="num" w:pos="2387"/>
        </w:tabs>
        <w:ind w:left="1955" w:hanging="648"/>
      </w:pPr>
      <w:rPr>
        <w:rFonts w:cs="Times New Roman" w:hint="default"/>
      </w:rPr>
    </w:lvl>
    <w:lvl w:ilvl="4">
      <w:start w:val="1"/>
      <w:numFmt w:val="decimal"/>
      <w:lvlText w:val="%1.%2.%3.%4.%5."/>
      <w:lvlJc w:val="left"/>
      <w:pPr>
        <w:tabs>
          <w:tab w:val="num" w:pos="2747"/>
        </w:tabs>
        <w:ind w:left="2459" w:hanging="792"/>
      </w:pPr>
      <w:rPr>
        <w:rFonts w:cs="Times New Roman" w:hint="default"/>
      </w:rPr>
    </w:lvl>
    <w:lvl w:ilvl="5">
      <w:start w:val="1"/>
      <w:numFmt w:val="decimal"/>
      <w:lvlText w:val="%1.%2.%3.%4.%5.%6."/>
      <w:lvlJc w:val="left"/>
      <w:pPr>
        <w:tabs>
          <w:tab w:val="num" w:pos="3467"/>
        </w:tabs>
        <w:ind w:left="2963" w:hanging="936"/>
      </w:pPr>
      <w:rPr>
        <w:rFonts w:cs="Times New Roman" w:hint="default"/>
      </w:rPr>
    </w:lvl>
    <w:lvl w:ilvl="6">
      <w:start w:val="1"/>
      <w:numFmt w:val="decimal"/>
      <w:lvlText w:val="%1.%2.%3.%4.%5.%6.%7."/>
      <w:lvlJc w:val="left"/>
      <w:pPr>
        <w:tabs>
          <w:tab w:val="num" w:pos="3827"/>
        </w:tabs>
        <w:ind w:left="3467" w:hanging="1080"/>
      </w:pPr>
      <w:rPr>
        <w:rFonts w:cs="Times New Roman" w:hint="default"/>
      </w:rPr>
    </w:lvl>
    <w:lvl w:ilvl="7">
      <w:start w:val="1"/>
      <w:numFmt w:val="decimal"/>
      <w:lvlText w:val="%1.%2.%3.%4.%5.%6.%7.%8."/>
      <w:lvlJc w:val="left"/>
      <w:pPr>
        <w:tabs>
          <w:tab w:val="num" w:pos="4547"/>
        </w:tabs>
        <w:ind w:left="3971" w:hanging="1224"/>
      </w:pPr>
      <w:rPr>
        <w:rFonts w:cs="Times New Roman" w:hint="default"/>
      </w:rPr>
    </w:lvl>
    <w:lvl w:ilvl="8">
      <w:start w:val="1"/>
      <w:numFmt w:val="decimal"/>
      <w:lvlText w:val="%1.%2.%3.%4.%5.%6.%7.%8.%9."/>
      <w:lvlJc w:val="left"/>
      <w:pPr>
        <w:tabs>
          <w:tab w:val="num" w:pos="4907"/>
        </w:tabs>
        <w:ind w:left="4547" w:hanging="1440"/>
      </w:pPr>
      <w:rPr>
        <w:rFonts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BA4588"/>
    <w:rsid w:val="002F1AB0"/>
    <w:rsid w:val="003907C6"/>
    <w:rsid w:val="0042768E"/>
    <w:rsid w:val="004A757A"/>
    <w:rsid w:val="00723BAC"/>
    <w:rsid w:val="00825BF6"/>
    <w:rsid w:val="0091723D"/>
    <w:rsid w:val="009D1EA3"/>
    <w:rsid w:val="00A37261"/>
    <w:rsid w:val="00BA4588"/>
    <w:rsid w:val="00C07017"/>
    <w:rsid w:val="00CB392A"/>
    <w:rsid w:val="00CF5EC3"/>
    <w:rsid w:val="00D126AA"/>
    <w:rsid w:val="00E849C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23D"/>
  </w:style>
  <w:style w:type="paragraph" w:styleId="Titre1">
    <w:name w:val="heading 1"/>
    <w:basedOn w:val="Normal"/>
    <w:next w:val="Normal"/>
    <w:link w:val="Titre1Car"/>
    <w:uiPriority w:val="9"/>
    <w:qFormat/>
    <w:rsid w:val="00BA458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BA458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basedOn w:val="Normal"/>
    <w:link w:val="Normal1Car"/>
    <w:qFormat/>
    <w:rsid w:val="00BA4588"/>
    <w:pPr>
      <w:spacing w:after="0"/>
      <w:ind w:firstLine="285"/>
      <w:jc w:val="both"/>
    </w:pPr>
    <w:rPr>
      <w:rFonts w:ascii="Times New Roman" w:eastAsia="Times New Roman" w:hAnsi="Times New Roman" w:cs="Times New Roman"/>
      <w:sz w:val="24"/>
      <w:szCs w:val="24"/>
      <w:lang w:val="en-US" w:eastAsia="fr-FR"/>
    </w:rPr>
  </w:style>
  <w:style w:type="character" w:customStyle="1" w:styleId="Normal1Car">
    <w:name w:val="Normal1 Car"/>
    <w:basedOn w:val="Policepardfaut"/>
    <w:link w:val="Normal1"/>
    <w:rsid w:val="00BA4588"/>
    <w:rPr>
      <w:rFonts w:ascii="Times New Roman" w:eastAsia="Times New Roman" w:hAnsi="Times New Roman" w:cs="Times New Roman"/>
      <w:sz w:val="24"/>
      <w:szCs w:val="24"/>
      <w:lang w:val="en-US" w:eastAsia="fr-FR"/>
    </w:rPr>
  </w:style>
  <w:style w:type="paragraph" w:customStyle="1" w:styleId="Section">
    <w:name w:val="Section"/>
    <w:basedOn w:val="Titre1"/>
    <w:next w:val="Normal"/>
    <w:rsid w:val="00BA4588"/>
    <w:pPr>
      <w:keepLines w:val="0"/>
      <w:numPr>
        <w:numId w:val="1"/>
      </w:numPr>
      <w:tabs>
        <w:tab w:val="left" w:pos="284"/>
      </w:tabs>
      <w:spacing w:before="200" w:after="200" w:line="240" w:lineRule="auto"/>
    </w:pPr>
    <w:rPr>
      <w:rFonts w:ascii="Times New Roman" w:eastAsia="Times New Roman" w:hAnsi="Times New Roman" w:cs="Arial"/>
      <w:color w:val="auto"/>
      <w:kern w:val="32"/>
      <w:sz w:val="20"/>
      <w:szCs w:val="32"/>
      <w:lang w:eastAsia="fr-FR"/>
    </w:rPr>
  </w:style>
  <w:style w:type="paragraph" w:customStyle="1" w:styleId="Subsection">
    <w:name w:val="Subsection"/>
    <w:basedOn w:val="Titre2"/>
    <w:next w:val="Normal"/>
    <w:rsid w:val="00BA4588"/>
    <w:pPr>
      <w:keepLines w:val="0"/>
      <w:numPr>
        <w:ilvl w:val="1"/>
        <w:numId w:val="1"/>
      </w:numPr>
      <w:tabs>
        <w:tab w:val="left" w:pos="454"/>
      </w:tabs>
      <w:spacing w:after="200" w:line="240" w:lineRule="auto"/>
    </w:pPr>
    <w:rPr>
      <w:rFonts w:ascii="Times New Roman" w:eastAsia="Times New Roman" w:hAnsi="Times New Roman" w:cs="Arial"/>
      <w:b w:val="0"/>
      <w:i/>
      <w:iCs/>
      <w:color w:val="auto"/>
      <w:sz w:val="20"/>
      <w:szCs w:val="28"/>
      <w:lang w:val="en-US" w:eastAsia="fr-FR"/>
    </w:rPr>
  </w:style>
  <w:style w:type="paragraph" w:customStyle="1" w:styleId="titresection">
    <w:name w:val="titre section"/>
    <w:basedOn w:val="Section"/>
    <w:next w:val="Normal"/>
    <w:link w:val="titresectionCar"/>
    <w:qFormat/>
    <w:rsid w:val="00BA4588"/>
    <w:rPr>
      <w:sz w:val="24"/>
      <w:szCs w:val="24"/>
    </w:rPr>
  </w:style>
  <w:style w:type="character" w:customStyle="1" w:styleId="titresectionCar">
    <w:name w:val="titre section Car"/>
    <w:basedOn w:val="Policepardfaut"/>
    <w:link w:val="titresection"/>
    <w:rsid w:val="00BA4588"/>
    <w:rPr>
      <w:rFonts w:ascii="Times New Roman" w:eastAsia="Times New Roman" w:hAnsi="Times New Roman" w:cs="Arial"/>
      <w:b/>
      <w:bCs/>
      <w:kern w:val="32"/>
      <w:sz w:val="24"/>
      <w:szCs w:val="24"/>
      <w:lang w:eastAsia="fr-FR"/>
    </w:rPr>
  </w:style>
  <w:style w:type="character" w:customStyle="1" w:styleId="Titre1Car">
    <w:name w:val="Titre 1 Car"/>
    <w:basedOn w:val="Policepardfaut"/>
    <w:link w:val="Titre1"/>
    <w:uiPriority w:val="9"/>
    <w:rsid w:val="00BA4588"/>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BA4588"/>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488</Words>
  <Characters>2686</Characters>
  <Application>Microsoft Office Word</Application>
  <DocSecurity>0</DocSecurity>
  <Lines>22</Lines>
  <Paragraphs>6</Paragraphs>
  <ScaleCrop>false</ScaleCrop>
  <Company>Hewlett-Packard Company</Company>
  <LinksUpToDate>false</LinksUpToDate>
  <CharactersWithSpaces>3168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dc:creator>
  <cp:keywords/>
  <dc:description/>
  <cp:lastModifiedBy>Philippe</cp:lastModifiedBy>
  <cp:revision>2</cp:revision>
  <dcterms:created xsi:type="dcterms:W3CDTF">2022-11-03T11:59:00Z</dcterms:created>
  <dcterms:modified xsi:type="dcterms:W3CDTF">2022-11-03T12:05:00Z</dcterms:modified>
</cp:coreProperties>
</file>