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010584" w14:textId="77777777" w:rsidR="003E6FA7" w:rsidRDefault="003E6FA7" w:rsidP="003E6FA7">
      <w:pPr>
        <w:pStyle w:val="Heading1"/>
        <w:spacing w:line="480" w:lineRule="auto"/>
      </w:pPr>
      <w:bookmarkStart w:id="0" w:name="supplementary-material"/>
      <w:r>
        <w:t>Supplementary material</w:t>
      </w:r>
      <w:bookmarkEnd w:id="0"/>
    </w:p>
    <w:p w14:paraId="673D7A6F" w14:textId="77777777" w:rsidR="003E6FA7" w:rsidRDefault="003E6FA7" w:rsidP="003E6FA7">
      <w:pPr>
        <w:pStyle w:val="CaptionedFigure"/>
        <w:spacing w:line="480" w:lineRule="auto"/>
      </w:pPr>
      <w:r>
        <w:rPr>
          <w:noProof/>
        </w:rPr>
        <w:drawing>
          <wp:inline distT="0" distB="0" distL="0" distR="0" wp14:anchorId="077ACAA2" wp14:editId="0CBC653F">
            <wp:extent cx="5969000" cy="4027881"/>
            <wp:effectExtent l="0" t="0" r="0" b="0"/>
            <wp:docPr id="6" name="Picture" descr="Figure 6.1: Schematic of the integration process for expression constructs and genotyping of transformant strains. (a) The expression constructs were targeted to the ribosomal DNA cistron on chromosome 3, which is a genomic safe harbor for strong Pol I expression. Endogenous 25S rDNA sequences were added between P_\mathrm{Pol I} and the IRES (I), and between T_\mathrm{Pol I} and the expression enhancer (T_\mathrm{\alpha-tub}), respectively. We found that this addition improved the efficiency of homologous recombination in previous experiments. The 25S rDNA sequences were omitted in Fig. 3.1 for simplicity. During homologous recombination, the expression constructs could insert by either terminal or internal crossovers between the cassette and the chromosome, resulting in two different configurations. We have previously shown that both configurations are equally suitable to drive strong expression of transgenes [34]. Successful insertion at the safe harbor locus was confirmed by PCR (b) using primers depicted as solid horizontal arrows. The elements are not drawn to scale to aid visualization. The expected length for amplicons is indicated for NoGPAT (AoGPAT). (b) Genotyping PCR confirmed construct insertion at the safe harbor site in all transgenic strains. In NoGPAT-M1, the construct was inserted by internal crossovers (ic), and in all other strains by terminal crossovers (tc). The control reaction (D) PCR product for NoGPAT-M2 was shorter than expected, due to partial deletion of the tdTomato coding sequence (revealed by sequencing)."/>
            <wp:cNvGraphicFramePr/>
            <a:graphic xmlns:a="http://schemas.openxmlformats.org/drawingml/2006/main">
              <a:graphicData uri="http://schemas.openxmlformats.org/drawingml/2006/picture">
                <pic:pic xmlns:pic="http://schemas.openxmlformats.org/drawingml/2006/picture">
                  <pic:nvPicPr>
                    <pic:cNvPr id="0" name="Picture" descr="Paper5-0712_files/figure-docx/integrationfiguresupp-1.png"/>
                    <pic:cNvPicPr>
                      <a:picLocks noChangeAspect="1" noChangeArrowheads="1"/>
                    </pic:cNvPicPr>
                  </pic:nvPicPr>
                  <pic:blipFill>
                    <a:blip r:embed="rId4"/>
                    <a:stretch>
                      <a:fillRect/>
                    </a:stretch>
                  </pic:blipFill>
                  <pic:spPr bwMode="auto">
                    <a:xfrm>
                      <a:off x="0" y="0"/>
                      <a:ext cx="5969000" cy="4027881"/>
                    </a:xfrm>
                    <a:prstGeom prst="rect">
                      <a:avLst/>
                    </a:prstGeom>
                    <a:noFill/>
                    <a:ln w="9525">
                      <a:noFill/>
                      <a:headEnd/>
                      <a:tailEnd/>
                    </a:ln>
                  </pic:spPr>
                </pic:pic>
              </a:graphicData>
            </a:graphic>
          </wp:inline>
        </w:drawing>
      </w:r>
    </w:p>
    <w:p w14:paraId="3C8EDA3A" w14:textId="77777777" w:rsidR="003E6FA7" w:rsidRDefault="003E6FA7" w:rsidP="003E6FA7">
      <w:pPr>
        <w:pStyle w:val="ImageCaption"/>
        <w:spacing w:line="480" w:lineRule="auto"/>
      </w:pPr>
      <w:r>
        <w:t xml:space="preserve">Figure S1: </w:t>
      </w:r>
      <w:r>
        <w:rPr>
          <w:b/>
        </w:rPr>
        <w:t>Schematic of the integration process for expression constructs and genotyping of transformant strains.</w:t>
      </w:r>
      <w:r>
        <w:t xml:space="preserve"> </w:t>
      </w:r>
      <w:r>
        <w:rPr>
          <w:b/>
        </w:rPr>
        <w:t>(a)</w:t>
      </w:r>
      <w:r>
        <w:t xml:space="preserve"> The expression constructs were targeted to the ribosomal DNA cistron on chromosome 3, which is a genomic safe harbor for strong Pol I expression. Endogenous 25S rDNA sequences were added between P</w:t>
      </w:r>
      <m:oMath>
        <m:sSub>
          <m:sSubPr>
            <m:ctrlPr>
              <w:rPr>
                <w:rFonts w:ascii="Cambria Math" w:hAnsi="Cambria Math"/>
              </w:rPr>
            </m:ctrlPr>
          </m:sSubPr>
          <m:e>
            <m:r>
              <w:rPr>
                <w:rFonts w:ascii="Cambria Math" w:hAnsi="Cambria Math"/>
              </w:rPr>
              <m:t>​</m:t>
            </m:r>
          </m:e>
          <m:sub>
            <m:r>
              <m:rPr>
                <m:sty m:val="p"/>
              </m:rPr>
              <w:rPr>
                <w:rFonts w:ascii="Cambria Math" w:hAnsi="Cambria Math"/>
              </w:rPr>
              <m:t>PolI</m:t>
            </m:r>
          </m:sub>
        </m:sSub>
      </m:oMath>
      <w:r>
        <w:t xml:space="preserve"> and the IRES (I), and between T</w:t>
      </w:r>
      <m:oMath>
        <m:sSub>
          <m:sSubPr>
            <m:ctrlPr>
              <w:rPr>
                <w:rFonts w:ascii="Cambria Math" w:hAnsi="Cambria Math"/>
              </w:rPr>
            </m:ctrlPr>
          </m:sSubPr>
          <m:e>
            <m:r>
              <w:rPr>
                <w:rFonts w:ascii="Cambria Math" w:hAnsi="Cambria Math"/>
              </w:rPr>
              <m:t>​</m:t>
            </m:r>
          </m:e>
          <m:sub>
            <m:r>
              <m:rPr>
                <m:sty m:val="p"/>
              </m:rPr>
              <w:rPr>
                <w:rFonts w:ascii="Cambria Math" w:hAnsi="Cambria Math"/>
              </w:rPr>
              <m:t>PolI</m:t>
            </m:r>
          </m:sub>
        </m:sSub>
      </m:oMath>
      <w:r>
        <w:t xml:space="preserve"> and the expression enhancer (T</w:t>
      </w:r>
      <m:oMath>
        <m:sSub>
          <m:sSubPr>
            <m:ctrlPr>
              <w:rPr>
                <w:rFonts w:ascii="Cambria Math" w:hAnsi="Cambria Math"/>
              </w:rPr>
            </m:ctrlPr>
          </m:sSubPr>
          <m:e>
            <m:r>
              <w:rPr>
                <w:rFonts w:ascii="Cambria Math" w:hAnsi="Cambria Math"/>
              </w:rPr>
              <m:t>​</m:t>
            </m:r>
          </m:e>
          <m:sub>
            <m:r>
              <m:rPr>
                <m:sty m:val="p"/>
              </m:rPr>
              <w:rPr>
                <w:rFonts w:ascii="Cambria Math" w:hAnsi="Cambria Math"/>
              </w:rPr>
              <m:t>α-tub</m:t>
            </m:r>
          </m:sub>
        </m:sSub>
      </m:oMath>
      <w:r>
        <w:t xml:space="preserve">), respectively. We found that this addition improved the efficiency of homologous recombination in previous experiments. The 25S rDNA sequences were omitted in Fig. 1 for simplicity. During homologous recombination, the expression constructs could insert by either terminal or internal crossovers between the cassette and the chromosome, resulting in two different configurations. We have previously shown that both configurations are equally suitable to drive strong expression of transgenes [34]. Successful insertion at the safe harbor locus was confirmed by PCR (b) using primers </w:t>
      </w:r>
      <w:r>
        <w:lastRenderedPageBreak/>
        <w:t xml:space="preserve">depicted as solid horizontal arrows. The elements are not drawn to scale to aid visualization. The expected length for amplicons is indicated for NoGPAT (AoGPAT). </w:t>
      </w:r>
      <w:r>
        <w:rPr>
          <w:b/>
        </w:rPr>
        <w:t>(b)</w:t>
      </w:r>
      <w:r>
        <w:t xml:space="preserve"> Genotyping PCR confirmed construct insertion at the safe harbor site in all transgenic strains. In NoGPAT-M1, the construct was inserted by internal crossovers (</w:t>
      </w:r>
      <w:r>
        <w:rPr>
          <w:i/>
        </w:rPr>
        <w:t>ic</w:t>
      </w:r>
      <w:r>
        <w:t>), and in all other strains by terminal crossovers (</w:t>
      </w:r>
      <w:r>
        <w:rPr>
          <w:i/>
        </w:rPr>
        <w:t>tc</w:t>
      </w:r>
      <w:r>
        <w:t xml:space="preserve">). The control reaction (D) PCR product for NoGPAT-M2 was shorter than expected, due to partial deletion of the </w:t>
      </w:r>
      <w:r>
        <w:rPr>
          <w:i/>
        </w:rPr>
        <w:t>tdTomato</w:t>
      </w:r>
      <w:r>
        <w:t xml:space="preserve"> coding sequence (revealed by sequencing).</w:t>
      </w:r>
    </w:p>
    <w:p w14:paraId="4F56BE1C" w14:textId="77777777" w:rsidR="003E6FA7" w:rsidRDefault="003E6FA7" w:rsidP="003E6FA7">
      <w:pPr>
        <w:pStyle w:val="CaptionedFigure"/>
        <w:spacing w:line="480" w:lineRule="auto"/>
      </w:pPr>
      <w:r>
        <w:rPr>
          <w:noProof/>
        </w:rPr>
        <w:lastRenderedPageBreak/>
        <w:drawing>
          <wp:inline distT="0" distB="0" distL="0" distR="0" wp14:anchorId="3284E4CD" wp14:editId="2F4A47D1">
            <wp:extent cx="5969000" cy="7162800"/>
            <wp:effectExtent l="0" t="0" r="0" b="0"/>
            <wp:docPr id="7" name="Picture" descr="Figure 6.2: Growth curves of N. oceanica NoGPAT and AoGPAT mutants during nitrogen deprivation. (a) Growth and final biomass densities of mutant strains was comparable to each other and to the wild type. (b) Maximum quantum efficiency of photosystem II photochemistry of transformants after ~2 days of exposure to nitrogen deprivation."/>
            <wp:cNvGraphicFramePr/>
            <a:graphic xmlns:a="http://schemas.openxmlformats.org/drawingml/2006/main">
              <a:graphicData uri="http://schemas.openxmlformats.org/drawingml/2006/picture">
                <pic:pic xmlns:pic="http://schemas.openxmlformats.org/drawingml/2006/picture">
                  <pic:nvPicPr>
                    <pic:cNvPr id="0" name="Picture" descr="Paper5-0712_files/figure-docx/growthfigdepch8-1.png"/>
                    <pic:cNvPicPr>
                      <a:picLocks noChangeAspect="1" noChangeArrowheads="1"/>
                    </pic:cNvPicPr>
                  </pic:nvPicPr>
                  <pic:blipFill>
                    <a:blip r:embed="rId5"/>
                    <a:stretch>
                      <a:fillRect/>
                    </a:stretch>
                  </pic:blipFill>
                  <pic:spPr bwMode="auto">
                    <a:xfrm>
                      <a:off x="0" y="0"/>
                      <a:ext cx="5969000" cy="7162800"/>
                    </a:xfrm>
                    <a:prstGeom prst="rect">
                      <a:avLst/>
                    </a:prstGeom>
                    <a:noFill/>
                    <a:ln w="9525">
                      <a:noFill/>
                      <a:headEnd/>
                      <a:tailEnd/>
                    </a:ln>
                  </pic:spPr>
                </pic:pic>
              </a:graphicData>
            </a:graphic>
          </wp:inline>
        </w:drawing>
      </w:r>
    </w:p>
    <w:p w14:paraId="4DC8063F" w14:textId="77777777" w:rsidR="003E6FA7" w:rsidRDefault="003E6FA7" w:rsidP="003E6FA7">
      <w:pPr>
        <w:pStyle w:val="ImageCaption"/>
        <w:spacing w:line="480" w:lineRule="auto"/>
      </w:pPr>
      <w:r>
        <w:t xml:space="preserve">Figure S2: </w:t>
      </w:r>
      <w:r>
        <w:rPr>
          <w:b/>
        </w:rPr>
        <w:t xml:space="preserve">Growth curves of </w:t>
      </w:r>
      <w:r>
        <w:rPr>
          <w:b/>
          <w:i/>
        </w:rPr>
        <w:t>N. oceanica</w:t>
      </w:r>
      <w:r>
        <w:rPr>
          <w:b/>
        </w:rPr>
        <w:t xml:space="preserve"> NoGPAT and AoGPAT mutants during nitrogen deprivation.</w:t>
      </w:r>
      <w:r>
        <w:t xml:space="preserve"> </w:t>
      </w:r>
      <w:r>
        <w:rPr>
          <w:b/>
        </w:rPr>
        <w:t>(a)</w:t>
      </w:r>
      <w:r>
        <w:t xml:space="preserve"> Growth and final biomass densities of mutant strains was comparable to each other </w:t>
      </w:r>
      <w:r>
        <w:lastRenderedPageBreak/>
        <w:t xml:space="preserve">and to the wild type. </w:t>
      </w:r>
      <w:r>
        <w:rPr>
          <w:b/>
        </w:rPr>
        <w:t>(b)</w:t>
      </w:r>
      <w:r>
        <w:t xml:space="preserve"> Maximum quantum efficiency of photosystem II photochemistry of transformants after ~2 days of exposure to nitrogen deprivation.</w:t>
      </w:r>
    </w:p>
    <w:p w14:paraId="0DA48312" w14:textId="77777777" w:rsidR="003E6FA7" w:rsidRDefault="003E6FA7" w:rsidP="003E6FA7">
      <w:pPr>
        <w:pStyle w:val="CaptionedFigure"/>
        <w:spacing w:line="480" w:lineRule="auto"/>
      </w:pPr>
      <w:r>
        <w:rPr>
          <w:noProof/>
        </w:rPr>
        <w:drawing>
          <wp:inline distT="0" distB="0" distL="0" distR="0" wp14:anchorId="4FB1F15F" wp14:editId="7885982F">
            <wp:extent cx="5969000" cy="6565900"/>
            <wp:effectExtent l="0" t="0" r="0" b="0"/>
            <wp:docPr id="8" name="Picture" descr="Figure 6.3: Fatty acid profiles of NLs and PLs for N. oceanica AoGPAT expression mutants. (a) FA compositions for exponentially growing cultures. No relevant differences are visible for any of the mutants compared to the wild type. (b) FA composition for cultures after exposure to 2 days of N-depletion. (a-b) Statistical significance was assessed by Tukey’s HSD test. (*): p &lt; 0.01"/>
            <wp:cNvGraphicFramePr/>
            <a:graphic xmlns:a="http://schemas.openxmlformats.org/drawingml/2006/main">
              <a:graphicData uri="http://schemas.openxmlformats.org/drawingml/2006/picture">
                <pic:pic xmlns:pic="http://schemas.openxmlformats.org/drawingml/2006/picture">
                  <pic:nvPicPr>
                    <pic:cNvPr id="0" name="Picture" descr="Paper5-0712_files/figure-docx/profilefigsuppch8-1.png"/>
                    <pic:cNvPicPr>
                      <a:picLocks noChangeAspect="1" noChangeArrowheads="1"/>
                    </pic:cNvPicPr>
                  </pic:nvPicPr>
                  <pic:blipFill>
                    <a:blip r:embed="rId6"/>
                    <a:stretch>
                      <a:fillRect/>
                    </a:stretch>
                  </pic:blipFill>
                  <pic:spPr bwMode="auto">
                    <a:xfrm>
                      <a:off x="0" y="0"/>
                      <a:ext cx="5969000" cy="6565900"/>
                    </a:xfrm>
                    <a:prstGeom prst="rect">
                      <a:avLst/>
                    </a:prstGeom>
                    <a:noFill/>
                    <a:ln w="9525">
                      <a:noFill/>
                      <a:headEnd/>
                      <a:tailEnd/>
                    </a:ln>
                  </pic:spPr>
                </pic:pic>
              </a:graphicData>
            </a:graphic>
          </wp:inline>
        </w:drawing>
      </w:r>
    </w:p>
    <w:p w14:paraId="7B44F764" w14:textId="77777777" w:rsidR="003E6FA7" w:rsidRDefault="003E6FA7" w:rsidP="003E6FA7">
      <w:pPr>
        <w:pStyle w:val="ImageCaption"/>
        <w:spacing w:line="480" w:lineRule="auto"/>
      </w:pPr>
      <w:r>
        <w:t xml:space="preserve">Figure S3: </w:t>
      </w:r>
      <w:r>
        <w:rPr>
          <w:b/>
        </w:rPr>
        <w:t>Fatty acid profiles of NLs and PLs for</w:t>
      </w:r>
      <w:r>
        <w:t xml:space="preserve"> </w:t>
      </w:r>
      <w:r>
        <w:rPr>
          <w:b/>
          <w:i/>
        </w:rPr>
        <w:t>N. oceanica</w:t>
      </w:r>
      <w:r>
        <w:t xml:space="preserve"> </w:t>
      </w:r>
      <w:r>
        <w:rPr>
          <w:b/>
        </w:rPr>
        <w:t>AoGPAT expression mutants.</w:t>
      </w:r>
      <w:r>
        <w:t xml:space="preserve"> </w:t>
      </w:r>
      <w:r>
        <w:rPr>
          <w:b/>
        </w:rPr>
        <w:t>(a)</w:t>
      </w:r>
      <w:r>
        <w:t xml:space="preserve"> FA compositions for exponentially growing cultures. No relevant differences are visible for any of </w:t>
      </w:r>
      <w:r>
        <w:lastRenderedPageBreak/>
        <w:t xml:space="preserve">the mutants compared to the wild type. </w:t>
      </w:r>
      <w:r>
        <w:rPr>
          <w:b/>
        </w:rPr>
        <w:t>(b)</w:t>
      </w:r>
      <w:r>
        <w:t xml:space="preserve"> FA composition for cultures after exposure to 2 days of N-depletion. (a-b) Statistical significance was assessed by Tukey’s HSD test. (*): </w:t>
      </w:r>
      <m:oMath>
        <m:r>
          <w:rPr>
            <w:rFonts w:ascii="Cambria Math" w:hAnsi="Cambria Math"/>
          </w:rPr>
          <m:t>p&lt;0.01</m:t>
        </m:r>
      </m:oMath>
    </w:p>
    <w:p w14:paraId="1FD3BDD4" w14:textId="77777777" w:rsidR="003E6FA7" w:rsidRDefault="003E6FA7" w:rsidP="003E6FA7">
      <w:pPr>
        <w:pStyle w:val="CaptionedFigure"/>
        <w:spacing w:line="480" w:lineRule="auto"/>
      </w:pPr>
      <w:r>
        <w:rPr>
          <w:noProof/>
        </w:rPr>
        <w:drawing>
          <wp:inline distT="0" distB="0" distL="0" distR="0" wp14:anchorId="382C38A3" wp14:editId="13859EE8">
            <wp:extent cx="5969000" cy="4775200"/>
            <wp:effectExtent l="0" t="0" r="0" b="0"/>
            <wp:docPr id="9" name="Picture" descr="Figure 6.4: PUFA contents of GPAT transformants during exponential growth phase, normalized to the DCW. (a) C18:2 was substantially enriched in biomass of NoGPAT and AoGPAT mutants M1 and M2. (a) Among all FA species, C18:3 showed the highest relative increase per DCW in NoGPAT M1 and M2. (c) C20:4 was enriched in NoGPAT-M1 and M2, but not in AoGPAT mutants. (d) C20:5 was elevated in NoGPAT-M1 and M2, albeit to a lesser extent than other PUFA species. (e) NoGPAT-M1 and M2 biomass was significantly enriched with PUFAs, which accounted for 6.8% of DCW. (a-e) Relative differences compared to the WT are indicated above groups. Statistical significance (N=3, N=5 for WT) was assessed by Tukey’s HSD test, in case of a significant ANOVA outcome. (*): p &lt; 0.05; (**): p &lt; 0.01; (***): p &lt; 0.001"/>
            <wp:cNvGraphicFramePr/>
            <a:graphic xmlns:a="http://schemas.openxmlformats.org/drawingml/2006/main">
              <a:graphicData uri="http://schemas.openxmlformats.org/drawingml/2006/picture">
                <pic:pic xmlns:pic="http://schemas.openxmlformats.org/drawingml/2006/picture">
                  <pic:nvPicPr>
                    <pic:cNvPr id="0" name="Picture" descr="Paper5-0712_files/figure-docx/PUFADWfigch8-1.png"/>
                    <pic:cNvPicPr>
                      <a:picLocks noChangeAspect="1" noChangeArrowheads="1"/>
                    </pic:cNvPicPr>
                  </pic:nvPicPr>
                  <pic:blipFill>
                    <a:blip r:embed="rId7"/>
                    <a:stretch>
                      <a:fillRect/>
                    </a:stretch>
                  </pic:blipFill>
                  <pic:spPr bwMode="auto">
                    <a:xfrm>
                      <a:off x="0" y="0"/>
                      <a:ext cx="5969000" cy="4775200"/>
                    </a:xfrm>
                    <a:prstGeom prst="rect">
                      <a:avLst/>
                    </a:prstGeom>
                    <a:noFill/>
                    <a:ln w="9525">
                      <a:noFill/>
                      <a:headEnd/>
                      <a:tailEnd/>
                    </a:ln>
                  </pic:spPr>
                </pic:pic>
              </a:graphicData>
            </a:graphic>
          </wp:inline>
        </w:drawing>
      </w:r>
    </w:p>
    <w:p w14:paraId="1926234B" w14:textId="77777777" w:rsidR="003E6FA7" w:rsidRDefault="003E6FA7" w:rsidP="003E6FA7">
      <w:pPr>
        <w:pStyle w:val="ImageCaption"/>
        <w:spacing w:line="480" w:lineRule="auto"/>
        <w:rPr>
          <w:rFonts w:eastAsiaTheme="minorEastAsia"/>
        </w:rPr>
      </w:pPr>
      <w:r>
        <w:t xml:space="preserve">Figure S4: </w:t>
      </w:r>
      <w:r>
        <w:rPr>
          <w:b/>
        </w:rPr>
        <w:t>PUFA contents of GPAT transformants during exponential growth phase, normalized to the DCW.</w:t>
      </w:r>
      <w:r>
        <w:t xml:space="preserve"> </w:t>
      </w:r>
      <w:r>
        <w:rPr>
          <w:b/>
        </w:rPr>
        <w:t>(a)</w:t>
      </w:r>
      <w:r>
        <w:t xml:space="preserve"> C18:2 was substantially enriched in biomass of NoGPAT and AoGPAT mutants M1 and M2. </w:t>
      </w:r>
      <w:r>
        <w:rPr>
          <w:b/>
        </w:rPr>
        <w:t>(a)</w:t>
      </w:r>
      <w:r>
        <w:t xml:space="preserve"> Among all FA species, C18:3 showed the highest relative increase per DCW in NoGPAT M1 and M2. </w:t>
      </w:r>
      <w:r>
        <w:rPr>
          <w:b/>
        </w:rPr>
        <w:t>(c)</w:t>
      </w:r>
      <w:r>
        <w:t xml:space="preserve"> C20:4 was enriched in NoGPAT-M1 and M2, but not in AoGPAT mutants. </w:t>
      </w:r>
      <w:r>
        <w:rPr>
          <w:b/>
        </w:rPr>
        <w:t>(d)</w:t>
      </w:r>
      <w:r>
        <w:t xml:space="preserve"> C20:5 was elevated in NoGPAT-M1 and M2, albeit to a lesser extent than other PUFA species. </w:t>
      </w:r>
      <w:r>
        <w:rPr>
          <w:b/>
        </w:rPr>
        <w:t>(e)</w:t>
      </w:r>
      <w:r>
        <w:t xml:space="preserve"> NoGPAT-M1 and M2 biomass was significantly enriched with PUFAs, which accounted for 6.8% of DCW. (a-e) Relative differences compared to the WT are indicated above groups. Statistical significance </w:t>
      </w:r>
      <w:r>
        <w:lastRenderedPageBreak/>
        <w:t xml:space="preserve">(N=3, N=5 for WT) was assessed by Tukey’s HSD test, in case of a significant ANOVA outcome. (*): </w:t>
      </w:r>
      <m:oMath>
        <m:r>
          <w:rPr>
            <w:rFonts w:ascii="Cambria Math" w:hAnsi="Cambria Math"/>
          </w:rPr>
          <m:t>p&lt;0.05</m:t>
        </m:r>
      </m:oMath>
      <w:r>
        <w:t xml:space="preserve">; (**): </w:t>
      </w:r>
      <m:oMath>
        <m:r>
          <w:rPr>
            <w:rFonts w:ascii="Cambria Math" w:hAnsi="Cambria Math"/>
          </w:rPr>
          <m:t>p&lt;0.01</m:t>
        </m:r>
      </m:oMath>
      <w:r>
        <w:t xml:space="preserve">; (***): </w:t>
      </w:r>
      <m:oMath>
        <m:r>
          <w:rPr>
            <w:rFonts w:ascii="Cambria Math" w:hAnsi="Cambria Math"/>
          </w:rPr>
          <m:t>p&lt;0.001</m:t>
        </m:r>
      </m:oMath>
    </w:p>
    <w:p w14:paraId="6724AD57" w14:textId="77777777" w:rsidR="003E6FA7" w:rsidRDefault="003E6FA7" w:rsidP="003E6FA7">
      <w:pPr>
        <w:spacing w:line="480" w:lineRule="auto"/>
        <w:rPr>
          <w:rFonts w:ascii="Century Schoolbook" w:hAnsi="Century Schoolbook"/>
          <w:sz w:val="20"/>
        </w:rPr>
      </w:pPr>
      <w:r>
        <w:br w:type="page"/>
      </w:r>
    </w:p>
    <w:p w14:paraId="051ACC2F" w14:textId="77777777" w:rsidR="003E6FA7" w:rsidRDefault="003E6FA7" w:rsidP="003E6FA7">
      <w:pPr>
        <w:pStyle w:val="TableCaption"/>
        <w:spacing w:line="480" w:lineRule="auto"/>
      </w:pPr>
      <w:r>
        <w:lastRenderedPageBreak/>
        <w:t xml:space="preserve">Table S1: </w:t>
      </w:r>
      <w:r w:rsidRPr="009B03CE">
        <w:t>Maximum specific growth rates, neutral lipid (NL), total lipid (TL) and PUFA contents  (mean</w:t>
      </w:r>
      <m:oMath>
        <m:r>
          <w:rPr>
            <w:rFonts w:ascii="Cambria Math" w:hAnsi="Cambria Math"/>
          </w:rPr>
          <m:t> ± </m:t>
        </m:r>
      </m:oMath>
      <w:r w:rsidRPr="009B03CE">
        <w:t>SD), and productivities of NoGPAT and AoGPAT transformants.</w:t>
      </w:r>
      <w:r>
        <w:t xml:space="preserve"> Relative changes compared to the wild type (WT) and statistical significance levels are given (highlighted in italics). Statistical significance was assessed by Tukey’s HSD test. (*): </w:t>
      </w:r>
      <m:oMath>
        <m:r>
          <w:rPr>
            <w:rFonts w:ascii="Cambria Math" w:hAnsi="Cambria Math"/>
          </w:rPr>
          <m:t>p&lt;0.05</m:t>
        </m:r>
      </m:oMath>
      <w:r>
        <w:t xml:space="preserve">; (**): </w:t>
      </w:r>
      <m:oMath>
        <m:r>
          <w:rPr>
            <w:rFonts w:ascii="Cambria Math" w:hAnsi="Cambria Math"/>
          </w:rPr>
          <m:t>p&lt;0.01</m:t>
        </m:r>
      </m:oMath>
      <w:r>
        <w:t xml:space="preserve">; (***): </w:t>
      </w:r>
      <m:oMath>
        <m:r>
          <w:rPr>
            <w:rFonts w:ascii="Cambria Math" w:hAnsi="Cambria Math"/>
          </w:rPr>
          <m:t>p&lt;0.001</m:t>
        </m:r>
      </m:oMath>
    </w:p>
    <w:tbl>
      <w:tblPr>
        <w:tblW w:w="5000" w:type="pct"/>
        <w:jc w:val="center"/>
        <w:tblCellMar>
          <w:left w:w="57" w:type="dxa"/>
          <w:right w:w="57" w:type="dxa"/>
        </w:tblCellMar>
        <w:tblLook w:val="0420" w:firstRow="1" w:lastRow="0" w:firstColumn="0" w:lastColumn="0" w:noHBand="0" w:noVBand="1"/>
      </w:tblPr>
      <w:tblGrid>
        <w:gridCol w:w="1155"/>
        <w:gridCol w:w="879"/>
        <w:gridCol w:w="504"/>
        <w:gridCol w:w="769"/>
        <w:gridCol w:w="815"/>
        <w:gridCol w:w="737"/>
        <w:gridCol w:w="769"/>
        <w:gridCol w:w="815"/>
        <w:gridCol w:w="660"/>
        <w:gridCol w:w="658"/>
        <w:gridCol w:w="815"/>
        <w:gridCol w:w="830"/>
      </w:tblGrid>
      <w:tr w:rsidR="003E6FA7" w14:paraId="3AF10E7C" w14:textId="77777777" w:rsidTr="007A77DE">
        <w:trPr>
          <w:cantSplit/>
          <w:jc w:val="center"/>
        </w:trPr>
        <w:tc>
          <w:tcPr>
            <w:tcW w:w="614" w:type="pct"/>
            <w:tcBorders>
              <w:top w:val="single" w:sz="3" w:space="0" w:color="000000"/>
              <w:bottom w:val="single" w:sz="3" w:space="0" w:color="000000"/>
            </w:tcBorders>
            <w:shd w:val="clear" w:color="auto" w:fill="FFFFFF"/>
            <w:tcMar>
              <w:top w:w="0" w:type="dxa"/>
              <w:left w:w="0" w:type="dxa"/>
              <w:bottom w:w="0" w:type="dxa"/>
              <w:right w:w="0" w:type="dxa"/>
            </w:tcMar>
          </w:tcPr>
          <w:p w14:paraId="7017D7ED" w14:textId="77777777" w:rsidR="003E6FA7" w:rsidRPr="00817C26" w:rsidRDefault="003E6FA7" w:rsidP="007A77DE">
            <w:pPr>
              <w:pStyle w:val="NormalWeb"/>
              <w:spacing w:line="480" w:lineRule="auto"/>
              <w:rPr>
                <w:rFonts w:ascii="Arial" w:hAnsi="Arial" w:cs="Arial"/>
                <w:b/>
                <w:bCs/>
                <w:szCs w:val="16"/>
              </w:rPr>
            </w:pPr>
            <w:r w:rsidRPr="00817C26">
              <w:rPr>
                <w:rFonts w:ascii="Arial" w:hAnsi="Arial" w:cs="Arial"/>
                <w:b/>
                <w:bCs/>
                <w:szCs w:val="16"/>
              </w:rPr>
              <w:t>Strain</w:t>
            </w:r>
          </w:p>
        </w:tc>
        <w:tc>
          <w:tcPr>
            <w:tcW w:w="467" w:type="pct"/>
            <w:tcBorders>
              <w:top w:val="single" w:sz="3" w:space="0" w:color="000000"/>
              <w:bottom w:val="single" w:sz="3" w:space="0" w:color="000000"/>
            </w:tcBorders>
            <w:shd w:val="clear" w:color="auto" w:fill="FFFFFF"/>
            <w:tcMar>
              <w:top w:w="0" w:type="dxa"/>
              <w:left w:w="0" w:type="dxa"/>
              <w:bottom w:w="0" w:type="dxa"/>
              <w:right w:w="0" w:type="dxa"/>
            </w:tcMar>
          </w:tcPr>
          <w:p w14:paraId="5DC3896B"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µ</w:t>
            </w:r>
            <w:r w:rsidRPr="00817C26">
              <w:rPr>
                <w:rFonts w:ascii="Arial" w:hAnsi="Arial" w:cs="Arial"/>
                <w:b/>
                <w:bCs/>
                <w:szCs w:val="16"/>
                <w:vertAlign w:val="subscript"/>
              </w:rPr>
              <w:t>max</w:t>
            </w:r>
          </w:p>
        </w:tc>
        <w:tc>
          <w:tcPr>
            <w:tcW w:w="268" w:type="pct"/>
            <w:tcBorders>
              <w:top w:val="single" w:sz="3" w:space="0" w:color="000000"/>
              <w:bottom w:val="single" w:sz="3" w:space="0" w:color="000000"/>
            </w:tcBorders>
            <w:shd w:val="clear" w:color="auto" w:fill="FFFFFF"/>
            <w:tcMar>
              <w:top w:w="0" w:type="dxa"/>
              <w:left w:w="0" w:type="dxa"/>
              <w:bottom w:w="0" w:type="dxa"/>
              <w:right w:w="0" w:type="dxa"/>
            </w:tcMar>
          </w:tcPr>
          <w:p w14:paraId="317BC47C"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Δ</w:t>
            </w:r>
            <w:r w:rsidRPr="00817C26">
              <w:rPr>
                <w:rFonts w:ascii="Arial" w:hAnsi="Arial" w:cs="Arial"/>
                <w:b/>
                <w:bCs/>
                <w:szCs w:val="16"/>
                <w:vertAlign w:val="subscript"/>
              </w:rPr>
              <w:t>µ-max</w:t>
            </w:r>
          </w:p>
        </w:tc>
        <w:tc>
          <w:tcPr>
            <w:tcW w:w="409" w:type="pct"/>
            <w:tcBorders>
              <w:top w:val="single" w:sz="3" w:space="0" w:color="000000"/>
              <w:bottom w:val="single" w:sz="3" w:space="0" w:color="000000"/>
            </w:tcBorders>
            <w:shd w:val="clear" w:color="auto" w:fill="FFFFFF"/>
            <w:tcMar>
              <w:top w:w="0" w:type="dxa"/>
              <w:left w:w="0" w:type="dxa"/>
              <w:bottom w:w="0" w:type="dxa"/>
              <w:right w:w="0" w:type="dxa"/>
            </w:tcMar>
          </w:tcPr>
          <w:p w14:paraId="742D9120" w14:textId="77777777" w:rsidR="003E6FA7"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NL</w:t>
            </w:r>
          </w:p>
          <w:p w14:paraId="13256ECA"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DCW</w:t>
            </w:r>
            <w:r w:rsidRPr="00817C26">
              <w:rPr>
                <w:rFonts w:ascii="Arial" w:hAnsi="Arial" w:cs="Arial"/>
                <w:b/>
                <w:bCs/>
                <w:szCs w:val="16"/>
                <w:vertAlign w:val="superscript"/>
              </w:rPr>
              <w:t>-1</w:t>
            </w:r>
          </w:p>
        </w:tc>
        <w:tc>
          <w:tcPr>
            <w:tcW w:w="433" w:type="pct"/>
            <w:tcBorders>
              <w:top w:val="single" w:sz="3" w:space="0" w:color="000000"/>
              <w:bottom w:val="single" w:sz="3" w:space="0" w:color="000000"/>
            </w:tcBorders>
            <w:shd w:val="clear" w:color="auto" w:fill="FFFFFF"/>
            <w:tcMar>
              <w:top w:w="0" w:type="dxa"/>
              <w:left w:w="0" w:type="dxa"/>
              <w:bottom w:w="0" w:type="dxa"/>
              <w:right w:w="0" w:type="dxa"/>
            </w:tcMar>
          </w:tcPr>
          <w:p w14:paraId="1E180018"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Δ</w:t>
            </w:r>
            <w:r w:rsidRPr="00817C26">
              <w:rPr>
                <w:rFonts w:ascii="Arial" w:hAnsi="Arial" w:cs="Arial"/>
                <w:b/>
                <w:bCs/>
                <w:szCs w:val="16"/>
                <w:vertAlign w:val="subscript"/>
              </w:rPr>
              <w:t>NL</w:t>
            </w:r>
          </w:p>
        </w:tc>
        <w:tc>
          <w:tcPr>
            <w:tcW w:w="392" w:type="pct"/>
            <w:tcBorders>
              <w:top w:val="single" w:sz="3" w:space="0" w:color="000000"/>
              <w:bottom w:val="single" w:sz="3" w:space="0" w:color="000000"/>
            </w:tcBorders>
            <w:shd w:val="clear" w:color="auto" w:fill="FFFFFF"/>
            <w:tcMar>
              <w:top w:w="0" w:type="dxa"/>
              <w:left w:w="0" w:type="dxa"/>
              <w:bottom w:w="0" w:type="dxa"/>
              <w:right w:w="0" w:type="dxa"/>
            </w:tcMar>
          </w:tcPr>
          <w:p w14:paraId="19C861DA"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Δ</w:t>
            </w:r>
            <w:r w:rsidRPr="00817C26">
              <w:rPr>
                <w:rFonts w:ascii="Arial" w:hAnsi="Arial" w:cs="Arial"/>
                <w:b/>
                <w:bCs/>
                <w:szCs w:val="16"/>
                <w:vertAlign w:val="subscript"/>
              </w:rPr>
              <w:t>NL-prod.</w:t>
            </w:r>
          </w:p>
        </w:tc>
        <w:tc>
          <w:tcPr>
            <w:tcW w:w="409" w:type="pct"/>
            <w:tcBorders>
              <w:top w:val="single" w:sz="3" w:space="0" w:color="000000"/>
              <w:bottom w:val="single" w:sz="3" w:space="0" w:color="000000"/>
            </w:tcBorders>
            <w:shd w:val="clear" w:color="auto" w:fill="FFFFFF"/>
            <w:tcMar>
              <w:top w:w="0" w:type="dxa"/>
              <w:left w:w="0" w:type="dxa"/>
              <w:bottom w:w="0" w:type="dxa"/>
              <w:right w:w="0" w:type="dxa"/>
            </w:tcMar>
          </w:tcPr>
          <w:p w14:paraId="375EA676" w14:textId="77777777" w:rsidR="003E6FA7"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TL</w:t>
            </w:r>
          </w:p>
          <w:p w14:paraId="4524D489"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DCW</w:t>
            </w:r>
            <w:r w:rsidRPr="00817C26">
              <w:rPr>
                <w:rFonts w:ascii="Arial" w:hAnsi="Arial" w:cs="Arial"/>
                <w:b/>
                <w:bCs/>
                <w:szCs w:val="16"/>
                <w:vertAlign w:val="superscript"/>
              </w:rPr>
              <w:t>-1</w:t>
            </w:r>
          </w:p>
        </w:tc>
        <w:tc>
          <w:tcPr>
            <w:tcW w:w="433" w:type="pct"/>
            <w:tcBorders>
              <w:top w:val="single" w:sz="3" w:space="0" w:color="000000"/>
              <w:bottom w:val="single" w:sz="3" w:space="0" w:color="000000"/>
            </w:tcBorders>
            <w:shd w:val="clear" w:color="auto" w:fill="FFFFFF"/>
            <w:tcMar>
              <w:top w:w="0" w:type="dxa"/>
              <w:left w:w="0" w:type="dxa"/>
              <w:bottom w:w="0" w:type="dxa"/>
              <w:right w:w="0" w:type="dxa"/>
            </w:tcMar>
          </w:tcPr>
          <w:p w14:paraId="30FA532D"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Δ</w:t>
            </w:r>
            <w:r w:rsidRPr="00817C26">
              <w:rPr>
                <w:rFonts w:ascii="Arial" w:hAnsi="Arial" w:cs="Arial"/>
                <w:b/>
                <w:bCs/>
                <w:szCs w:val="16"/>
                <w:vertAlign w:val="subscript"/>
              </w:rPr>
              <w:t>TL</w:t>
            </w:r>
          </w:p>
        </w:tc>
        <w:tc>
          <w:tcPr>
            <w:tcW w:w="351" w:type="pct"/>
            <w:tcBorders>
              <w:top w:val="single" w:sz="3" w:space="0" w:color="000000"/>
              <w:bottom w:val="single" w:sz="3" w:space="0" w:color="000000"/>
            </w:tcBorders>
            <w:shd w:val="clear" w:color="auto" w:fill="FFFFFF"/>
            <w:tcMar>
              <w:top w:w="0" w:type="dxa"/>
              <w:left w:w="0" w:type="dxa"/>
              <w:bottom w:w="0" w:type="dxa"/>
              <w:right w:w="0" w:type="dxa"/>
            </w:tcMar>
          </w:tcPr>
          <w:p w14:paraId="0E55C329"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Δ</w:t>
            </w:r>
            <w:r w:rsidRPr="00817C26">
              <w:rPr>
                <w:rFonts w:ascii="Arial" w:hAnsi="Arial" w:cs="Arial"/>
                <w:b/>
                <w:bCs/>
                <w:szCs w:val="16"/>
                <w:vertAlign w:val="subscript"/>
              </w:rPr>
              <w:t>TL-prod.</w:t>
            </w:r>
          </w:p>
        </w:tc>
        <w:tc>
          <w:tcPr>
            <w:tcW w:w="350" w:type="pct"/>
            <w:tcBorders>
              <w:top w:val="single" w:sz="3" w:space="0" w:color="000000"/>
              <w:bottom w:val="single" w:sz="3" w:space="0" w:color="000000"/>
            </w:tcBorders>
            <w:shd w:val="clear" w:color="auto" w:fill="FFFFFF"/>
            <w:tcMar>
              <w:top w:w="0" w:type="dxa"/>
              <w:left w:w="0" w:type="dxa"/>
              <w:bottom w:w="0" w:type="dxa"/>
              <w:right w:w="0" w:type="dxa"/>
            </w:tcMar>
          </w:tcPr>
          <w:p w14:paraId="0B2CBF42" w14:textId="77777777" w:rsidR="003E6FA7"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PUFA</w:t>
            </w:r>
          </w:p>
          <w:p w14:paraId="4EB205C4"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DCW</w:t>
            </w:r>
            <w:r w:rsidRPr="00817C26">
              <w:rPr>
                <w:rFonts w:ascii="Arial" w:hAnsi="Arial" w:cs="Arial"/>
                <w:b/>
                <w:bCs/>
                <w:szCs w:val="16"/>
                <w:vertAlign w:val="superscript"/>
              </w:rPr>
              <w:t>-1</w:t>
            </w:r>
          </w:p>
        </w:tc>
        <w:tc>
          <w:tcPr>
            <w:tcW w:w="433" w:type="pct"/>
            <w:tcBorders>
              <w:top w:val="single" w:sz="3" w:space="0" w:color="000000"/>
              <w:bottom w:val="single" w:sz="3" w:space="0" w:color="000000"/>
            </w:tcBorders>
            <w:shd w:val="clear" w:color="auto" w:fill="FFFFFF"/>
            <w:tcMar>
              <w:top w:w="0" w:type="dxa"/>
              <w:left w:w="0" w:type="dxa"/>
              <w:bottom w:w="0" w:type="dxa"/>
              <w:right w:w="0" w:type="dxa"/>
            </w:tcMar>
          </w:tcPr>
          <w:p w14:paraId="1E941249" w14:textId="77777777" w:rsidR="003E6FA7" w:rsidRPr="00817C26" w:rsidRDefault="003E6FA7" w:rsidP="007A77DE">
            <w:pPr>
              <w:pStyle w:val="NormalWeb"/>
              <w:spacing w:line="480" w:lineRule="auto"/>
              <w:jc w:val="right"/>
              <w:rPr>
                <w:rFonts w:ascii="Arial" w:hAnsi="Arial" w:cs="Arial"/>
                <w:b/>
                <w:bCs/>
                <w:szCs w:val="16"/>
              </w:rPr>
            </w:pPr>
            <w:r w:rsidRPr="00817C26">
              <w:rPr>
                <w:rFonts w:ascii="Arial" w:hAnsi="Arial" w:cs="Arial"/>
                <w:b/>
                <w:bCs/>
                <w:szCs w:val="16"/>
              </w:rPr>
              <w:t>Δ</w:t>
            </w:r>
            <w:r w:rsidRPr="00817C26">
              <w:rPr>
                <w:rFonts w:ascii="Arial" w:hAnsi="Arial" w:cs="Arial"/>
                <w:b/>
                <w:bCs/>
                <w:szCs w:val="16"/>
                <w:vertAlign w:val="subscript"/>
              </w:rPr>
              <w:t>PUFA</w:t>
            </w:r>
          </w:p>
        </w:tc>
        <w:tc>
          <w:tcPr>
            <w:tcW w:w="441" w:type="pct"/>
            <w:tcBorders>
              <w:top w:val="single" w:sz="3" w:space="0" w:color="000000"/>
              <w:bottom w:val="single" w:sz="3" w:space="0" w:color="000000"/>
            </w:tcBorders>
            <w:shd w:val="clear" w:color="auto" w:fill="FFFFFF"/>
            <w:tcMar>
              <w:top w:w="0" w:type="dxa"/>
              <w:left w:w="0" w:type="dxa"/>
              <w:bottom w:w="0" w:type="dxa"/>
              <w:right w:w="0" w:type="dxa"/>
            </w:tcMar>
          </w:tcPr>
          <w:p w14:paraId="318E4B71" w14:textId="77777777" w:rsidR="003E6FA7" w:rsidRPr="00817C26" w:rsidRDefault="003E6FA7" w:rsidP="007A77DE">
            <w:pPr>
              <w:pStyle w:val="NormalWeb"/>
              <w:spacing w:line="480" w:lineRule="auto"/>
              <w:jc w:val="right"/>
              <w:rPr>
                <w:rFonts w:ascii="Arial" w:hAnsi="Arial" w:cs="Arial"/>
                <w:b/>
                <w:bCs/>
                <w:szCs w:val="16"/>
                <w:vertAlign w:val="subscript"/>
              </w:rPr>
            </w:pPr>
            <w:r w:rsidRPr="00817C26">
              <w:rPr>
                <w:rFonts w:ascii="Arial" w:hAnsi="Arial" w:cs="Arial"/>
                <w:b/>
                <w:bCs/>
                <w:szCs w:val="16"/>
              </w:rPr>
              <w:t>Δ</w:t>
            </w:r>
            <w:r w:rsidRPr="00817C26">
              <w:rPr>
                <w:rFonts w:ascii="Arial" w:hAnsi="Arial" w:cs="Arial"/>
                <w:b/>
                <w:bCs/>
                <w:szCs w:val="16"/>
                <w:vertAlign w:val="subscript"/>
              </w:rPr>
              <w:t>PUFA-prod.</w:t>
            </w:r>
          </w:p>
        </w:tc>
      </w:tr>
      <w:tr w:rsidR="003E6FA7" w14:paraId="45836C5C" w14:textId="77777777" w:rsidTr="007A77DE">
        <w:trPr>
          <w:cantSplit/>
          <w:jc w:val="center"/>
        </w:trPr>
        <w:tc>
          <w:tcPr>
            <w:tcW w:w="614" w:type="pct"/>
            <w:tcBorders>
              <w:top w:val="single" w:sz="3" w:space="0" w:color="000000"/>
            </w:tcBorders>
            <w:shd w:val="clear" w:color="auto" w:fill="FFFFFF"/>
            <w:tcMar>
              <w:top w:w="0" w:type="dxa"/>
              <w:left w:w="0" w:type="dxa"/>
              <w:bottom w:w="0" w:type="dxa"/>
              <w:right w:w="0" w:type="dxa"/>
            </w:tcMar>
          </w:tcPr>
          <w:p w14:paraId="4CC57C1E" w14:textId="77777777" w:rsidR="003E6FA7" w:rsidRPr="00817C26" w:rsidRDefault="003E6FA7" w:rsidP="007A77DE">
            <w:pPr>
              <w:pStyle w:val="NormalWeb"/>
              <w:spacing w:line="480" w:lineRule="auto"/>
              <w:rPr>
                <w:rFonts w:ascii="Arial" w:hAnsi="Arial" w:cs="Arial"/>
                <w:b/>
                <w:bCs/>
                <w:szCs w:val="16"/>
              </w:rPr>
            </w:pPr>
            <w:r w:rsidRPr="00817C26">
              <w:rPr>
                <w:rFonts w:ascii="Arial" w:hAnsi="Arial" w:cs="Arial"/>
                <w:b/>
                <w:bCs/>
                <w:szCs w:val="16"/>
              </w:rPr>
              <w:t>WT</w:t>
            </w:r>
          </w:p>
        </w:tc>
        <w:tc>
          <w:tcPr>
            <w:tcW w:w="467" w:type="pct"/>
            <w:tcBorders>
              <w:top w:val="single" w:sz="3" w:space="0" w:color="000000"/>
            </w:tcBorders>
            <w:shd w:val="clear" w:color="auto" w:fill="FFFFFF"/>
            <w:tcMar>
              <w:top w:w="0" w:type="dxa"/>
              <w:left w:w="0" w:type="dxa"/>
              <w:bottom w:w="0" w:type="dxa"/>
              <w:right w:w="0" w:type="dxa"/>
            </w:tcMar>
          </w:tcPr>
          <w:p w14:paraId="4F377944"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0.89±0.05</w:t>
            </w:r>
          </w:p>
        </w:tc>
        <w:tc>
          <w:tcPr>
            <w:tcW w:w="268" w:type="pct"/>
            <w:tcBorders>
              <w:top w:val="single" w:sz="3" w:space="0" w:color="000000"/>
            </w:tcBorders>
            <w:shd w:val="clear" w:color="auto" w:fill="FFFFFF"/>
            <w:tcMar>
              <w:top w:w="0" w:type="dxa"/>
              <w:left w:w="0" w:type="dxa"/>
              <w:bottom w:w="0" w:type="dxa"/>
              <w:right w:w="0" w:type="dxa"/>
            </w:tcMar>
          </w:tcPr>
          <w:p w14:paraId="1E3414E6"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w:t>
            </w:r>
          </w:p>
        </w:tc>
        <w:tc>
          <w:tcPr>
            <w:tcW w:w="409" w:type="pct"/>
            <w:tcBorders>
              <w:top w:val="single" w:sz="3" w:space="0" w:color="000000"/>
            </w:tcBorders>
            <w:shd w:val="clear" w:color="auto" w:fill="FFFFFF"/>
            <w:tcMar>
              <w:top w:w="0" w:type="dxa"/>
              <w:left w:w="0" w:type="dxa"/>
              <w:bottom w:w="0" w:type="dxa"/>
              <w:right w:w="0" w:type="dxa"/>
            </w:tcMar>
          </w:tcPr>
          <w:p w14:paraId="4F12844F"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12.4±1.9</w:t>
            </w:r>
          </w:p>
        </w:tc>
        <w:tc>
          <w:tcPr>
            <w:tcW w:w="433" w:type="pct"/>
            <w:tcBorders>
              <w:top w:val="single" w:sz="3" w:space="0" w:color="000000"/>
            </w:tcBorders>
            <w:shd w:val="clear" w:color="auto" w:fill="FFFFFF"/>
            <w:tcMar>
              <w:top w:w="0" w:type="dxa"/>
              <w:left w:w="0" w:type="dxa"/>
              <w:bottom w:w="0" w:type="dxa"/>
              <w:right w:w="0" w:type="dxa"/>
            </w:tcMar>
          </w:tcPr>
          <w:p w14:paraId="146AB2DA"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w:t>
            </w:r>
          </w:p>
        </w:tc>
        <w:tc>
          <w:tcPr>
            <w:tcW w:w="392" w:type="pct"/>
            <w:tcBorders>
              <w:top w:val="single" w:sz="3" w:space="0" w:color="000000"/>
            </w:tcBorders>
            <w:shd w:val="clear" w:color="auto" w:fill="FFFFFF"/>
            <w:tcMar>
              <w:top w:w="0" w:type="dxa"/>
              <w:left w:w="0" w:type="dxa"/>
              <w:bottom w:w="0" w:type="dxa"/>
              <w:right w:w="0" w:type="dxa"/>
            </w:tcMar>
          </w:tcPr>
          <w:p w14:paraId="5C5C1B1A"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w:t>
            </w:r>
          </w:p>
        </w:tc>
        <w:tc>
          <w:tcPr>
            <w:tcW w:w="409" w:type="pct"/>
            <w:tcBorders>
              <w:top w:val="single" w:sz="3" w:space="0" w:color="000000"/>
            </w:tcBorders>
            <w:shd w:val="clear" w:color="auto" w:fill="FFFFFF"/>
            <w:tcMar>
              <w:top w:w="0" w:type="dxa"/>
              <w:left w:w="0" w:type="dxa"/>
              <w:bottom w:w="0" w:type="dxa"/>
              <w:right w:w="0" w:type="dxa"/>
            </w:tcMar>
          </w:tcPr>
          <w:p w14:paraId="5488A057"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23.4±1.7</w:t>
            </w:r>
          </w:p>
        </w:tc>
        <w:tc>
          <w:tcPr>
            <w:tcW w:w="433" w:type="pct"/>
            <w:tcBorders>
              <w:top w:val="single" w:sz="3" w:space="0" w:color="000000"/>
            </w:tcBorders>
            <w:shd w:val="clear" w:color="auto" w:fill="FFFFFF"/>
            <w:tcMar>
              <w:top w:w="0" w:type="dxa"/>
              <w:left w:w="0" w:type="dxa"/>
              <w:bottom w:w="0" w:type="dxa"/>
              <w:right w:w="0" w:type="dxa"/>
            </w:tcMar>
          </w:tcPr>
          <w:p w14:paraId="187C1907"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w:t>
            </w:r>
          </w:p>
        </w:tc>
        <w:tc>
          <w:tcPr>
            <w:tcW w:w="351" w:type="pct"/>
            <w:tcBorders>
              <w:top w:val="single" w:sz="3" w:space="0" w:color="000000"/>
            </w:tcBorders>
            <w:shd w:val="clear" w:color="auto" w:fill="FFFFFF"/>
            <w:tcMar>
              <w:top w:w="0" w:type="dxa"/>
              <w:left w:w="0" w:type="dxa"/>
              <w:bottom w:w="0" w:type="dxa"/>
              <w:right w:w="0" w:type="dxa"/>
            </w:tcMar>
          </w:tcPr>
          <w:p w14:paraId="6BD8D8D6"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w:t>
            </w:r>
          </w:p>
        </w:tc>
        <w:tc>
          <w:tcPr>
            <w:tcW w:w="350" w:type="pct"/>
            <w:tcBorders>
              <w:top w:val="single" w:sz="3" w:space="0" w:color="000000"/>
            </w:tcBorders>
            <w:shd w:val="clear" w:color="auto" w:fill="FFFFFF"/>
            <w:tcMar>
              <w:top w:w="0" w:type="dxa"/>
              <w:left w:w="0" w:type="dxa"/>
              <w:bottom w:w="0" w:type="dxa"/>
              <w:right w:w="0" w:type="dxa"/>
            </w:tcMar>
          </w:tcPr>
          <w:p w14:paraId="79038BE4"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5.5±0.3</w:t>
            </w:r>
          </w:p>
        </w:tc>
        <w:tc>
          <w:tcPr>
            <w:tcW w:w="433" w:type="pct"/>
            <w:tcBorders>
              <w:top w:val="single" w:sz="3" w:space="0" w:color="000000"/>
            </w:tcBorders>
            <w:shd w:val="clear" w:color="auto" w:fill="FFFFFF"/>
            <w:tcMar>
              <w:top w:w="0" w:type="dxa"/>
              <w:left w:w="0" w:type="dxa"/>
              <w:bottom w:w="0" w:type="dxa"/>
              <w:right w:w="0" w:type="dxa"/>
            </w:tcMar>
          </w:tcPr>
          <w:p w14:paraId="181A974D"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w:t>
            </w:r>
          </w:p>
        </w:tc>
        <w:tc>
          <w:tcPr>
            <w:tcW w:w="441" w:type="pct"/>
            <w:tcBorders>
              <w:top w:val="single" w:sz="3" w:space="0" w:color="000000"/>
            </w:tcBorders>
            <w:shd w:val="clear" w:color="auto" w:fill="FFFFFF"/>
            <w:tcMar>
              <w:top w:w="0" w:type="dxa"/>
              <w:left w:w="0" w:type="dxa"/>
              <w:bottom w:w="0" w:type="dxa"/>
              <w:right w:w="0" w:type="dxa"/>
            </w:tcMar>
          </w:tcPr>
          <w:p w14:paraId="4F2B26FC"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w:t>
            </w:r>
          </w:p>
        </w:tc>
      </w:tr>
      <w:tr w:rsidR="003E6FA7" w14:paraId="51E0CF8D" w14:textId="77777777" w:rsidTr="007A77DE">
        <w:trPr>
          <w:cantSplit/>
          <w:jc w:val="center"/>
        </w:trPr>
        <w:tc>
          <w:tcPr>
            <w:tcW w:w="614" w:type="pct"/>
            <w:shd w:val="clear" w:color="auto" w:fill="FFFFFF"/>
            <w:tcMar>
              <w:top w:w="0" w:type="dxa"/>
              <w:left w:w="0" w:type="dxa"/>
              <w:bottom w:w="0" w:type="dxa"/>
              <w:right w:w="0" w:type="dxa"/>
            </w:tcMar>
          </w:tcPr>
          <w:p w14:paraId="5DE0E4F4" w14:textId="77777777" w:rsidR="003E6FA7" w:rsidRPr="00817C26" w:rsidRDefault="003E6FA7" w:rsidP="007A77DE">
            <w:pPr>
              <w:pStyle w:val="NormalWeb"/>
              <w:spacing w:line="480" w:lineRule="auto"/>
              <w:rPr>
                <w:rFonts w:ascii="Arial" w:hAnsi="Arial" w:cs="Arial"/>
                <w:b/>
                <w:bCs/>
                <w:szCs w:val="16"/>
              </w:rPr>
            </w:pPr>
            <w:r w:rsidRPr="00817C26">
              <w:rPr>
                <w:rFonts w:ascii="Arial" w:hAnsi="Arial" w:cs="Arial"/>
                <w:b/>
                <w:bCs/>
                <w:szCs w:val="16"/>
              </w:rPr>
              <w:t>NoGPAT-M1</w:t>
            </w:r>
          </w:p>
        </w:tc>
        <w:tc>
          <w:tcPr>
            <w:tcW w:w="467" w:type="pct"/>
            <w:shd w:val="clear" w:color="auto" w:fill="FFFFFF"/>
            <w:tcMar>
              <w:top w:w="0" w:type="dxa"/>
              <w:left w:w="0" w:type="dxa"/>
              <w:bottom w:w="0" w:type="dxa"/>
              <w:right w:w="0" w:type="dxa"/>
            </w:tcMar>
          </w:tcPr>
          <w:p w14:paraId="17BC5530"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0.80±0.02</w:t>
            </w:r>
          </w:p>
        </w:tc>
        <w:tc>
          <w:tcPr>
            <w:tcW w:w="268" w:type="pct"/>
            <w:shd w:val="clear" w:color="auto" w:fill="FFFFFF"/>
            <w:tcMar>
              <w:top w:w="0" w:type="dxa"/>
              <w:left w:w="0" w:type="dxa"/>
              <w:bottom w:w="0" w:type="dxa"/>
              <w:right w:w="0" w:type="dxa"/>
            </w:tcMar>
          </w:tcPr>
          <w:p w14:paraId="2F1CBF2C"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-10%</w:t>
            </w:r>
          </w:p>
        </w:tc>
        <w:tc>
          <w:tcPr>
            <w:tcW w:w="409" w:type="pct"/>
            <w:shd w:val="clear" w:color="auto" w:fill="FFFFFF"/>
            <w:tcMar>
              <w:top w:w="0" w:type="dxa"/>
              <w:left w:w="0" w:type="dxa"/>
              <w:bottom w:w="0" w:type="dxa"/>
              <w:right w:w="0" w:type="dxa"/>
            </w:tcMar>
          </w:tcPr>
          <w:p w14:paraId="7CDEBF51"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17.6±1.1</w:t>
            </w:r>
          </w:p>
        </w:tc>
        <w:tc>
          <w:tcPr>
            <w:tcW w:w="433" w:type="pct"/>
            <w:shd w:val="clear" w:color="auto" w:fill="FFFFFF"/>
            <w:tcMar>
              <w:top w:w="0" w:type="dxa"/>
              <w:left w:w="0" w:type="dxa"/>
              <w:bottom w:w="0" w:type="dxa"/>
              <w:right w:w="0" w:type="dxa"/>
            </w:tcMar>
          </w:tcPr>
          <w:p w14:paraId="085E7972"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42% (**)</w:t>
            </w:r>
          </w:p>
        </w:tc>
        <w:tc>
          <w:tcPr>
            <w:tcW w:w="392" w:type="pct"/>
            <w:shd w:val="clear" w:color="auto" w:fill="FFFFFF"/>
            <w:tcMar>
              <w:top w:w="0" w:type="dxa"/>
              <w:left w:w="0" w:type="dxa"/>
              <w:bottom w:w="0" w:type="dxa"/>
              <w:right w:w="0" w:type="dxa"/>
            </w:tcMar>
          </w:tcPr>
          <w:p w14:paraId="2B65B6FF"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26%</w:t>
            </w:r>
          </w:p>
        </w:tc>
        <w:tc>
          <w:tcPr>
            <w:tcW w:w="409" w:type="pct"/>
            <w:shd w:val="clear" w:color="auto" w:fill="FFFFFF"/>
            <w:tcMar>
              <w:top w:w="0" w:type="dxa"/>
              <w:left w:w="0" w:type="dxa"/>
              <w:bottom w:w="0" w:type="dxa"/>
              <w:right w:w="0" w:type="dxa"/>
            </w:tcMar>
          </w:tcPr>
          <w:p w14:paraId="782A3165"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29.4±1.1</w:t>
            </w:r>
          </w:p>
        </w:tc>
        <w:tc>
          <w:tcPr>
            <w:tcW w:w="433" w:type="pct"/>
            <w:shd w:val="clear" w:color="auto" w:fill="FFFFFF"/>
            <w:tcMar>
              <w:top w:w="0" w:type="dxa"/>
              <w:left w:w="0" w:type="dxa"/>
              <w:bottom w:w="0" w:type="dxa"/>
              <w:right w:w="0" w:type="dxa"/>
            </w:tcMar>
          </w:tcPr>
          <w:p w14:paraId="05B5EAF4"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26% (***)</w:t>
            </w:r>
          </w:p>
        </w:tc>
        <w:tc>
          <w:tcPr>
            <w:tcW w:w="351" w:type="pct"/>
            <w:shd w:val="clear" w:color="auto" w:fill="FFFFFF"/>
            <w:tcMar>
              <w:top w:w="0" w:type="dxa"/>
              <w:left w:w="0" w:type="dxa"/>
              <w:bottom w:w="0" w:type="dxa"/>
              <w:right w:w="0" w:type="dxa"/>
            </w:tcMar>
          </w:tcPr>
          <w:p w14:paraId="2F033E7A"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12%</w:t>
            </w:r>
          </w:p>
        </w:tc>
        <w:tc>
          <w:tcPr>
            <w:tcW w:w="350" w:type="pct"/>
            <w:shd w:val="clear" w:color="auto" w:fill="FFFFFF"/>
            <w:tcMar>
              <w:top w:w="0" w:type="dxa"/>
              <w:left w:w="0" w:type="dxa"/>
              <w:bottom w:w="0" w:type="dxa"/>
              <w:right w:w="0" w:type="dxa"/>
            </w:tcMar>
          </w:tcPr>
          <w:p w14:paraId="2A808BC3"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6.8±0.2</w:t>
            </w:r>
          </w:p>
        </w:tc>
        <w:tc>
          <w:tcPr>
            <w:tcW w:w="433" w:type="pct"/>
            <w:shd w:val="clear" w:color="auto" w:fill="FFFFFF"/>
            <w:tcMar>
              <w:top w:w="0" w:type="dxa"/>
              <w:left w:w="0" w:type="dxa"/>
              <w:bottom w:w="0" w:type="dxa"/>
              <w:right w:w="0" w:type="dxa"/>
            </w:tcMar>
          </w:tcPr>
          <w:p w14:paraId="207E8F95"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24% (***)</w:t>
            </w:r>
          </w:p>
        </w:tc>
        <w:tc>
          <w:tcPr>
            <w:tcW w:w="441" w:type="pct"/>
            <w:shd w:val="clear" w:color="auto" w:fill="FFFFFF"/>
            <w:tcMar>
              <w:top w:w="0" w:type="dxa"/>
              <w:left w:w="0" w:type="dxa"/>
              <w:bottom w:w="0" w:type="dxa"/>
              <w:right w:w="0" w:type="dxa"/>
            </w:tcMar>
          </w:tcPr>
          <w:p w14:paraId="32571581"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11%</w:t>
            </w:r>
          </w:p>
        </w:tc>
      </w:tr>
      <w:tr w:rsidR="003E6FA7" w14:paraId="206B439E" w14:textId="77777777" w:rsidTr="007A77DE">
        <w:trPr>
          <w:cantSplit/>
          <w:jc w:val="center"/>
        </w:trPr>
        <w:tc>
          <w:tcPr>
            <w:tcW w:w="614" w:type="pct"/>
            <w:shd w:val="clear" w:color="auto" w:fill="FFFFFF"/>
            <w:tcMar>
              <w:top w:w="0" w:type="dxa"/>
              <w:left w:w="0" w:type="dxa"/>
              <w:bottom w:w="0" w:type="dxa"/>
              <w:right w:w="0" w:type="dxa"/>
            </w:tcMar>
          </w:tcPr>
          <w:p w14:paraId="38873E52" w14:textId="77777777" w:rsidR="003E6FA7" w:rsidRPr="00817C26" w:rsidRDefault="003E6FA7" w:rsidP="007A77DE">
            <w:pPr>
              <w:pStyle w:val="NormalWeb"/>
              <w:spacing w:line="480" w:lineRule="auto"/>
              <w:rPr>
                <w:rFonts w:ascii="Arial" w:hAnsi="Arial" w:cs="Arial"/>
                <w:b/>
                <w:bCs/>
                <w:szCs w:val="16"/>
              </w:rPr>
            </w:pPr>
            <w:r w:rsidRPr="00817C26">
              <w:rPr>
                <w:rFonts w:ascii="Arial" w:hAnsi="Arial" w:cs="Arial"/>
                <w:b/>
                <w:bCs/>
                <w:szCs w:val="16"/>
              </w:rPr>
              <w:t>NoGPAT-M2</w:t>
            </w:r>
          </w:p>
        </w:tc>
        <w:tc>
          <w:tcPr>
            <w:tcW w:w="467" w:type="pct"/>
            <w:shd w:val="clear" w:color="auto" w:fill="FFFFFF"/>
            <w:tcMar>
              <w:top w:w="0" w:type="dxa"/>
              <w:left w:w="0" w:type="dxa"/>
              <w:bottom w:w="0" w:type="dxa"/>
              <w:right w:w="0" w:type="dxa"/>
            </w:tcMar>
          </w:tcPr>
          <w:p w14:paraId="376EB16C"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0.90±0.06</w:t>
            </w:r>
          </w:p>
        </w:tc>
        <w:tc>
          <w:tcPr>
            <w:tcW w:w="268" w:type="pct"/>
            <w:shd w:val="clear" w:color="auto" w:fill="FFFFFF"/>
            <w:tcMar>
              <w:top w:w="0" w:type="dxa"/>
              <w:left w:w="0" w:type="dxa"/>
              <w:bottom w:w="0" w:type="dxa"/>
              <w:right w:w="0" w:type="dxa"/>
            </w:tcMar>
          </w:tcPr>
          <w:p w14:paraId="2C9949B6"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w:t>
            </w:r>
          </w:p>
        </w:tc>
        <w:tc>
          <w:tcPr>
            <w:tcW w:w="409" w:type="pct"/>
            <w:shd w:val="clear" w:color="auto" w:fill="FFFFFF"/>
            <w:tcMar>
              <w:top w:w="0" w:type="dxa"/>
              <w:left w:w="0" w:type="dxa"/>
              <w:bottom w:w="0" w:type="dxa"/>
              <w:right w:w="0" w:type="dxa"/>
            </w:tcMar>
          </w:tcPr>
          <w:p w14:paraId="0FAD9DEB"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16.9±0.9</w:t>
            </w:r>
          </w:p>
        </w:tc>
        <w:tc>
          <w:tcPr>
            <w:tcW w:w="433" w:type="pct"/>
            <w:shd w:val="clear" w:color="auto" w:fill="FFFFFF"/>
            <w:tcMar>
              <w:top w:w="0" w:type="dxa"/>
              <w:left w:w="0" w:type="dxa"/>
              <w:bottom w:w="0" w:type="dxa"/>
              <w:right w:w="0" w:type="dxa"/>
            </w:tcMar>
          </w:tcPr>
          <w:p w14:paraId="128FE8D6"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36% (**)</w:t>
            </w:r>
          </w:p>
        </w:tc>
        <w:tc>
          <w:tcPr>
            <w:tcW w:w="392" w:type="pct"/>
            <w:shd w:val="clear" w:color="auto" w:fill="FFFFFF"/>
            <w:tcMar>
              <w:top w:w="0" w:type="dxa"/>
              <w:left w:w="0" w:type="dxa"/>
              <w:bottom w:w="0" w:type="dxa"/>
              <w:right w:w="0" w:type="dxa"/>
            </w:tcMar>
          </w:tcPr>
          <w:p w14:paraId="35E41084"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37% (*)</w:t>
            </w:r>
          </w:p>
        </w:tc>
        <w:tc>
          <w:tcPr>
            <w:tcW w:w="409" w:type="pct"/>
            <w:shd w:val="clear" w:color="auto" w:fill="FFFFFF"/>
            <w:tcMar>
              <w:top w:w="0" w:type="dxa"/>
              <w:left w:w="0" w:type="dxa"/>
              <w:bottom w:w="0" w:type="dxa"/>
              <w:right w:w="0" w:type="dxa"/>
            </w:tcMar>
          </w:tcPr>
          <w:p w14:paraId="095A6954"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28.6±0.8</w:t>
            </w:r>
          </w:p>
        </w:tc>
        <w:tc>
          <w:tcPr>
            <w:tcW w:w="433" w:type="pct"/>
            <w:shd w:val="clear" w:color="auto" w:fill="FFFFFF"/>
            <w:tcMar>
              <w:top w:w="0" w:type="dxa"/>
              <w:left w:w="0" w:type="dxa"/>
              <w:bottom w:w="0" w:type="dxa"/>
              <w:right w:w="0" w:type="dxa"/>
            </w:tcMar>
          </w:tcPr>
          <w:p w14:paraId="6C877908"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22% (***)</w:t>
            </w:r>
          </w:p>
        </w:tc>
        <w:tc>
          <w:tcPr>
            <w:tcW w:w="351" w:type="pct"/>
            <w:shd w:val="clear" w:color="auto" w:fill="FFFFFF"/>
            <w:tcMar>
              <w:top w:w="0" w:type="dxa"/>
              <w:left w:w="0" w:type="dxa"/>
              <w:bottom w:w="0" w:type="dxa"/>
              <w:right w:w="0" w:type="dxa"/>
            </w:tcMar>
          </w:tcPr>
          <w:p w14:paraId="243B069E"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23% (*)</w:t>
            </w:r>
          </w:p>
        </w:tc>
        <w:tc>
          <w:tcPr>
            <w:tcW w:w="350" w:type="pct"/>
            <w:shd w:val="clear" w:color="auto" w:fill="FFFFFF"/>
            <w:tcMar>
              <w:top w:w="0" w:type="dxa"/>
              <w:left w:w="0" w:type="dxa"/>
              <w:bottom w:w="0" w:type="dxa"/>
              <w:right w:w="0" w:type="dxa"/>
            </w:tcMar>
          </w:tcPr>
          <w:p w14:paraId="0779A5A8"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6.8±0.2</w:t>
            </w:r>
          </w:p>
        </w:tc>
        <w:tc>
          <w:tcPr>
            <w:tcW w:w="433" w:type="pct"/>
            <w:shd w:val="clear" w:color="auto" w:fill="FFFFFF"/>
            <w:tcMar>
              <w:top w:w="0" w:type="dxa"/>
              <w:left w:w="0" w:type="dxa"/>
              <w:bottom w:w="0" w:type="dxa"/>
              <w:right w:w="0" w:type="dxa"/>
            </w:tcMar>
          </w:tcPr>
          <w:p w14:paraId="60D4D1BB"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24% (***)</w:t>
            </w:r>
          </w:p>
        </w:tc>
        <w:tc>
          <w:tcPr>
            <w:tcW w:w="441" w:type="pct"/>
            <w:shd w:val="clear" w:color="auto" w:fill="FFFFFF"/>
            <w:tcMar>
              <w:top w:w="0" w:type="dxa"/>
              <w:left w:w="0" w:type="dxa"/>
              <w:bottom w:w="0" w:type="dxa"/>
              <w:right w:w="0" w:type="dxa"/>
            </w:tcMar>
          </w:tcPr>
          <w:p w14:paraId="5F7ED982"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26% (*)</w:t>
            </w:r>
          </w:p>
        </w:tc>
      </w:tr>
      <w:tr w:rsidR="003E6FA7" w14:paraId="31607806" w14:textId="77777777" w:rsidTr="007A77DE">
        <w:trPr>
          <w:cantSplit/>
          <w:jc w:val="center"/>
        </w:trPr>
        <w:tc>
          <w:tcPr>
            <w:tcW w:w="614" w:type="pct"/>
            <w:shd w:val="clear" w:color="auto" w:fill="FFFFFF"/>
            <w:tcMar>
              <w:top w:w="0" w:type="dxa"/>
              <w:left w:w="0" w:type="dxa"/>
              <w:bottom w:w="0" w:type="dxa"/>
              <w:right w:w="0" w:type="dxa"/>
            </w:tcMar>
          </w:tcPr>
          <w:p w14:paraId="4E0DD3BF" w14:textId="77777777" w:rsidR="003E6FA7" w:rsidRPr="00817C26" w:rsidRDefault="003E6FA7" w:rsidP="007A77DE">
            <w:pPr>
              <w:pStyle w:val="NormalWeb"/>
              <w:spacing w:line="480" w:lineRule="auto"/>
              <w:rPr>
                <w:rFonts w:ascii="Arial" w:hAnsi="Arial" w:cs="Arial"/>
                <w:b/>
                <w:bCs/>
                <w:szCs w:val="16"/>
              </w:rPr>
            </w:pPr>
            <w:r w:rsidRPr="00817C26">
              <w:rPr>
                <w:rFonts w:ascii="Arial" w:hAnsi="Arial" w:cs="Arial"/>
                <w:b/>
                <w:bCs/>
                <w:szCs w:val="16"/>
              </w:rPr>
              <w:t>AoGPAT-M1</w:t>
            </w:r>
          </w:p>
        </w:tc>
        <w:tc>
          <w:tcPr>
            <w:tcW w:w="467" w:type="pct"/>
            <w:shd w:val="clear" w:color="auto" w:fill="FFFFFF"/>
            <w:tcMar>
              <w:top w:w="0" w:type="dxa"/>
              <w:left w:w="0" w:type="dxa"/>
              <w:bottom w:w="0" w:type="dxa"/>
              <w:right w:w="0" w:type="dxa"/>
            </w:tcMar>
          </w:tcPr>
          <w:p w14:paraId="03812DF1"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0.79±0.03</w:t>
            </w:r>
          </w:p>
        </w:tc>
        <w:tc>
          <w:tcPr>
            <w:tcW w:w="268" w:type="pct"/>
            <w:shd w:val="clear" w:color="auto" w:fill="FFFFFF"/>
            <w:tcMar>
              <w:top w:w="0" w:type="dxa"/>
              <w:left w:w="0" w:type="dxa"/>
              <w:bottom w:w="0" w:type="dxa"/>
              <w:right w:w="0" w:type="dxa"/>
            </w:tcMar>
          </w:tcPr>
          <w:p w14:paraId="0DCC2B14"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-11%</w:t>
            </w:r>
          </w:p>
        </w:tc>
        <w:tc>
          <w:tcPr>
            <w:tcW w:w="409" w:type="pct"/>
            <w:shd w:val="clear" w:color="auto" w:fill="FFFFFF"/>
            <w:tcMar>
              <w:top w:w="0" w:type="dxa"/>
              <w:left w:w="0" w:type="dxa"/>
              <w:bottom w:w="0" w:type="dxa"/>
              <w:right w:w="0" w:type="dxa"/>
            </w:tcMar>
          </w:tcPr>
          <w:p w14:paraId="6C9D5E67"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18.7±0.2</w:t>
            </w:r>
          </w:p>
        </w:tc>
        <w:tc>
          <w:tcPr>
            <w:tcW w:w="433" w:type="pct"/>
            <w:shd w:val="clear" w:color="auto" w:fill="FFFFFF"/>
            <w:tcMar>
              <w:top w:w="0" w:type="dxa"/>
              <w:left w:w="0" w:type="dxa"/>
              <w:bottom w:w="0" w:type="dxa"/>
              <w:right w:w="0" w:type="dxa"/>
            </w:tcMar>
          </w:tcPr>
          <w:p w14:paraId="6C3B81D6"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51% (***)</w:t>
            </w:r>
          </w:p>
        </w:tc>
        <w:tc>
          <w:tcPr>
            <w:tcW w:w="392" w:type="pct"/>
            <w:shd w:val="clear" w:color="auto" w:fill="FFFFFF"/>
            <w:tcMar>
              <w:top w:w="0" w:type="dxa"/>
              <w:left w:w="0" w:type="dxa"/>
              <w:bottom w:w="0" w:type="dxa"/>
              <w:right w:w="0" w:type="dxa"/>
            </w:tcMar>
          </w:tcPr>
          <w:p w14:paraId="41F0E8A7"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34% (*)</w:t>
            </w:r>
          </w:p>
        </w:tc>
        <w:tc>
          <w:tcPr>
            <w:tcW w:w="409" w:type="pct"/>
            <w:shd w:val="clear" w:color="auto" w:fill="FFFFFF"/>
            <w:tcMar>
              <w:top w:w="0" w:type="dxa"/>
              <w:left w:w="0" w:type="dxa"/>
              <w:bottom w:w="0" w:type="dxa"/>
              <w:right w:w="0" w:type="dxa"/>
            </w:tcMar>
          </w:tcPr>
          <w:p w14:paraId="521A1686"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28.0±0.5</w:t>
            </w:r>
          </w:p>
        </w:tc>
        <w:tc>
          <w:tcPr>
            <w:tcW w:w="433" w:type="pct"/>
            <w:shd w:val="clear" w:color="auto" w:fill="FFFFFF"/>
            <w:tcMar>
              <w:top w:w="0" w:type="dxa"/>
              <w:left w:w="0" w:type="dxa"/>
              <w:bottom w:w="0" w:type="dxa"/>
              <w:right w:w="0" w:type="dxa"/>
            </w:tcMar>
          </w:tcPr>
          <w:p w14:paraId="4DDEF3F0"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20% (**)</w:t>
            </w:r>
          </w:p>
        </w:tc>
        <w:tc>
          <w:tcPr>
            <w:tcW w:w="351" w:type="pct"/>
            <w:shd w:val="clear" w:color="auto" w:fill="FFFFFF"/>
            <w:tcMar>
              <w:top w:w="0" w:type="dxa"/>
              <w:left w:w="0" w:type="dxa"/>
              <w:bottom w:w="0" w:type="dxa"/>
              <w:right w:w="0" w:type="dxa"/>
            </w:tcMar>
          </w:tcPr>
          <w:p w14:paraId="7D410F2E"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7%</w:t>
            </w:r>
          </w:p>
        </w:tc>
        <w:tc>
          <w:tcPr>
            <w:tcW w:w="350" w:type="pct"/>
            <w:shd w:val="clear" w:color="auto" w:fill="FFFFFF"/>
            <w:tcMar>
              <w:top w:w="0" w:type="dxa"/>
              <w:left w:w="0" w:type="dxa"/>
              <w:bottom w:w="0" w:type="dxa"/>
              <w:right w:w="0" w:type="dxa"/>
            </w:tcMar>
          </w:tcPr>
          <w:p w14:paraId="43F0657A"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5.1±0.1</w:t>
            </w:r>
          </w:p>
        </w:tc>
        <w:tc>
          <w:tcPr>
            <w:tcW w:w="433" w:type="pct"/>
            <w:shd w:val="clear" w:color="auto" w:fill="FFFFFF"/>
            <w:tcMar>
              <w:top w:w="0" w:type="dxa"/>
              <w:left w:w="0" w:type="dxa"/>
              <w:bottom w:w="0" w:type="dxa"/>
              <w:right w:w="0" w:type="dxa"/>
            </w:tcMar>
          </w:tcPr>
          <w:p w14:paraId="7871C645"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-7%</w:t>
            </w:r>
          </w:p>
        </w:tc>
        <w:tc>
          <w:tcPr>
            <w:tcW w:w="441" w:type="pct"/>
            <w:shd w:val="clear" w:color="auto" w:fill="FFFFFF"/>
            <w:tcMar>
              <w:top w:w="0" w:type="dxa"/>
              <w:left w:w="0" w:type="dxa"/>
              <w:bottom w:w="0" w:type="dxa"/>
              <w:right w:w="0" w:type="dxa"/>
            </w:tcMar>
          </w:tcPr>
          <w:p w14:paraId="3FD033D0"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-16%</w:t>
            </w:r>
          </w:p>
        </w:tc>
      </w:tr>
      <w:tr w:rsidR="003E6FA7" w14:paraId="76C86611" w14:textId="77777777" w:rsidTr="007A77DE">
        <w:trPr>
          <w:cantSplit/>
          <w:jc w:val="center"/>
        </w:trPr>
        <w:tc>
          <w:tcPr>
            <w:tcW w:w="614" w:type="pct"/>
            <w:tcBorders>
              <w:bottom w:val="single" w:sz="3" w:space="0" w:color="000000"/>
            </w:tcBorders>
            <w:shd w:val="clear" w:color="auto" w:fill="FFFFFF"/>
            <w:tcMar>
              <w:top w:w="0" w:type="dxa"/>
              <w:left w:w="0" w:type="dxa"/>
              <w:bottom w:w="0" w:type="dxa"/>
              <w:right w:w="0" w:type="dxa"/>
            </w:tcMar>
          </w:tcPr>
          <w:p w14:paraId="5CE94044" w14:textId="77777777" w:rsidR="003E6FA7" w:rsidRPr="00817C26" w:rsidRDefault="003E6FA7" w:rsidP="007A77DE">
            <w:pPr>
              <w:pStyle w:val="NormalWeb"/>
              <w:spacing w:line="480" w:lineRule="auto"/>
              <w:rPr>
                <w:rFonts w:ascii="Arial" w:hAnsi="Arial" w:cs="Arial"/>
                <w:b/>
                <w:bCs/>
                <w:szCs w:val="16"/>
              </w:rPr>
            </w:pPr>
            <w:r w:rsidRPr="00817C26">
              <w:rPr>
                <w:rFonts w:ascii="Arial" w:hAnsi="Arial" w:cs="Arial"/>
                <w:b/>
                <w:bCs/>
                <w:szCs w:val="16"/>
              </w:rPr>
              <w:t>AoGPAT-M2</w:t>
            </w:r>
          </w:p>
        </w:tc>
        <w:tc>
          <w:tcPr>
            <w:tcW w:w="467" w:type="pct"/>
            <w:tcBorders>
              <w:bottom w:val="single" w:sz="3" w:space="0" w:color="000000"/>
            </w:tcBorders>
            <w:shd w:val="clear" w:color="auto" w:fill="FFFFFF"/>
            <w:tcMar>
              <w:top w:w="0" w:type="dxa"/>
              <w:left w:w="0" w:type="dxa"/>
              <w:bottom w:w="0" w:type="dxa"/>
              <w:right w:w="0" w:type="dxa"/>
            </w:tcMar>
          </w:tcPr>
          <w:p w14:paraId="7B53527B"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0.85±0.04</w:t>
            </w:r>
          </w:p>
        </w:tc>
        <w:tc>
          <w:tcPr>
            <w:tcW w:w="268" w:type="pct"/>
            <w:tcBorders>
              <w:bottom w:val="single" w:sz="3" w:space="0" w:color="000000"/>
            </w:tcBorders>
            <w:shd w:val="clear" w:color="auto" w:fill="FFFFFF"/>
            <w:tcMar>
              <w:top w:w="0" w:type="dxa"/>
              <w:left w:w="0" w:type="dxa"/>
              <w:bottom w:w="0" w:type="dxa"/>
              <w:right w:w="0" w:type="dxa"/>
            </w:tcMar>
          </w:tcPr>
          <w:p w14:paraId="46903A76"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-4%</w:t>
            </w:r>
          </w:p>
        </w:tc>
        <w:tc>
          <w:tcPr>
            <w:tcW w:w="409" w:type="pct"/>
            <w:tcBorders>
              <w:bottom w:val="single" w:sz="3" w:space="0" w:color="000000"/>
            </w:tcBorders>
            <w:shd w:val="clear" w:color="auto" w:fill="FFFFFF"/>
            <w:tcMar>
              <w:top w:w="0" w:type="dxa"/>
              <w:left w:w="0" w:type="dxa"/>
              <w:bottom w:w="0" w:type="dxa"/>
              <w:right w:w="0" w:type="dxa"/>
            </w:tcMar>
          </w:tcPr>
          <w:p w14:paraId="261F8B6C"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18.5±1.1</w:t>
            </w:r>
          </w:p>
        </w:tc>
        <w:tc>
          <w:tcPr>
            <w:tcW w:w="433" w:type="pct"/>
            <w:tcBorders>
              <w:bottom w:val="single" w:sz="3" w:space="0" w:color="000000"/>
            </w:tcBorders>
            <w:shd w:val="clear" w:color="auto" w:fill="FFFFFF"/>
            <w:tcMar>
              <w:top w:w="0" w:type="dxa"/>
              <w:left w:w="0" w:type="dxa"/>
              <w:bottom w:w="0" w:type="dxa"/>
              <w:right w:w="0" w:type="dxa"/>
            </w:tcMar>
          </w:tcPr>
          <w:p w14:paraId="23347DCF"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49% (***)</w:t>
            </w:r>
          </w:p>
        </w:tc>
        <w:tc>
          <w:tcPr>
            <w:tcW w:w="392" w:type="pct"/>
            <w:tcBorders>
              <w:bottom w:val="single" w:sz="3" w:space="0" w:color="000000"/>
            </w:tcBorders>
            <w:shd w:val="clear" w:color="auto" w:fill="FFFFFF"/>
            <w:tcMar>
              <w:top w:w="0" w:type="dxa"/>
              <w:left w:w="0" w:type="dxa"/>
              <w:bottom w:w="0" w:type="dxa"/>
              <w:right w:w="0" w:type="dxa"/>
            </w:tcMar>
          </w:tcPr>
          <w:p w14:paraId="2FCB444B"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42% (**)</w:t>
            </w:r>
          </w:p>
        </w:tc>
        <w:tc>
          <w:tcPr>
            <w:tcW w:w="409" w:type="pct"/>
            <w:tcBorders>
              <w:bottom w:val="single" w:sz="3" w:space="0" w:color="000000"/>
            </w:tcBorders>
            <w:shd w:val="clear" w:color="auto" w:fill="FFFFFF"/>
            <w:tcMar>
              <w:top w:w="0" w:type="dxa"/>
              <w:left w:w="0" w:type="dxa"/>
              <w:bottom w:w="0" w:type="dxa"/>
              <w:right w:w="0" w:type="dxa"/>
            </w:tcMar>
          </w:tcPr>
          <w:p w14:paraId="2407BFC6"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28.3±0.6</w:t>
            </w:r>
          </w:p>
        </w:tc>
        <w:tc>
          <w:tcPr>
            <w:tcW w:w="433" w:type="pct"/>
            <w:tcBorders>
              <w:bottom w:val="single" w:sz="3" w:space="0" w:color="000000"/>
            </w:tcBorders>
            <w:shd w:val="clear" w:color="auto" w:fill="FFFFFF"/>
            <w:tcMar>
              <w:top w:w="0" w:type="dxa"/>
              <w:left w:w="0" w:type="dxa"/>
              <w:bottom w:w="0" w:type="dxa"/>
              <w:right w:w="0" w:type="dxa"/>
            </w:tcMar>
          </w:tcPr>
          <w:p w14:paraId="5854D031"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21% (***)</w:t>
            </w:r>
          </w:p>
        </w:tc>
        <w:tc>
          <w:tcPr>
            <w:tcW w:w="351" w:type="pct"/>
            <w:tcBorders>
              <w:bottom w:val="single" w:sz="3" w:space="0" w:color="000000"/>
            </w:tcBorders>
            <w:shd w:val="clear" w:color="auto" w:fill="FFFFFF"/>
            <w:tcMar>
              <w:top w:w="0" w:type="dxa"/>
              <w:left w:w="0" w:type="dxa"/>
              <w:bottom w:w="0" w:type="dxa"/>
              <w:right w:w="0" w:type="dxa"/>
            </w:tcMar>
          </w:tcPr>
          <w:p w14:paraId="48C3C9A8"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16%</w:t>
            </w:r>
          </w:p>
        </w:tc>
        <w:tc>
          <w:tcPr>
            <w:tcW w:w="350" w:type="pct"/>
            <w:tcBorders>
              <w:bottom w:val="single" w:sz="3" w:space="0" w:color="000000"/>
            </w:tcBorders>
            <w:shd w:val="clear" w:color="auto" w:fill="FFFFFF"/>
            <w:tcMar>
              <w:top w:w="0" w:type="dxa"/>
              <w:left w:w="0" w:type="dxa"/>
              <w:bottom w:w="0" w:type="dxa"/>
              <w:right w:w="0" w:type="dxa"/>
            </w:tcMar>
          </w:tcPr>
          <w:p w14:paraId="1A1C146A"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5.6±0.2</w:t>
            </w:r>
          </w:p>
        </w:tc>
        <w:tc>
          <w:tcPr>
            <w:tcW w:w="433" w:type="pct"/>
            <w:tcBorders>
              <w:bottom w:val="single" w:sz="3" w:space="0" w:color="000000"/>
            </w:tcBorders>
            <w:shd w:val="clear" w:color="auto" w:fill="FFFFFF"/>
            <w:tcMar>
              <w:top w:w="0" w:type="dxa"/>
              <w:left w:w="0" w:type="dxa"/>
              <w:bottom w:w="0" w:type="dxa"/>
              <w:right w:w="0" w:type="dxa"/>
            </w:tcMar>
          </w:tcPr>
          <w:p w14:paraId="4247ECF1"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3%</w:t>
            </w:r>
          </w:p>
        </w:tc>
        <w:tc>
          <w:tcPr>
            <w:tcW w:w="441" w:type="pct"/>
            <w:tcBorders>
              <w:bottom w:val="single" w:sz="3" w:space="0" w:color="000000"/>
            </w:tcBorders>
            <w:shd w:val="clear" w:color="auto" w:fill="FFFFFF"/>
            <w:tcMar>
              <w:top w:w="0" w:type="dxa"/>
              <w:left w:w="0" w:type="dxa"/>
              <w:bottom w:w="0" w:type="dxa"/>
              <w:right w:w="0" w:type="dxa"/>
            </w:tcMar>
          </w:tcPr>
          <w:p w14:paraId="5C59A97F" w14:textId="77777777" w:rsidR="003E6FA7" w:rsidRPr="00817C26" w:rsidRDefault="003E6FA7" w:rsidP="007A77DE">
            <w:pPr>
              <w:pStyle w:val="NormalWeb"/>
              <w:spacing w:line="480" w:lineRule="auto"/>
              <w:jc w:val="right"/>
              <w:rPr>
                <w:rFonts w:ascii="Arial" w:hAnsi="Arial" w:cs="Arial"/>
                <w:sz w:val="14"/>
                <w:szCs w:val="14"/>
              </w:rPr>
            </w:pPr>
            <w:r w:rsidRPr="00817C26">
              <w:rPr>
                <w:rFonts w:ascii="Arial" w:hAnsi="Arial" w:cs="Arial"/>
                <w:sz w:val="14"/>
                <w:szCs w:val="14"/>
              </w:rPr>
              <w:t>-1%</w:t>
            </w:r>
          </w:p>
        </w:tc>
      </w:tr>
    </w:tbl>
    <w:p w14:paraId="0100A0D3" w14:textId="77777777" w:rsidR="003E6FA7" w:rsidRDefault="003E6FA7" w:rsidP="003E6FA7">
      <w:pPr>
        <w:pStyle w:val="TableCaption"/>
        <w:spacing w:line="480" w:lineRule="auto"/>
      </w:pPr>
    </w:p>
    <w:p w14:paraId="102681DE" w14:textId="77777777" w:rsidR="003E6FA7" w:rsidRDefault="003E6FA7" w:rsidP="003E6FA7">
      <w:pPr>
        <w:pStyle w:val="TableCaption"/>
        <w:spacing w:line="480" w:lineRule="auto"/>
      </w:pPr>
      <w:r w:rsidRPr="00817C26">
        <w:t>Table</w:t>
      </w:r>
      <w:r>
        <w:t xml:space="preserve"> S2: </w:t>
      </w:r>
      <w:r w:rsidRPr="009B03CE">
        <w:t>Oligonucleotides used in this study.</w:t>
      </w:r>
    </w:p>
    <w:tbl>
      <w:tblPr>
        <w:tblStyle w:val="Table"/>
        <w:tblW w:w="5000" w:type="pct"/>
        <w:tblLayout w:type="fixed"/>
        <w:tblLook w:val="07E0" w:firstRow="1" w:lastRow="1" w:firstColumn="1" w:lastColumn="1" w:noHBand="1" w:noVBand="1"/>
      </w:tblPr>
      <w:tblGrid>
        <w:gridCol w:w="1276"/>
        <w:gridCol w:w="3828"/>
        <w:gridCol w:w="4302"/>
      </w:tblGrid>
      <w:tr w:rsidR="003E6FA7" w14:paraId="436BEC58" w14:textId="77777777" w:rsidTr="007A77DE">
        <w:tc>
          <w:tcPr>
            <w:tcW w:w="1276" w:type="dxa"/>
            <w:tcBorders>
              <w:bottom w:val="single" w:sz="0" w:space="0" w:color="auto"/>
            </w:tcBorders>
            <w:vAlign w:val="bottom"/>
          </w:tcPr>
          <w:p w14:paraId="3050D281" w14:textId="77777777" w:rsidR="003E6FA7" w:rsidRDefault="003E6FA7" w:rsidP="007A77DE">
            <w:pPr>
              <w:pStyle w:val="Compact"/>
              <w:spacing w:line="480" w:lineRule="auto"/>
              <w:jc w:val="left"/>
            </w:pPr>
            <w:r>
              <w:t>ID</w:t>
            </w:r>
          </w:p>
        </w:tc>
        <w:tc>
          <w:tcPr>
            <w:tcW w:w="3828" w:type="dxa"/>
            <w:tcBorders>
              <w:bottom w:val="single" w:sz="0" w:space="0" w:color="auto"/>
            </w:tcBorders>
            <w:vAlign w:val="bottom"/>
          </w:tcPr>
          <w:p w14:paraId="27A86E54" w14:textId="77777777" w:rsidR="003E6FA7" w:rsidRDefault="003E6FA7" w:rsidP="007A77DE">
            <w:pPr>
              <w:pStyle w:val="Compact"/>
              <w:spacing w:line="480" w:lineRule="auto"/>
              <w:jc w:val="left"/>
            </w:pPr>
            <w:r>
              <w:t>Sequence</w:t>
            </w:r>
          </w:p>
        </w:tc>
        <w:tc>
          <w:tcPr>
            <w:tcW w:w="4302" w:type="dxa"/>
            <w:tcBorders>
              <w:bottom w:val="single" w:sz="0" w:space="0" w:color="auto"/>
            </w:tcBorders>
            <w:vAlign w:val="bottom"/>
          </w:tcPr>
          <w:p w14:paraId="039D44FA" w14:textId="77777777" w:rsidR="003E6FA7" w:rsidRDefault="003E6FA7" w:rsidP="007A77DE">
            <w:pPr>
              <w:pStyle w:val="Compact"/>
              <w:spacing w:line="480" w:lineRule="auto"/>
              <w:jc w:val="left"/>
            </w:pPr>
            <w:r>
              <w:t>Application</w:t>
            </w:r>
          </w:p>
        </w:tc>
      </w:tr>
      <w:tr w:rsidR="003E6FA7" w14:paraId="44FFE77C" w14:textId="77777777" w:rsidTr="007A77DE">
        <w:tc>
          <w:tcPr>
            <w:tcW w:w="1276" w:type="dxa"/>
          </w:tcPr>
          <w:p w14:paraId="1E56D309" w14:textId="77777777" w:rsidR="003E6FA7" w:rsidRDefault="003E6FA7" w:rsidP="007A77DE">
            <w:pPr>
              <w:pStyle w:val="Compact"/>
              <w:spacing w:line="480" w:lineRule="auto"/>
              <w:jc w:val="left"/>
            </w:pPr>
            <w:r>
              <w:t>oCSG001</w:t>
            </w:r>
          </w:p>
        </w:tc>
        <w:tc>
          <w:tcPr>
            <w:tcW w:w="3828" w:type="dxa"/>
          </w:tcPr>
          <w:p w14:paraId="03EAC103" w14:textId="77777777" w:rsidR="003E6FA7" w:rsidRDefault="003E6FA7" w:rsidP="007A77DE">
            <w:pPr>
              <w:pStyle w:val="Compact"/>
              <w:spacing w:line="480" w:lineRule="auto"/>
              <w:jc w:val="left"/>
            </w:pPr>
            <w:r>
              <w:t>ATGGTGAGCAAGGGCGAGGA</w:t>
            </w:r>
          </w:p>
        </w:tc>
        <w:tc>
          <w:tcPr>
            <w:tcW w:w="4302" w:type="dxa"/>
          </w:tcPr>
          <w:p w14:paraId="5FFB412B" w14:textId="77777777" w:rsidR="003E6FA7" w:rsidRDefault="003E6FA7" w:rsidP="007A77DE">
            <w:pPr>
              <w:pStyle w:val="Compact"/>
              <w:spacing w:line="480" w:lineRule="auto"/>
              <w:jc w:val="left"/>
            </w:pPr>
            <w:r>
              <w:t>Linearisation of pCS-EC6 as backbone for pCS-EC6-NoGPAT and pCS-EC6-AoGPAT (assembly fragment 1)</w:t>
            </w:r>
          </w:p>
        </w:tc>
      </w:tr>
      <w:tr w:rsidR="003E6FA7" w14:paraId="6F5DA13C" w14:textId="77777777" w:rsidTr="007A77DE">
        <w:tc>
          <w:tcPr>
            <w:tcW w:w="1276" w:type="dxa"/>
          </w:tcPr>
          <w:p w14:paraId="28606A39" w14:textId="77777777" w:rsidR="003E6FA7" w:rsidRDefault="003E6FA7" w:rsidP="007A77DE">
            <w:pPr>
              <w:pStyle w:val="Compact"/>
              <w:spacing w:line="480" w:lineRule="auto"/>
              <w:jc w:val="left"/>
            </w:pPr>
            <w:r>
              <w:t>oCSG002</w:t>
            </w:r>
          </w:p>
        </w:tc>
        <w:tc>
          <w:tcPr>
            <w:tcW w:w="3828" w:type="dxa"/>
          </w:tcPr>
          <w:p w14:paraId="15D7CEF2" w14:textId="77777777" w:rsidR="003E6FA7" w:rsidRDefault="003E6FA7" w:rsidP="007A77DE">
            <w:pPr>
              <w:pStyle w:val="Compact"/>
              <w:spacing w:line="480" w:lineRule="auto"/>
              <w:jc w:val="left"/>
            </w:pPr>
            <w:r>
              <w:t>CTGCTCGGAGGGGAGGATG</w:t>
            </w:r>
          </w:p>
        </w:tc>
        <w:tc>
          <w:tcPr>
            <w:tcW w:w="4302" w:type="dxa"/>
          </w:tcPr>
          <w:p w14:paraId="132AE346" w14:textId="77777777" w:rsidR="003E6FA7" w:rsidRDefault="003E6FA7" w:rsidP="007A77DE">
            <w:pPr>
              <w:pStyle w:val="Compact"/>
              <w:spacing w:line="480" w:lineRule="auto"/>
              <w:jc w:val="left"/>
            </w:pPr>
            <w:r>
              <w:t>Linearisation of pCS-EC6 as backbone for pCS-EC6-NoGPAT and pCS-EC6-AoGPAT (assembly fragment 1)</w:t>
            </w:r>
          </w:p>
        </w:tc>
      </w:tr>
      <w:tr w:rsidR="003E6FA7" w14:paraId="0BB72507" w14:textId="77777777" w:rsidTr="007A77DE">
        <w:tc>
          <w:tcPr>
            <w:tcW w:w="1276" w:type="dxa"/>
          </w:tcPr>
          <w:p w14:paraId="75FF6C76" w14:textId="77777777" w:rsidR="003E6FA7" w:rsidRDefault="003E6FA7" w:rsidP="007A77DE">
            <w:pPr>
              <w:pStyle w:val="Compact"/>
              <w:spacing w:line="480" w:lineRule="auto"/>
              <w:jc w:val="left"/>
            </w:pPr>
            <w:r>
              <w:lastRenderedPageBreak/>
              <w:t>oCSG003</w:t>
            </w:r>
          </w:p>
        </w:tc>
        <w:tc>
          <w:tcPr>
            <w:tcW w:w="3828" w:type="dxa"/>
          </w:tcPr>
          <w:p w14:paraId="62F0D9D6" w14:textId="77777777" w:rsidR="003E6FA7" w:rsidRDefault="003E6FA7" w:rsidP="007A77DE">
            <w:pPr>
              <w:pStyle w:val="Compact"/>
              <w:spacing w:line="480" w:lineRule="auto"/>
              <w:jc w:val="left"/>
            </w:pPr>
            <w:r>
              <w:t>TCCCTTCATCCTCCCCTCCGAGCAGATGCCGTCTCGCAGCACCATC</w:t>
            </w:r>
          </w:p>
        </w:tc>
        <w:tc>
          <w:tcPr>
            <w:tcW w:w="4302" w:type="dxa"/>
          </w:tcPr>
          <w:p w14:paraId="4CE1C108" w14:textId="77777777" w:rsidR="003E6FA7" w:rsidRDefault="003E6FA7" w:rsidP="007A77DE">
            <w:pPr>
              <w:pStyle w:val="Compact"/>
              <w:spacing w:line="480" w:lineRule="auto"/>
              <w:jc w:val="left"/>
            </w:pPr>
            <w:r>
              <w:t>Amplification of NoGPAT exon 1 (NoGPAT assembly fragment 2)</w:t>
            </w:r>
          </w:p>
        </w:tc>
      </w:tr>
      <w:tr w:rsidR="003E6FA7" w14:paraId="40743C76" w14:textId="77777777" w:rsidTr="007A77DE">
        <w:tc>
          <w:tcPr>
            <w:tcW w:w="1276" w:type="dxa"/>
          </w:tcPr>
          <w:p w14:paraId="0C143E36" w14:textId="77777777" w:rsidR="003E6FA7" w:rsidRDefault="003E6FA7" w:rsidP="007A77DE">
            <w:pPr>
              <w:pStyle w:val="Compact"/>
              <w:spacing w:line="480" w:lineRule="auto"/>
              <w:jc w:val="left"/>
            </w:pPr>
            <w:r>
              <w:t>oCSG004</w:t>
            </w:r>
          </w:p>
        </w:tc>
        <w:tc>
          <w:tcPr>
            <w:tcW w:w="3828" w:type="dxa"/>
          </w:tcPr>
          <w:p w14:paraId="7FA347B9" w14:textId="77777777" w:rsidR="003E6FA7" w:rsidRDefault="003E6FA7" w:rsidP="007A77DE">
            <w:pPr>
              <w:pStyle w:val="Compact"/>
              <w:spacing w:line="480" w:lineRule="auto"/>
              <w:jc w:val="left"/>
            </w:pPr>
            <w:r>
              <w:t>GACTTTGACGGGGTTGGGATCAATGGCCAAAAGAATGAC</w:t>
            </w:r>
          </w:p>
        </w:tc>
        <w:tc>
          <w:tcPr>
            <w:tcW w:w="4302" w:type="dxa"/>
          </w:tcPr>
          <w:p w14:paraId="3603878F" w14:textId="77777777" w:rsidR="003E6FA7" w:rsidRDefault="003E6FA7" w:rsidP="007A77DE">
            <w:pPr>
              <w:pStyle w:val="Compact"/>
              <w:spacing w:line="480" w:lineRule="auto"/>
              <w:jc w:val="left"/>
            </w:pPr>
            <w:r>
              <w:t>Amplification of NoGPAT exon 1 (NoGPAT assembly fragment 2)</w:t>
            </w:r>
          </w:p>
        </w:tc>
      </w:tr>
      <w:tr w:rsidR="003E6FA7" w14:paraId="03A077A8" w14:textId="77777777" w:rsidTr="007A77DE">
        <w:tc>
          <w:tcPr>
            <w:tcW w:w="1276" w:type="dxa"/>
          </w:tcPr>
          <w:p w14:paraId="46404798" w14:textId="77777777" w:rsidR="003E6FA7" w:rsidRDefault="003E6FA7" w:rsidP="007A77DE">
            <w:pPr>
              <w:pStyle w:val="Compact"/>
              <w:spacing w:line="480" w:lineRule="auto"/>
              <w:jc w:val="left"/>
            </w:pPr>
            <w:r>
              <w:t>oCSG005</w:t>
            </w:r>
          </w:p>
        </w:tc>
        <w:tc>
          <w:tcPr>
            <w:tcW w:w="3828" w:type="dxa"/>
          </w:tcPr>
          <w:p w14:paraId="2B076C0F" w14:textId="77777777" w:rsidR="003E6FA7" w:rsidRDefault="003E6FA7" w:rsidP="007A77DE">
            <w:pPr>
              <w:pStyle w:val="Compact"/>
              <w:spacing w:line="480" w:lineRule="auto"/>
              <w:jc w:val="left"/>
            </w:pPr>
            <w:r>
              <w:t>CATTGATCCCAACCCCGTCAAAGTCATCGCCGCCTCT</w:t>
            </w:r>
          </w:p>
        </w:tc>
        <w:tc>
          <w:tcPr>
            <w:tcW w:w="4302" w:type="dxa"/>
          </w:tcPr>
          <w:p w14:paraId="56C94D1F" w14:textId="77777777" w:rsidR="003E6FA7" w:rsidRDefault="003E6FA7" w:rsidP="007A77DE">
            <w:pPr>
              <w:pStyle w:val="Compact"/>
              <w:spacing w:line="480" w:lineRule="auto"/>
              <w:jc w:val="left"/>
            </w:pPr>
            <w:r>
              <w:t>Amplification of NoGPAT exon 2 and HA tag (NoGPAT assembly fragment 3)</w:t>
            </w:r>
          </w:p>
        </w:tc>
      </w:tr>
      <w:tr w:rsidR="003E6FA7" w14:paraId="7F23C5B5" w14:textId="77777777" w:rsidTr="007A77DE">
        <w:tc>
          <w:tcPr>
            <w:tcW w:w="1276" w:type="dxa"/>
          </w:tcPr>
          <w:p w14:paraId="3E1B0FE5" w14:textId="77777777" w:rsidR="003E6FA7" w:rsidRDefault="003E6FA7" w:rsidP="007A77DE">
            <w:pPr>
              <w:pStyle w:val="Compact"/>
              <w:spacing w:line="480" w:lineRule="auto"/>
              <w:jc w:val="left"/>
            </w:pPr>
            <w:r>
              <w:t>oCSG006</w:t>
            </w:r>
          </w:p>
        </w:tc>
        <w:tc>
          <w:tcPr>
            <w:tcW w:w="3828" w:type="dxa"/>
          </w:tcPr>
          <w:p w14:paraId="2F3D8FF2" w14:textId="77777777" w:rsidR="003E6FA7" w:rsidRDefault="003E6FA7" w:rsidP="007A77DE">
            <w:pPr>
              <w:pStyle w:val="Compact"/>
              <w:spacing w:line="480" w:lineRule="auto"/>
              <w:jc w:val="left"/>
            </w:pPr>
            <w:r>
              <w:t>GCGTAATCAGGCACATCGTAGGGGTAGGCGTCCTTCTTCCCCGTCGCCA</w:t>
            </w:r>
          </w:p>
        </w:tc>
        <w:tc>
          <w:tcPr>
            <w:tcW w:w="4302" w:type="dxa"/>
          </w:tcPr>
          <w:p w14:paraId="67C802E4" w14:textId="77777777" w:rsidR="003E6FA7" w:rsidRDefault="003E6FA7" w:rsidP="007A77DE">
            <w:pPr>
              <w:pStyle w:val="Compact"/>
              <w:spacing w:line="480" w:lineRule="auto"/>
              <w:jc w:val="left"/>
            </w:pPr>
            <w:r>
              <w:t>Amplification of NoGPAT exon 2 and HA tag (NoGPAT assembly fragment 3)</w:t>
            </w:r>
          </w:p>
        </w:tc>
      </w:tr>
      <w:tr w:rsidR="003E6FA7" w14:paraId="7028D9FC" w14:textId="77777777" w:rsidTr="007A77DE">
        <w:tc>
          <w:tcPr>
            <w:tcW w:w="1276" w:type="dxa"/>
          </w:tcPr>
          <w:p w14:paraId="1A64ABA4" w14:textId="77777777" w:rsidR="003E6FA7" w:rsidRDefault="003E6FA7" w:rsidP="007A77DE">
            <w:pPr>
              <w:pStyle w:val="Compact"/>
              <w:spacing w:line="480" w:lineRule="auto"/>
              <w:jc w:val="left"/>
            </w:pPr>
            <w:r>
              <w:t>oCSG007</w:t>
            </w:r>
          </w:p>
        </w:tc>
        <w:tc>
          <w:tcPr>
            <w:tcW w:w="3828" w:type="dxa"/>
          </w:tcPr>
          <w:p w14:paraId="231961DC" w14:textId="77777777" w:rsidR="003E6FA7" w:rsidRDefault="003E6FA7" w:rsidP="007A77DE">
            <w:pPr>
              <w:pStyle w:val="Compact"/>
              <w:spacing w:line="480" w:lineRule="auto"/>
              <w:jc w:val="left"/>
            </w:pPr>
            <w:r>
              <w:t>TACCCCTACGATGTGCCTGATTACGCTATGACGACCCTGTCCTTCCA</w:t>
            </w:r>
          </w:p>
        </w:tc>
        <w:tc>
          <w:tcPr>
            <w:tcW w:w="4302" w:type="dxa"/>
          </w:tcPr>
          <w:p w14:paraId="1FCC0001" w14:textId="77777777" w:rsidR="003E6FA7" w:rsidRDefault="003E6FA7" w:rsidP="007A77DE">
            <w:pPr>
              <w:pStyle w:val="Compact"/>
              <w:spacing w:line="480" w:lineRule="auto"/>
              <w:jc w:val="left"/>
            </w:pPr>
            <w:r>
              <w:t>Amplification of 2A encoding sequence (assembly fragment 4, both vectors)</w:t>
            </w:r>
          </w:p>
        </w:tc>
      </w:tr>
      <w:tr w:rsidR="003E6FA7" w14:paraId="7CF556F6" w14:textId="77777777" w:rsidTr="007A77DE">
        <w:tc>
          <w:tcPr>
            <w:tcW w:w="1276" w:type="dxa"/>
          </w:tcPr>
          <w:p w14:paraId="6A3F9E84" w14:textId="77777777" w:rsidR="003E6FA7" w:rsidRDefault="003E6FA7" w:rsidP="007A77DE">
            <w:pPr>
              <w:pStyle w:val="Compact"/>
              <w:spacing w:line="480" w:lineRule="auto"/>
              <w:jc w:val="left"/>
            </w:pPr>
            <w:r>
              <w:t>oCSG008</w:t>
            </w:r>
          </w:p>
        </w:tc>
        <w:tc>
          <w:tcPr>
            <w:tcW w:w="3828" w:type="dxa"/>
          </w:tcPr>
          <w:p w14:paraId="25B12577" w14:textId="77777777" w:rsidR="003E6FA7" w:rsidRDefault="003E6FA7" w:rsidP="007A77DE">
            <w:pPr>
              <w:pStyle w:val="Compact"/>
              <w:spacing w:line="480" w:lineRule="auto"/>
              <w:jc w:val="left"/>
            </w:pPr>
            <w:r>
              <w:t>TGACCTCCTCGCCCTTGCTCACCATGGGCCCCGGGTTCTCCTC</w:t>
            </w:r>
          </w:p>
        </w:tc>
        <w:tc>
          <w:tcPr>
            <w:tcW w:w="4302" w:type="dxa"/>
          </w:tcPr>
          <w:p w14:paraId="17F71535" w14:textId="77777777" w:rsidR="003E6FA7" w:rsidRDefault="003E6FA7" w:rsidP="007A77DE">
            <w:pPr>
              <w:pStyle w:val="Compact"/>
              <w:spacing w:line="480" w:lineRule="auto"/>
              <w:jc w:val="left"/>
            </w:pPr>
            <w:r>
              <w:t>Amplification of 2A encoding sequence (assembly fragment 4, both vectors)</w:t>
            </w:r>
          </w:p>
        </w:tc>
      </w:tr>
      <w:tr w:rsidR="003E6FA7" w14:paraId="6504D81B" w14:textId="77777777" w:rsidTr="007A77DE">
        <w:tc>
          <w:tcPr>
            <w:tcW w:w="1276" w:type="dxa"/>
          </w:tcPr>
          <w:p w14:paraId="6B160ADC" w14:textId="77777777" w:rsidR="003E6FA7" w:rsidRDefault="003E6FA7" w:rsidP="007A77DE">
            <w:pPr>
              <w:pStyle w:val="Compact"/>
              <w:spacing w:line="480" w:lineRule="auto"/>
              <w:jc w:val="left"/>
            </w:pPr>
            <w:r>
              <w:t>oCSG009</w:t>
            </w:r>
          </w:p>
        </w:tc>
        <w:tc>
          <w:tcPr>
            <w:tcW w:w="3828" w:type="dxa"/>
          </w:tcPr>
          <w:p w14:paraId="47AB7E8D" w14:textId="77777777" w:rsidR="003E6FA7" w:rsidRDefault="003E6FA7" w:rsidP="007A77DE">
            <w:pPr>
              <w:pStyle w:val="Compact"/>
              <w:spacing w:line="480" w:lineRule="auto"/>
              <w:jc w:val="left"/>
            </w:pPr>
            <w:r>
              <w:t>TCCCTTCATCCTCCCCTCCGAGCAGATGAATCGTTTGCTATTTGGTGTCTTC</w:t>
            </w:r>
          </w:p>
        </w:tc>
        <w:tc>
          <w:tcPr>
            <w:tcW w:w="4302" w:type="dxa"/>
          </w:tcPr>
          <w:p w14:paraId="1922BEF7" w14:textId="77777777" w:rsidR="003E6FA7" w:rsidRDefault="003E6FA7" w:rsidP="007A77DE">
            <w:pPr>
              <w:pStyle w:val="Compact"/>
              <w:spacing w:line="480" w:lineRule="auto"/>
              <w:jc w:val="left"/>
            </w:pPr>
            <w:r>
              <w:t>Amplification of SP</w:t>
            </w:r>
            <m:oMath>
              <m:sSub>
                <m:sSubPr>
                  <m:ctrlPr>
                    <w:rPr>
                      <w:rFonts w:ascii="Cambria Math" w:hAnsi="Cambria Math"/>
                    </w:rPr>
                  </m:ctrlPr>
                </m:sSubPr>
                <m:e>
                  <m:r>
                    <w:rPr>
                      <w:rFonts w:ascii="Cambria Math" w:hAnsi="Cambria Math"/>
                    </w:rPr>
                    <m:t>​</m:t>
                  </m:r>
                </m:e>
                <m:sub>
                  <m:r>
                    <m:rPr>
                      <m:sty m:val="p"/>
                    </m:rPr>
                    <w:rPr>
                      <w:rFonts w:ascii="Cambria Math" w:hAnsi="Cambria Math"/>
                    </w:rPr>
                    <m:t>PDI</m:t>
                  </m:r>
                </m:sub>
              </m:sSub>
            </m:oMath>
            <w:r>
              <w:t xml:space="preserve"> (AoGPAT assembly fragment 2)</w:t>
            </w:r>
          </w:p>
        </w:tc>
      </w:tr>
      <w:tr w:rsidR="003E6FA7" w14:paraId="06011F84" w14:textId="77777777" w:rsidTr="007A77DE">
        <w:tc>
          <w:tcPr>
            <w:tcW w:w="1276" w:type="dxa"/>
          </w:tcPr>
          <w:p w14:paraId="05E35D80" w14:textId="77777777" w:rsidR="003E6FA7" w:rsidRDefault="003E6FA7" w:rsidP="007A77DE">
            <w:pPr>
              <w:pStyle w:val="Compact"/>
              <w:spacing w:line="480" w:lineRule="auto"/>
              <w:jc w:val="left"/>
            </w:pPr>
            <w:r>
              <w:lastRenderedPageBreak/>
              <w:t>oCSG010</w:t>
            </w:r>
          </w:p>
        </w:tc>
        <w:tc>
          <w:tcPr>
            <w:tcW w:w="3828" w:type="dxa"/>
          </w:tcPr>
          <w:p w14:paraId="7E86BB3B" w14:textId="77777777" w:rsidR="003E6FA7" w:rsidRDefault="003E6FA7" w:rsidP="007A77DE">
            <w:pPr>
              <w:pStyle w:val="Compact"/>
              <w:spacing w:line="480" w:lineRule="auto"/>
              <w:jc w:val="left"/>
            </w:pPr>
            <w:r>
              <w:t>AGGGGAGCGCCATGCTCCCATCCTTCTCAACGG</w:t>
            </w:r>
          </w:p>
        </w:tc>
        <w:tc>
          <w:tcPr>
            <w:tcW w:w="4302" w:type="dxa"/>
          </w:tcPr>
          <w:p w14:paraId="11C9CE6E" w14:textId="77777777" w:rsidR="003E6FA7" w:rsidRDefault="003E6FA7" w:rsidP="007A77DE">
            <w:pPr>
              <w:pStyle w:val="Compact"/>
              <w:spacing w:line="480" w:lineRule="auto"/>
              <w:jc w:val="left"/>
            </w:pPr>
            <w:r>
              <w:t>Amplification of SP</w:t>
            </w:r>
            <m:oMath>
              <m:sSub>
                <m:sSubPr>
                  <m:ctrlPr>
                    <w:rPr>
                      <w:rFonts w:ascii="Cambria Math" w:hAnsi="Cambria Math"/>
                    </w:rPr>
                  </m:ctrlPr>
                </m:sSubPr>
                <m:e>
                  <m:r>
                    <w:rPr>
                      <w:rFonts w:ascii="Cambria Math" w:hAnsi="Cambria Math"/>
                    </w:rPr>
                    <m:t>​</m:t>
                  </m:r>
                </m:e>
                <m:sub>
                  <m:r>
                    <m:rPr>
                      <m:sty m:val="p"/>
                    </m:rPr>
                    <w:rPr>
                      <w:rFonts w:ascii="Cambria Math" w:hAnsi="Cambria Math"/>
                    </w:rPr>
                    <m:t>PDI</m:t>
                  </m:r>
                </m:sub>
              </m:sSub>
            </m:oMath>
            <w:r>
              <w:t xml:space="preserve"> (AoGPAT assembly fragment 2)</w:t>
            </w:r>
          </w:p>
        </w:tc>
      </w:tr>
      <w:tr w:rsidR="003E6FA7" w14:paraId="5901737D" w14:textId="77777777" w:rsidTr="007A77DE">
        <w:tc>
          <w:tcPr>
            <w:tcW w:w="1276" w:type="dxa"/>
          </w:tcPr>
          <w:p w14:paraId="7422BE5A" w14:textId="77777777" w:rsidR="003E6FA7" w:rsidRDefault="003E6FA7" w:rsidP="007A77DE">
            <w:pPr>
              <w:pStyle w:val="Compact"/>
              <w:spacing w:line="480" w:lineRule="auto"/>
              <w:jc w:val="left"/>
            </w:pPr>
            <w:r>
              <w:t>oCSG011</w:t>
            </w:r>
          </w:p>
        </w:tc>
        <w:tc>
          <w:tcPr>
            <w:tcW w:w="3828" w:type="dxa"/>
          </w:tcPr>
          <w:p w14:paraId="73ED73C2" w14:textId="77777777" w:rsidR="003E6FA7" w:rsidRDefault="003E6FA7" w:rsidP="007A77DE">
            <w:pPr>
              <w:pStyle w:val="Compact"/>
              <w:spacing w:line="480" w:lineRule="auto"/>
              <w:jc w:val="left"/>
            </w:pPr>
            <w:r>
              <w:t>AAGGATGGGAGCATGGCGCTCCCCTGTCAG</w:t>
            </w:r>
          </w:p>
        </w:tc>
        <w:tc>
          <w:tcPr>
            <w:tcW w:w="4302" w:type="dxa"/>
          </w:tcPr>
          <w:p w14:paraId="777EDD6C" w14:textId="77777777" w:rsidR="003E6FA7" w:rsidRDefault="003E6FA7" w:rsidP="007A77DE">
            <w:pPr>
              <w:pStyle w:val="Compact"/>
              <w:spacing w:line="480" w:lineRule="auto"/>
              <w:jc w:val="left"/>
            </w:pPr>
            <w:r>
              <w:t>Amplification of AoGPAT, ER retention signal and HA tag (AoGPAT assembly fragment 3)</w:t>
            </w:r>
          </w:p>
        </w:tc>
      </w:tr>
      <w:tr w:rsidR="003E6FA7" w14:paraId="75D17C0E" w14:textId="77777777" w:rsidTr="007A77DE">
        <w:tc>
          <w:tcPr>
            <w:tcW w:w="1276" w:type="dxa"/>
          </w:tcPr>
          <w:p w14:paraId="27B87AF9" w14:textId="77777777" w:rsidR="003E6FA7" w:rsidRDefault="003E6FA7" w:rsidP="007A77DE">
            <w:pPr>
              <w:pStyle w:val="Compact"/>
              <w:spacing w:line="480" w:lineRule="auto"/>
              <w:jc w:val="left"/>
            </w:pPr>
            <w:r>
              <w:t>oCSG012</w:t>
            </w:r>
          </w:p>
        </w:tc>
        <w:tc>
          <w:tcPr>
            <w:tcW w:w="3828" w:type="dxa"/>
          </w:tcPr>
          <w:p w14:paraId="6B525FE5" w14:textId="77777777" w:rsidR="003E6FA7" w:rsidRDefault="003E6FA7" w:rsidP="007A77DE">
            <w:pPr>
              <w:pStyle w:val="Compact"/>
              <w:spacing w:line="480" w:lineRule="auto"/>
              <w:jc w:val="left"/>
            </w:pPr>
            <w:r>
              <w:t>CGTAATCAGGCACATCGTAGGGGTAGAGCTCGTCCTTGTTGCGCATCAGCTCCACG</w:t>
            </w:r>
          </w:p>
        </w:tc>
        <w:tc>
          <w:tcPr>
            <w:tcW w:w="4302" w:type="dxa"/>
          </w:tcPr>
          <w:p w14:paraId="5235D24C" w14:textId="77777777" w:rsidR="003E6FA7" w:rsidRDefault="003E6FA7" w:rsidP="007A77DE">
            <w:pPr>
              <w:pStyle w:val="Compact"/>
              <w:spacing w:line="480" w:lineRule="auto"/>
              <w:jc w:val="left"/>
            </w:pPr>
            <w:r>
              <w:t>Amplification of AoGPAT, ER retention signal and HA tag (AoGPAT assembly fragment 3)</w:t>
            </w:r>
          </w:p>
        </w:tc>
      </w:tr>
      <w:tr w:rsidR="003E6FA7" w14:paraId="7AD027BD" w14:textId="77777777" w:rsidTr="007A77DE">
        <w:tc>
          <w:tcPr>
            <w:tcW w:w="1276" w:type="dxa"/>
          </w:tcPr>
          <w:p w14:paraId="00912C1C" w14:textId="77777777" w:rsidR="003E6FA7" w:rsidRDefault="003E6FA7" w:rsidP="007A77DE">
            <w:pPr>
              <w:pStyle w:val="Compact"/>
              <w:spacing w:line="480" w:lineRule="auto"/>
              <w:jc w:val="left"/>
            </w:pPr>
            <w:r>
              <w:t>oCSG013</w:t>
            </w:r>
          </w:p>
        </w:tc>
        <w:tc>
          <w:tcPr>
            <w:tcW w:w="3828" w:type="dxa"/>
          </w:tcPr>
          <w:p w14:paraId="5C55EDEF" w14:textId="77777777" w:rsidR="003E6FA7" w:rsidRDefault="003E6FA7" w:rsidP="007A77DE">
            <w:pPr>
              <w:pStyle w:val="Compact"/>
              <w:spacing w:line="480" w:lineRule="auto"/>
              <w:jc w:val="left"/>
            </w:pPr>
            <w:r>
              <w:t>GTTCGGAAACTATCGATAGGGTTTT</w:t>
            </w:r>
          </w:p>
        </w:tc>
        <w:tc>
          <w:tcPr>
            <w:tcW w:w="4302" w:type="dxa"/>
          </w:tcPr>
          <w:p w14:paraId="6795D9C4" w14:textId="77777777" w:rsidR="003E6FA7" w:rsidRDefault="003E6FA7" w:rsidP="007A77DE">
            <w:pPr>
              <w:pStyle w:val="Compact"/>
              <w:spacing w:line="480" w:lineRule="auto"/>
              <w:jc w:val="left"/>
            </w:pPr>
            <w:r>
              <w:t>Amplification of linear expression constructs from pCS-EC6-NoGPAT and pCS-EC6-AoGPAT</w:t>
            </w:r>
          </w:p>
        </w:tc>
      </w:tr>
      <w:tr w:rsidR="003E6FA7" w14:paraId="387D2C23" w14:textId="77777777" w:rsidTr="007A77DE">
        <w:tc>
          <w:tcPr>
            <w:tcW w:w="1276" w:type="dxa"/>
          </w:tcPr>
          <w:p w14:paraId="1E918150" w14:textId="77777777" w:rsidR="003E6FA7" w:rsidRDefault="003E6FA7" w:rsidP="007A77DE">
            <w:pPr>
              <w:pStyle w:val="Compact"/>
              <w:spacing w:line="480" w:lineRule="auto"/>
              <w:jc w:val="left"/>
            </w:pPr>
            <w:r>
              <w:t>oCSG014</w:t>
            </w:r>
          </w:p>
        </w:tc>
        <w:tc>
          <w:tcPr>
            <w:tcW w:w="3828" w:type="dxa"/>
          </w:tcPr>
          <w:p w14:paraId="4F1A9315" w14:textId="77777777" w:rsidR="003E6FA7" w:rsidRDefault="003E6FA7" w:rsidP="007A77DE">
            <w:pPr>
              <w:pStyle w:val="Compact"/>
              <w:spacing w:line="480" w:lineRule="auto"/>
              <w:jc w:val="left"/>
            </w:pPr>
            <w:r>
              <w:t>GAGTCCAGGGCACCCGAAAT</w:t>
            </w:r>
          </w:p>
        </w:tc>
        <w:tc>
          <w:tcPr>
            <w:tcW w:w="4302" w:type="dxa"/>
          </w:tcPr>
          <w:p w14:paraId="49896F3C" w14:textId="77777777" w:rsidR="003E6FA7" w:rsidRDefault="003E6FA7" w:rsidP="007A77DE">
            <w:pPr>
              <w:pStyle w:val="Compact"/>
              <w:spacing w:line="480" w:lineRule="auto"/>
              <w:jc w:val="left"/>
            </w:pPr>
            <w:r>
              <w:t>Amplification of linear expression constructs from pCS-EC6-NoGPAT and pCS-EC6-AoGPAT</w:t>
            </w:r>
          </w:p>
        </w:tc>
      </w:tr>
      <w:tr w:rsidR="003E6FA7" w14:paraId="0D1C8628" w14:textId="77777777" w:rsidTr="007A77DE">
        <w:tc>
          <w:tcPr>
            <w:tcW w:w="1276" w:type="dxa"/>
          </w:tcPr>
          <w:p w14:paraId="3512FE4D" w14:textId="77777777" w:rsidR="003E6FA7" w:rsidRDefault="003E6FA7" w:rsidP="007A77DE">
            <w:pPr>
              <w:pStyle w:val="Compact"/>
              <w:spacing w:line="480" w:lineRule="auto"/>
              <w:jc w:val="left"/>
            </w:pPr>
            <w:r>
              <w:t>oCSG015</w:t>
            </w:r>
          </w:p>
        </w:tc>
        <w:tc>
          <w:tcPr>
            <w:tcW w:w="3828" w:type="dxa"/>
          </w:tcPr>
          <w:p w14:paraId="34B2A3AB" w14:textId="77777777" w:rsidR="003E6FA7" w:rsidRDefault="003E6FA7" w:rsidP="007A77DE">
            <w:pPr>
              <w:pStyle w:val="Compact"/>
              <w:spacing w:line="480" w:lineRule="auto"/>
              <w:jc w:val="left"/>
            </w:pPr>
            <w:r>
              <w:t>TCCCTTCATCCTCCCCTCCGAGCAGATGCCGTCTCGCAGCACCATC</w:t>
            </w:r>
          </w:p>
        </w:tc>
        <w:tc>
          <w:tcPr>
            <w:tcW w:w="4302" w:type="dxa"/>
          </w:tcPr>
          <w:p w14:paraId="443DACD7" w14:textId="77777777" w:rsidR="003E6FA7" w:rsidRDefault="003E6FA7" w:rsidP="007A77DE">
            <w:pPr>
              <w:pStyle w:val="Compact"/>
              <w:spacing w:line="480" w:lineRule="auto"/>
              <w:jc w:val="left"/>
            </w:pPr>
            <w:r>
              <w:t>Genotyping PCR NoGPAT mutants, control reaction (rxn D)</w:t>
            </w:r>
          </w:p>
        </w:tc>
      </w:tr>
      <w:tr w:rsidR="003E6FA7" w14:paraId="07A910E5" w14:textId="77777777" w:rsidTr="007A77DE">
        <w:tc>
          <w:tcPr>
            <w:tcW w:w="1276" w:type="dxa"/>
          </w:tcPr>
          <w:p w14:paraId="1A535C0A" w14:textId="77777777" w:rsidR="003E6FA7" w:rsidRDefault="003E6FA7" w:rsidP="007A77DE">
            <w:pPr>
              <w:pStyle w:val="Compact"/>
              <w:spacing w:line="480" w:lineRule="auto"/>
              <w:jc w:val="left"/>
            </w:pPr>
            <w:r>
              <w:t>oCSG016</w:t>
            </w:r>
          </w:p>
        </w:tc>
        <w:tc>
          <w:tcPr>
            <w:tcW w:w="3828" w:type="dxa"/>
          </w:tcPr>
          <w:p w14:paraId="0AFEA542" w14:textId="77777777" w:rsidR="003E6FA7" w:rsidRDefault="003E6FA7" w:rsidP="007A77DE">
            <w:pPr>
              <w:pStyle w:val="Compact"/>
              <w:spacing w:line="480" w:lineRule="auto"/>
              <w:jc w:val="left"/>
            </w:pPr>
            <w:r>
              <w:t>GTTGGAAAGGGAGGGTAGTGGCGAT</w:t>
            </w:r>
          </w:p>
        </w:tc>
        <w:tc>
          <w:tcPr>
            <w:tcW w:w="4302" w:type="dxa"/>
          </w:tcPr>
          <w:p w14:paraId="66167C3D" w14:textId="77777777" w:rsidR="003E6FA7" w:rsidRDefault="003E6FA7" w:rsidP="007A77DE">
            <w:pPr>
              <w:pStyle w:val="Compact"/>
              <w:spacing w:line="480" w:lineRule="auto"/>
              <w:jc w:val="left"/>
            </w:pPr>
            <w:r>
              <w:t>Genotyping PCR NoGPAT mutants, control reaction (rxn D)</w:t>
            </w:r>
          </w:p>
        </w:tc>
      </w:tr>
      <w:tr w:rsidR="003E6FA7" w14:paraId="062BBE85" w14:textId="77777777" w:rsidTr="007A77DE">
        <w:tc>
          <w:tcPr>
            <w:tcW w:w="1276" w:type="dxa"/>
          </w:tcPr>
          <w:p w14:paraId="7BF9E7C5" w14:textId="77777777" w:rsidR="003E6FA7" w:rsidRDefault="003E6FA7" w:rsidP="007A77DE">
            <w:pPr>
              <w:pStyle w:val="Compact"/>
              <w:spacing w:line="480" w:lineRule="auto"/>
              <w:jc w:val="left"/>
            </w:pPr>
            <w:r>
              <w:t>oCSG017</w:t>
            </w:r>
          </w:p>
        </w:tc>
        <w:tc>
          <w:tcPr>
            <w:tcW w:w="3828" w:type="dxa"/>
          </w:tcPr>
          <w:p w14:paraId="3D3D74D1" w14:textId="77777777" w:rsidR="003E6FA7" w:rsidRDefault="003E6FA7" w:rsidP="007A77DE">
            <w:pPr>
              <w:pStyle w:val="Compact"/>
              <w:spacing w:line="480" w:lineRule="auto"/>
              <w:jc w:val="left"/>
            </w:pPr>
            <w:r>
              <w:t>CCGCGGTGTTGCGATGGCGCTCCCCTGTCAG</w:t>
            </w:r>
          </w:p>
        </w:tc>
        <w:tc>
          <w:tcPr>
            <w:tcW w:w="4302" w:type="dxa"/>
          </w:tcPr>
          <w:p w14:paraId="79B74054" w14:textId="77777777" w:rsidR="003E6FA7" w:rsidRDefault="003E6FA7" w:rsidP="007A77DE">
            <w:pPr>
              <w:pStyle w:val="Compact"/>
              <w:spacing w:line="480" w:lineRule="auto"/>
              <w:jc w:val="left"/>
            </w:pPr>
            <w:r>
              <w:t>Genotyping PCR AoGPAT mutants, control reaction (rxn D)</w:t>
            </w:r>
          </w:p>
        </w:tc>
      </w:tr>
      <w:tr w:rsidR="003E6FA7" w14:paraId="6392E6BB" w14:textId="77777777" w:rsidTr="007A77DE">
        <w:tc>
          <w:tcPr>
            <w:tcW w:w="1276" w:type="dxa"/>
          </w:tcPr>
          <w:p w14:paraId="5738AC49" w14:textId="77777777" w:rsidR="003E6FA7" w:rsidRDefault="003E6FA7" w:rsidP="007A77DE">
            <w:pPr>
              <w:pStyle w:val="Compact"/>
              <w:spacing w:line="480" w:lineRule="auto"/>
              <w:jc w:val="left"/>
            </w:pPr>
            <w:r>
              <w:lastRenderedPageBreak/>
              <w:t>oCSG018</w:t>
            </w:r>
          </w:p>
        </w:tc>
        <w:tc>
          <w:tcPr>
            <w:tcW w:w="3828" w:type="dxa"/>
          </w:tcPr>
          <w:p w14:paraId="343660A9" w14:textId="77777777" w:rsidR="003E6FA7" w:rsidRDefault="003E6FA7" w:rsidP="007A77DE">
            <w:pPr>
              <w:pStyle w:val="Compact"/>
              <w:spacing w:line="480" w:lineRule="auto"/>
              <w:jc w:val="left"/>
            </w:pPr>
            <w:r>
              <w:t>GTTGGAAAGGGAGGGTAGTGG</w:t>
            </w:r>
          </w:p>
        </w:tc>
        <w:tc>
          <w:tcPr>
            <w:tcW w:w="4302" w:type="dxa"/>
          </w:tcPr>
          <w:p w14:paraId="2526FBB4" w14:textId="77777777" w:rsidR="003E6FA7" w:rsidRDefault="003E6FA7" w:rsidP="007A77DE">
            <w:pPr>
              <w:pStyle w:val="Compact"/>
              <w:spacing w:line="480" w:lineRule="auto"/>
              <w:jc w:val="left"/>
            </w:pPr>
            <w:r>
              <w:t>Genotyping PCR AoGPAT mutants, control reaction (rxn D)</w:t>
            </w:r>
          </w:p>
        </w:tc>
      </w:tr>
      <w:tr w:rsidR="003E6FA7" w14:paraId="7D8A1D71" w14:textId="77777777" w:rsidTr="007A77DE">
        <w:tc>
          <w:tcPr>
            <w:tcW w:w="1276" w:type="dxa"/>
          </w:tcPr>
          <w:p w14:paraId="15AA7292" w14:textId="77777777" w:rsidR="003E6FA7" w:rsidRDefault="003E6FA7" w:rsidP="007A77DE">
            <w:pPr>
              <w:pStyle w:val="Compact"/>
              <w:spacing w:line="480" w:lineRule="auto"/>
              <w:jc w:val="left"/>
            </w:pPr>
            <w:r>
              <w:t>oCSG019</w:t>
            </w:r>
          </w:p>
        </w:tc>
        <w:tc>
          <w:tcPr>
            <w:tcW w:w="3828" w:type="dxa"/>
          </w:tcPr>
          <w:p w14:paraId="46FA0E53" w14:textId="77777777" w:rsidR="003E6FA7" w:rsidRDefault="003E6FA7" w:rsidP="007A77DE">
            <w:pPr>
              <w:pStyle w:val="Compact"/>
              <w:spacing w:line="480" w:lineRule="auto"/>
              <w:jc w:val="left"/>
            </w:pPr>
            <w:r>
              <w:t>CAAGGGAGGCTGCGTAACACAACG</w:t>
            </w:r>
          </w:p>
        </w:tc>
        <w:tc>
          <w:tcPr>
            <w:tcW w:w="4302" w:type="dxa"/>
          </w:tcPr>
          <w:p w14:paraId="02046457" w14:textId="77777777" w:rsidR="003E6FA7" w:rsidRDefault="003E6FA7" w:rsidP="007A77DE">
            <w:pPr>
              <w:pStyle w:val="Compact"/>
              <w:spacing w:line="480" w:lineRule="auto"/>
              <w:jc w:val="left"/>
            </w:pPr>
            <w:r>
              <w:t>Genotyping PCR NoGPAT and AoGPAT mutants, 5’ reaction (rxn A)</w:t>
            </w:r>
          </w:p>
        </w:tc>
      </w:tr>
      <w:tr w:rsidR="003E6FA7" w14:paraId="54278029" w14:textId="77777777" w:rsidTr="007A77DE">
        <w:tc>
          <w:tcPr>
            <w:tcW w:w="1276" w:type="dxa"/>
          </w:tcPr>
          <w:p w14:paraId="36986EF7" w14:textId="77777777" w:rsidR="003E6FA7" w:rsidRDefault="003E6FA7" w:rsidP="007A77DE">
            <w:pPr>
              <w:pStyle w:val="Compact"/>
              <w:spacing w:line="480" w:lineRule="auto"/>
              <w:jc w:val="left"/>
            </w:pPr>
            <w:r>
              <w:t>oCSG020</w:t>
            </w:r>
          </w:p>
        </w:tc>
        <w:tc>
          <w:tcPr>
            <w:tcW w:w="3828" w:type="dxa"/>
          </w:tcPr>
          <w:p w14:paraId="10E5CE54" w14:textId="77777777" w:rsidR="003E6FA7" w:rsidRDefault="003E6FA7" w:rsidP="007A77DE">
            <w:pPr>
              <w:pStyle w:val="Compact"/>
              <w:spacing w:line="480" w:lineRule="auto"/>
              <w:jc w:val="left"/>
            </w:pPr>
            <w:r>
              <w:t>GACTTTGACGGGGTTGGGATCAATGGCCAAAAGAATGAC</w:t>
            </w:r>
          </w:p>
        </w:tc>
        <w:tc>
          <w:tcPr>
            <w:tcW w:w="4302" w:type="dxa"/>
          </w:tcPr>
          <w:p w14:paraId="5B2922C3" w14:textId="77777777" w:rsidR="003E6FA7" w:rsidRDefault="003E6FA7" w:rsidP="007A77DE">
            <w:pPr>
              <w:pStyle w:val="Compact"/>
              <w:spacing w:line="480" w:lineRule="auto"/>
              <w:jc w:val="left"/>
            </w:pPr>
            <w:r>
              <w:t>Genotyping PCR NoGPAT mutants, 5’ reaction (rxn A/B)</w:t>
            </w:r>
          </w:p>
        </w:tc>
      </w:tr>
      <w:tr w:rsidR="003E6FA7" w14:paraId="2958C6B1" w14:textId="77777777" w:rsidTr="007A77DE">
        <w:tc>
          <w:tcPr>
            <w:tcW w:w="1276" w:type="dxa"/>
          </w:tcPr>
          <w:p w14:paraId="0A6C7F43" w14:textId="77777777" w:rsidR="003E6FA7" w:rsidRDefault="003E6FA7" w:rsidP="007A77DE">
            <w:pPr>
              <w:pStyle w:val="Compact"/>
              <w:spacing w:line="480" w:lineRule="auto"/>
              <w:jc w:val="left"/>
            </w:pPr>
            <w:r>
              <w:t>oCSG021</w:t>
            </w:r>
          </w:p>
        </w:tc>
        <w:tc>
          <w:tcPr>
            <w:tcW w:w="3828" w:type="dxa"/>
          </w:tcPr>
          <w:p w14:paraId="7F5AE30F" w14:textId="77777777" w:rsidR="003E6FA7" w:rsidRDefault="003E6FA7" w:rsidP="007A77DE">
            <w:pPr>
              <w:pStyle w:val="Compact"/>
              <w:spacing w:line="480" w:lineRule="auto"/>
              <w:jc w:val="left"/>
            </w:pPr>
            <w:r>
              <w:t>TGAACTGCAGGTTTGCCA</w:t>
            </w:r>
          </w:p>
        </w:tc>
        <w:tc>
          <w:tcPr>
            <w:tcW w:w="4302" w:type="dxa"/>
          </w:tcPr>
          <w:p w14:paraId="5CC5BFB7" w14:textId="77777777" w:rsidR="003E6FA7" w:rsidRDefault="003E6FA7" w:rsidP="007A77DE">
            <w:pPr>
              <w:pStyle w:val="Compact"/>
              <w:spacing w:line="480" w:lineRule="auto"/>
              <w:jc w:val="left"/>
            </w:pPr>
            <w:r>
              <w:t>Genotyping PCR AoGPAT mutants, 5’ reaction (rxn A)</w:t>
            </w:r>
          </w:p>
        </w:tc>
      </w:tr>
      <w:tr w:rsidR="003E6FA7" w14:paraId="3760514A" w14:textId="77777777" w:rsidTr="007A77DE">
        <w:tc>
          <w:tcPr>
            <w:tcW w:w="1276" w:type="dxa"/>
          </w:tcPr>
          <w:p w14:paraId="4DCB4DC4" w14:textId="77777777" w:rsidR="003E6FA7" w:rsidRDefault="003E6FA7" w:rsidP="007A77DE">
            <w:pPr>
              <w:pStyle w:val="Compact"/>
              <w:spacing w:line="480" w:lineRule="auto"/>
              <w:jc w:val="left"/>
            </w:pPr>
            <w:r>
              <w:t>oCSG022</w:t>
            </w:r>
          </w:p>
        </w:tc>
        <w:tc>
          <w:tcPr>
            <w:tcW w:w="3828" w:type="dxa"/>
          </w:tcPr>
          <w:p w14:paraId="0B732D66" w14:textId="77777777" w:rsidR="003E6FA7" w:rsidRDefault="003E6FA7" w:rsidP="007A77DE">
            <w:pPr>
              <w:pStyle w:val="Compact"/>
              <w:spacing w:line="480" w:lineRule="auto"/>
              <w:jc w:val="left"/>
            </w:pPr>
            <w:r>
              <w:t>GCTGCTTCTTCCTTCCATCCGTGACTGTAT</w:t>
            </w:r>
          </w:p>
        </w:tc>
        <w:tc>
          <w:tcPr>
            <w:tcW w:w="4302" w:type="dxa"/>
          </w:tcPr>
          <w:p w14:paraId="5CA169AF" w14:textId="77777777" w:rsidR="003E6FA7" w:rsidRDefault="003E6FA7" w:rsidP="007A77DE">
            <w:pPr>
              <w:pStyle w:val="Compact"/>
              <w:spacing w:line="480" w:lineRule="auto"/>
              <w:jc w:val="left"/>
            </w:pPr>
            <w:r>
              <w:t>Genotyping PCR NoGPAT and AoGPAT mutants, 3’ reaction (rxn C)</w:t>
            </w:r>
          </w:p>
        </w:tc>
      </w:tr>
      <w:tr w:rsidR="003E6FA7" w14:paraId="576C51BE" w14:textId="77777777" w:rsidTr="007A77DE">
        <w:tc>
          <w:tcPr>
            <w:tcW w:w="1276" w:type="dxa"/>
          </w:tcPr>
          <w:p w14:paraId="051B613F" w14:textId="77777777" w:rsidR="003E6FA7" w:rsidRDefault="003E6FA7" w:rsidP="007A77DE">
            <w:pPr>
              <w:pStyle w:val="Compact"/>
              <w:spacing w:line="480" w:lineRule="auto"/>
              <w:jc w:val="left"/>
            </w:pPr>
            <w:r>
              <w:t>oCSG023</w:t>
            </w:r>
          </w:p>
        </w:tc>
        <w:tc>
          <w:tcPr>
            <w:tcW w:w="3828" w:type="dxa"/>
          </w:tcPr>
          <w:p w14:paraId="066E6DCE" w14:textId="77777777" w:rsidR="003E6FA7" w:rsidRDefault="003E6FA7" w:rsidP="007A77DE">
            <w:pPr>
              <w:pStyle w:val="Compact"/>
              <w:spacing w:line="480" w:lineRule="auto"/>
              <w:jc w:val="left"/>
            </w:pPr>
            <w:r>
              <w:t>CTGTGTTTGAAGAAATGAGGATGCG</w:t>
            </w:r>
          </w:p>
        </w:tc>
        <w:tc>
          <w:tcPr>
            <w:tcW w:w="4302" w:type="dxa"/>
          </w:tcPr>
          <w:p w14:paraId="557728FD" w14:textId="77777777" w:rsidR="003E6FA7" w:rsidRDefault="003E6FA7" w:rsidP="007A77DE">
            <w:pPr>
              <w:pStyle w:val="Compact"/>
              <w:spacing w:line="480" w:lineRule="auto"/>
              <w:jc w:val="left"/>
            </w:pPr>
            <w:r>
              <w:t>Genotyping PCR NoGPAT and AoGPAT mutants, 3’ reaction (rxn C)</w:t>
            </w:r>
          </w:p>
        </w:tc>
      </w:tr>
      <w:tr w:rsidR="003E6FA7" w14:paraId="7C7E93D6" w14:textId="77777777" w:rsidTr="007A77DE">
        <w:tc>
          <w:tcPr>
            <w:tcW w:w="1276" w:type="dxa"/>
          </w:tcPr>
          <w:p w14:paraId="7188CC13" w14:textId="77777777" w:rsidR="003E6FA7" w:rsidRDefault="003E6FA7" w:rsidP="007A77DE">
            <w:pPr>
              <w:pStyle w:val="Compact"/>
              <w:spacing w:line="480" w:lineRule="auto"/>
              <w:jc w:val="left"/>
            </w:pPr>
            <w:r>
              <w:t>oCSG024</w:t>
            </w:r>
          </w:p>
        </w:tc>
        <w:tc>
          <w:tcPr>
            <w:tcW w:w="3828" w:type="dxa"/>
          </w:tcPr>
          <w:p w14:paraId="2809DDE1" w14:textId="77777777" w:rsidR="003E6FA7" w:rsidRDefault="003E6FA7" w:rsidP="007A77DE">
            <w:pPr>
              <w:pStyle w:val="Compact"/>
              <w:spacing w:line="480" w:lineRule="auto"/>
              <w:jc w:val="left"/>
            </w:pPr>
            <w:r>
              <w:t>GACGAGTCTTCTAATCAAGGCA</w:t>
            </w:r>
          </w:p>
        </w:tc>
        <w:tc>
          <w:tcPr>
            <w:tcW w:w="4302" w:type="dxa"/>
          </w:tcPr>
          <w:p w14:paraId="1D91C6A6" w14:textId="77777777" w:rsidR="003E6FA7" w:rsidRDefault="003E6FA7" w:rsidP="007A77DE">
            <w:pPr>
              <w:pStyle w:val="Compact"/>
              <w:spacing w:line="480" w:lineRule="auto"/>
              <w:jc w:val="left"/>
            </w:pPr>
            <w:r>
              <w:t>Genotyping PCR, reaction for NoGPAT-M1, 5’ reaction (rxn B)</w:t>
            </w:r>
          </w:p>
        </w:tc>
      </w:tr>
    </w:tbl>
    <w:p w14:paraId="1EFA682A" w14:textId="77777777" w:rsidR="003E6FA7" w:rsidRDefault="003E6FA7" w:rsidP="003E6FA7">
      <w:pPr>
        <w:spacing w:line="480" w:lineRule="auto"/>
      </w:pPr>
    </w:p>
    <w:p w14:paraId="1BCEC569" w14:textId="77777777" w:rsidR="00D10C5B" w:rsidRDefault="00D10C5B"/>
    <w:sectPr w:rsidR="00D10C5B" w:rsidSect="00C46F0A">
      <w:pgSz w:w="12240" w:h="15840"/>
      <w:pgMar w:top="1417" w:right="1417" w:bottom="1417" w:left="1417" w:header="720" w:footer="720" w:gutter="0"/>
      <w:lnNumType w:countBy="1" w:restart="continuous"/>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FA7"/>
    <w:rsid w:val="003E6FA7"/>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B7B04"/>
  <w15:chartTrackingRefBased/>
  <w15:docId w15:val="{7BF99F47-8FA6-4BFD-B6CC-70F6C78BD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FA7"/>
    <w:pPr>
      <w:spacing w:after="200" w:line="240" w:lineRule="auto"/>
    </w:pPr>
    <w:rPr>
      <w:sz w:val="24"/>
      <w:szCs w:val="24"/>
    </w:rPr>
  </w:style>
  <w:style w:type="paragraph" w:styleId="Heading1">
    <w:name w:val="heading 1"/>
    <w:basedOn w:val="Normal"/>
    <w:next w:val="BodyText"/>
    <w:link w:val="Heading1Char"/>
    <w:uiPriority w:val="9"/>
    <w:qFormat/>
    <w:rsid w:val="003E6FA7"/>
    <w:pPr>
      <w:keepNext/>
      <w:keepLines/>
      <w:spacing w:before="480" w:after="0"/>
      <w:outlineLvl w:val="0"/>
    </w:pPr>
    <w:rPr>
      <w:rFonts w:ascii="Century Schoolbook" w:eastAsiaTheme="majorEastAsia" w:hAnsi="Century Schoolbook"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FA7"/>
    <w:rPr>
      <w:rFonts w:ascii="Century Schoolbook" w:eastAsiaTheme="majorEastAsia" w:hAnsi="Century Schoolbook" w:cstheme="majorBidi"/>
      <w:b/>
      <w:bCs/>
      <w:sz w:val="32"/>
      <w:szCs w:val="32"/>
    </w:rPr>
  </w:style>
  <w:style w:type="paragraph" w:customStyle="1" w:styleId="Compact">
    <w:name w:val="Compact"/>
    <w:basedOn w:val="BodyText"/>
    <w:qFormat/>
    <w:rsid w:val="003E6FA7"/>
    <w:pPr>
      <w:spacing w:before="36" w:after="36"/>
      <w:jc w:val="both"/>
    </w:pPr>
    <w:rPr>
      <w:rFonts w:ascii="Century Schoolbook" w:hAnsi="Century Schoolbook"/>
    </w:rPr>
  </w:style>
  <w:style w:type="table" w:customStyle="1" w:styleId="Table">
    <w:name w:val="Table"/>
    <w:semiHidden/>
    <w:unhideWhenUsed/>
    <w:qFormat/>
    <w:rsid w:val="003E6FA7"/>
    <w:pPr>
      <w:spacing w:after="200" w:line="240" w:lineRule="auto"/>
    </w:pPr>
    <w:rPr>
      <w:sz w:val="24"/>
      <w:szCs w:val="24"/>
    </w:rPr>
    <w:tblPr>
      <w:tblInd w:w="0" w:type="dxa"/>
      <w:tblCellMar>
        <w:top w:w="0" w:type="dxa"/>
        <w:left w:w="108" w:type="dxa"/>
        <w:bottom w:w="0" w:type="dxa"/>
        <w:right w:w="108" w:type="dxa"/>
      </w:tblCellMar>
    </w:tblPr>
  </w:style>
  <w:style w:type="paragraph" w:customStyle="1" w:styleId="TableCaption">
    <w:name w:val="Table Caption"/>
    <w:basedOn w:val="Caption"/>
    <w:rsid w:val="003E6FA7"/>
    <w:pPr>
      <w:keepNext/>
      <w:spacing w:after="120"/>
      <w:jc w:val="both"/>
    </w:pPr>
    <w:rPr>
      <w:rFonts w:ascii="Century Schoolbook" w:hAnsi="Century Schoolbook"/>
      <w:i w:val="0"/>
      <w:iCs w:val="0"/>
      <w:color w:val="auto"/>
      <w:sz w:val="20"/>
      <w:szCs w:val="24"/>
    </w:rPr>
  </w:style>
  <w:style w:type="paragraph" w:customStyle="1" w:styleId="ImageCaption">
    <w:name w:val="Image Caption"/>
    <w:basedOn w:val="Caption"/>
    <w:link w:val="ImageCaptionChar"/>
    <w:rsid w:val="003E6FA7"/>
    <w:pPr>
      <w:spacing w:after="120"/>
      <w:jc w:val="both"/>
    </w:pPr>
    <w:rPr>
      <w:rFonts w:ascii="Century Schoolbook" w:hAnsi="Century Schoolbook"/>
      <w:i w:val="0"/>
      <w:iCs w:val="0"/>
      <w:color w:val="auto"/>
      <w:sz w:val="20"/>
      <w:szCs w:val="24"/>
    </w:rPr>
  </w:style>
  <w:style w:type="paragraph" w:customStyle="1" w:styleId="CaptionedFigure">
    <w:name w:val="Captioned Figure"/>
    <w:basedOn w:val="Normal"/>
    <w:rsid w:val="003E6FA7"/>
    <w:pPr>
      <w:keepNext/>
    </w:pPr>
  </w:style>
  <w:style w:type="character" w:customStyle="1" w:styleId="ImageCaptionChar">
    <w:name w:val="Image Caption Char"/>
    <w:basedOn w:val="DefaultParagraphFont"/>
    <w:link w:val="ImageCaption"/>
    <w:rsid w:val="003E6FA7"/>
    <w:rPr>
      <w:rFonts w:ascii="Century Schoolbook" w:hAnsi="Century Schoolbook"/>
      <w:sz w:val="20"/>
      <w:szCs w:val="24"/>
    </w:rPr>
  </w:style>
  <w:style w:type="paragraph" w:styleId="NormalWeb">
    <w:name w:val="Normal (Web)"/>
    <w:basedOn w:val="Normal"/>
    <w:unhideWhenUsed/>
    <w:rsid w:val="003E6FA7"/>
    <w:pPr>
      <w:spacing w:after="40"/>
    </w:pPr>
    <w:rPr>
      <w:rFonts w:ascii="Times New Roman" w:hAnsi="Times New Roman" w:cs="Times New Roman"/>
      <w:sz w:val="16"/>
    </w:rPr>
  </w:style>
  <w:style w:type="paragraph" w:styleId="BodyText">
    <w:name w:val="Body Text"/>
    <w:basedOn w:val="Normal"/>
    <w:link w:val="BodyTextChar"/>
    <w:uiPriority w:val="99"/>
    <w:semiHidden/>
    <w:unhideWhenUsed/>
    <w:rsid w:val="003E6FA7"/>
    <w:pPr>
      <w:spacing w:after="120"/>
    </w:pPr>
  </w:style>
  <w:style w:type="character" w:customStyle="1" w:styleId="BodyTextChar">
    <w:name w:val="Body Text Char"/>
    <w:basedOn w:val="DefaultParagraphFont"/>
    <w:link w:val="BodyText"/>
    <w:uiPriority w:val="99"/>
    <w:semiHidden/>
    <w:rsid w:val="003E6FA7"/>
    <w:rPr>
      <w:sz w:val="24"/>
      <w:szCs w:val="24"/>
    </w:rPr>
  </w:style>
  <w:style w:type="paragraph" w:styleId="Caption">
    <w:name w:val="caption"/>
    <w:basedOn w:val="Normal"/>
    <w:next w:val="Normal"/>
    <w:uiPriority w:val="35"/>
    <w:semiHidden/>
    <w:unhideWhenUsed/>
    <w:qFormat/>
    <w:rsid w:val="003E6FA7"/>
    <w:rPr>
      <w:i/>
      <w:iCs/>
      <w:color w:val="44546A" w:themeColor="text2"/>
      <w:sz w:val="18"/>
      <w:szCs w:val="18"/>
    </w:rPr>
  </w:style>
  <w:style w:type="character" w:styleId="LineNumber">
    <w:name w:val="line number"/>
    <w:basedOn w:val="DefaultParagraphFont"/>
    <w:uiPriority w:val="99"/>
    <w:semiHidden/>
    <w:unhideWhenUsed/>
    <w:rsid w:val="003E6F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1006</Words>
  <Characters>5735</Characters>
  <Application>Microsoft Office Word</Application>
  <DocSecurity>0</DocSecurity>
  <Lines>47</Lines>
  <Paragraphs>13</Paragraphs>
  <ScaleCrop>false</ScaleCrop>
  <Company>Springer Nature</Company>
  <LinksUpToDate>false</LinksUpToDate>
  <CharactersWithSpaces>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2022-11-07T11:08:00Z</dcterms:created>
  <dcterms:modified xsi:type="dcterms:W3CDTF">2022-11-07T11:09:00Z</dcterms:modified>
</cp:coreProperties>
</file>