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505"/>
        <w:tblOverlap w:val="never"/>
        <w:tblW w:w="10881" w:type="dxa"/>
        <w:tblLook w:val="04A0"/>
      </w:tblPr>
      <w:tblGrid>
        <w:gridCol w:w="2518"/>
        <w:gridCol w:w="1843"/>
        <w:gridCol w:w="142"/>
        <w:gridCol w:w="1701"/>
        <w:gridCol w:w="1701"/>
        <w:gridCol w:w="141"/>
        <w:gridCol w:w="1560"/>
        <w:gridCol w:w="283"/>
        <w:gridCol w:w="992"/>
      </w:tblGrid>
      <w:tr w:rsidR="00742FFC" w:rsidRPr="001E646A" w:rsidTr="00155E39">
        <w:trPr>
          <w:trHeight w:val="525"/>
        </w:trPr>
        <w:tc>
          <w:tcPr>
            <w:tcW w:w="10881" w:type="dxa"/>
            <w:gridSpan w:val="9"/>
            <w:tcBorders>
              <w:bottom w:val="single" w:sz="4" w:space="0" w:color="auto"/>
            </w:tcBorders>
          </w:tcPr>
          <w:p w:rsidR="00742FFC" w:rsidRPr="001E646A" w:rsidRDefault="00A84F1B" w:rsidP="00155E39">
            <w:pPr>
              <w:rPr>
                <w:rFonts w:ascii="Times New Roman" w:hAnsi="Times New Roman"/>
                <w:sz w:val="24"/>
                <w:szCs w:val="24"/>
              </w:rPr>
            </w:pPr>
            <w:r w:rsidRPr="00A84F1B">
              <w:rPr>
                <w:rFonts w:ascii="Times New Roman" w:hAnsi="Times New Roman"/>
                <w:b/>
                <w:sz w:val="24"/>
                <w:szCs w:val="24"/>
              </w:rPr>
              <w:t>Supplemental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Table </w:t>
            </w:r>
            <w:r>
              <w:rPr>
                <w:rFonts w:ascii="Times New Roman" w:hAnsi="Times New Roman" w:hint="eastAsia"/>
                <w:b/>
                <w:sz w:val="24"/>
                <w:szCs w:val="24"/>
              </w:rPr>
              <w:t>2</w:t>
            </w:r>
            <w:r w:rsidR="00742FFC" w:rsidRPr="001E646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742FFC" w:rsidRPr="001E646A">
              <w:rPr>
                <w:rFonts w:ascii="Times New Roman" w:hAnsi="Times New Roman"/>
                <w:sz w:val="24"/>
                <w:szCs w:val="24"/>
              </w:rPr>
              <w:t xml:space="preserve">ORs and 95% Cls for quartiles of dietary nutrients </w:t>
            </w:r>
            <w:r w:rsidR="00742FFC" w:rsidRPr="001E646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intake </w:t>
            </w:r>
            <w:r w:rsidR="00742FFC" w:rsidRPr="001E646A">
              <w:rPr>
                <w:rFonts w:ascii="Times New Roman" w:hAnsi="Times New Roman"/>
                <w:sz w:val="24"/>
                <w:szCs w:val="24"/>
              </w:rPr>
              <w:t xml:space="preserve">with </w:t>
            </w:r>
            <w:r w:rsidR="00742FFC" w:rsidRPr="001E64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cervical intraepithelial neoplasia </w:t>
            </w:r>
            <w:r w:rsidR="00742FFC" w:rsidRPr="001E646A">
              <w:rPr>
                <w:rFonts w:ascii="Times New Roman" w:hAnsi="Times New Roman"/>
                <w:sz w:val="24"/>
                <w:szCs w:val="24"/>
              </w:rPr>
              <w:t>risk among 2,304 women</w:t>
            </w:r>
            <w:r w:rsidR="00742FFC" w:rsidRPr="001E646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in the study</w:t>
            </w:r>
            <w:r w:rsidR="00742FFC" w:rsidRPr="001E646A">
              <w:rPr>
                <w:rFonts w:ascii="Times New Roman" w:hAnsi="Times New Roman"/>
                <w:sz w:val="24"/>
                <w:szCs w:val="24"/>
                <w:shd w:val="clear" w:color="auto" w:fill="FFFFFF"/>
                <w:vertAlign w:val="superscript"/>
              </w:rPr>
              <w:t>a</w:t>
            </w:r>
          </w:p>
        </w:tc>
      </w:tr>
      <w:tr w:rsidR="00742FFC" w:rsidRPr="001E646A" w:rsidTr="00155E39">
        <w:trPr>
          <w:trHeight w:val="406"/>
        </w:trPr>
        <w:tc>
          <w:tcPr>
            <w:tcW w:w="10881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E646A">
              <w:rPr>
                <w:rFonts w:ascii="Times New Roman" w:hAnsi="Times New Roman"/>
                <w:sz w:val="24"/>
                <w:szCs w:val="24"/>
              </w:rPr>
              <w:t xml:space="preserve">                  </w:t>
            </w: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>Quartiles of dietary nutrients</w:t>
            </w:r>
            <w:r w:rsidRPr="001E646A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1E646A">
              <w:rPr>
                <w:rFonts w:ascii="Times New Roman" w:eastAsia="Arial Unicode MS" w:hAnsi="Times New Roman"/>
                <w:b/>
                <w:kern w:val="0"/>
                <w:sz w:val="24"/>
                <w:szCs w:val="24"/>
              </w:rPr>
              <w:t xml:space="preserve"> </w:t>
            </w:r>
          </w:p>
        </w:tc>
      </w:tr>
      <w:tr w:rsidR="00742FFC" w:rsidRPr="001E646A" w:rsidTr="00155E39">
        <w:trPr>
          <w:gridBefore w:val="1"/>
          <w:wBefore w:w="2518" w:type="dxa"/>
          <w:trHeight w:val="255"/>
        </w:trPr>
        <w:tc>
          <w:tcPr>
            <w:tcW w:w="1985" w:type="dxa"/>
            <w:gridSpan w:val="2"/>
          </w:tcPr>
          <w:p w:rsidR="00742FFC" w:rsidRPr="001E646A" w:rsidRDefault="00742FFC" w:rsidP="00155E39">
            <w:pPr>
              <w:ind w:firstLineChars="300" w:firstLine="723"/>
              <w:rPr>
                <w:rFonts w:ascii="Times New Roman" w:hAnsi="Times New Roman"/>
                <w:b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>Q1</w:t>
            </w:r>
          </w:p>
        </w:tc>
        <w:tc>
          <w:tcPr>
            <w:tcW w:w="1701" w:type="dxa"/>
          </w:tcPr>
          <w:p w:rsidR="00742FFC" w:rsidRPr="001E646A" w:rsidRDefault="00742FFC" w:rsidP="00155E39">
            <w:pPr>
              <w:ind w:firstLineChars="250" w:firstLine="602"/>
              <w:rPr>
                <w:rFonts w:ascii="Times New Roman" w:hAnsi="Times New Roman"/>
                <w:b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>Q2</w:t>
            </w:r>
          </w:p>
        </w:tc>
        <w:tc>
          <w:tcPr>
            <w:tcW w:w="1701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 xml:space="preserve"> Q3</w:t>
            </w:r>
          </w:p>
        </w:tc>
        <w:tc>
          <w:tcPr>
            <w:tcW w:w="1701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 xml:space="preserve">   Q4</w:t>
            </w:r>
          </w:p>
        </w:tc>
        <w:tc>
          <w:tcPr>
            <w:tcW w:w="1275" w:type="dxa"/>
            <w:gridSpan w:val="2"/>
          </w:tcPr>
          <w:p w:rsidR="00742FFC" w:rsidRPr="001E646A" w:rsidRDefault="00742FFC" w:rsidP="00155E39">
            <w:pPr>
              <w:ind w:firstLineChars="50" w:firstLine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i/>
                <w:sz w:val="24"/>
                <w:szCs w:val="24"/>
              </w:rPr>
              <w:t>P</w:t>
            </w: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>-trend</w:t>
            </w:r>
            <w:r w:rsidRPr="001E646A">
              <w:rPr>
                <w:rFonts w:ascii="Times New Roman" w:hAnsi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Folate</w:t>
            </w:r>
          </w:p>
        </w:tc>
        <w:tc>
          <w:tcPr>
            <w:tcW w:w="8363" w:type="dxa"/>
            <w:gridSpan w:val="8"/>
          </w:tcPr>
          <w:p w:rsidR="00742FFC" w:rsidRPr="001E646A" w:rsidRDefault="00742FFC" w:rsidP="00155E3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μg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/day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297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381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488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764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132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147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139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146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1.04 (0.82-1.32)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1.02 (0.80-1.29)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0.90 (0.70-1.15)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>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0.65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1.10 (0.86-1.40)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1.05 (0.82-1.34)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0.91 (0.71-1.17)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0.51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1.09 (0.75-1.40)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1.07 (0.83-1.36)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0.92 (0.72-1.18)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0.53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 B</w:t>
            </w:r>
            <w:r w:rsidRPr="001E646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363" w:type="dxa"/>
            <w:gridSpan w:val="8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1.4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1.9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hAnsi="Times New Roman"/>
                <w:color w:val="000000"/>
                <w:sz w:val="22"/>
              </w:rPr>
              <w:t>2.7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134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157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132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hAnsi="Times New Roman"/>
                <w:color w:val="000000"/>
                <w:sz w:val="22"/>
              </w:rPr>
              <w:t>141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1.01 (0.78-1.30)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1.13 (0.90-1.42)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0.82 (0.64-1.06)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1.07 (0.83-1.38)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1.15 (0.91-1.45)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0.80 (0.62-1.04)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0.04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1.10 (0.85-1.43)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1.16 (0.92-1.47)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0.83 (0.64-1.08)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0.05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1E646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B2</w:t>
            </w:r>
          </w:p>
        </w:tc>
        <w:tc>
          <w:tcPr>
            <w:tcW w:w="8363" w:type="dxa"/>
            <w:gridSpan w:val="8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1.4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1.8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hAnsi="Times New Roman"/>
                <w:color w:val="000000"/>
                <w:sz w:val="22"/>
              </w:rPr>
              <w:t>2.7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123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148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157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hAnsi="Times New Roman"/>
                <w:color w:val="000000"/>
                <w:sz w:val="22"/>
              </w:rPr>
              <w:t>136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0.88 (0.69-1.12)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1.11 (0.87-1.41)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1.00 (0.79-1.28)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0.32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0.93 (0.72-1.19)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1.15 (0.90-1.47)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1.03 (0.81-1.32)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0.39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0.94 (0.73-1.20)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1.14 (0.89-1.47)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1.05 (0.82-1.35)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0.45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 B6</w:t>
            </w:r>
          </w:p>
        </w:tc>
        <w:tc>
          <w:tcPr>
            <w:tcW w:w="8363" w:type="dxa"/>
            <w:gridSpan w:val="8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1.7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2.1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2.6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3.9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144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146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131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143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1.11 (0.87-1.41)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1.03 (0.81-1.31)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0.88 (0.69-1.13)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0.34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1.17 (0.91-1.49)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1.04 (0.82-1.33)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0.89 (0.69-1.14)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0.20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1.20 (0.93-1.54)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1.07 (0.83-1.37)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0.91 (0.71-1.18)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0.19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1E646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C</w:t>
            </w:r>
          </w:p>
        </w:tc>
        <w:tc>
          <w:tcPr>
            <w:tcW w:w="8363" w:type="dxa"/>
            <w:gridSpan w:val="8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46.0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62.8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86.9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138.9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124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149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145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146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1.00 (0.79-1.28)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1.08 (0.84-1.37)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1.05 (0.82-1.34)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0.92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1.04 (0.81-1.34)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1.10 (0.86-1.41)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1.08 (0.84-1.38)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0.89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1.03 (0.80-1.32)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1.11 (0.86-1.42)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1.07 (0.84-1.38)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0.86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1E646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E</w:t>
            </w:r>
          </w:p>
        </w:tc>
        <w:tc>
          <w:tcPr>
            <w:tcW w:w="8363" w:type="dxa"/>
            <w:gridSpan w:val="8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4.4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8.8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10.8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21.7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131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135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151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147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0.81 (0.63-1.03)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0.91 (0.72-1.16)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1.07 (0.84-1.36)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0.13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0.85 (0.66-1.09)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0.95 (0.74-1.21)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1.08 (0.85-1.38)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0.29</w:t>
            </w:r>
          </w:p>
        </w:tc>
      </w:tr>
      <w:tr w:rsidR="00742FFC" w:rsidRPr="001E646A" w:rsidTr="00155E39">
        <w:tc>
          <w:tcPr>
            <w:tcW w:w="2518" w:type="dxa"/>
            <w:tcBorders>
              <w:bottom w:val="single" w:sz="4" w:space="0" w:color="auto"/>
            </w:tcBorders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0.86 (0.67-1.10)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0.97 (0.76-1.24)</w:t>
            </w:r>
          </w:p>
        </w:tc>
        <w:tc>
          <w:tcPr>
            <w:tcW w:w="1842" w:type="dxa"/>
            <w:gridSpan w:val="2"/>
            <w:tcBorders>
              <w:bottom w:val="single" w:sz="4" w:space="0" w:color="auto"/>
            </w:tcBorders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1.08 (0.84-1.38)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0.35</w:t>
            </w:r>
          </w:p>
        </w:tc>
      </w:tr>
    </w:tbl>
    <w:p w:rsidR="00742FFC" w:rsidRPr="001E646A" w:rsidRDefault="00742FFC" w:rsidP="00742FFC">
      <w:pPr>
        <w:autoSpaceDE w:val="0"/>
        <w:autoSpaceDN w:val="0"/>
        <w:adjustRightInd w:val="0"/>
        <w:ind w:firstLineChars="2950" w:firstLine="7080"/>
        <w:jc w:val="left"/>
        <w:rPr>
          <w:rFonts w:ascii="Times New Roman" w:eastAsia="Arial Unicode MS" w:hAnsi="Times New Roman"/>
          <w:color w:val="000000"/>
          <w:kern w:val="0"/>
          <w:sz w:val="24"/>
          <w:szCs w:val="24"/>
          <w:vertAlign w:val="superscript"/>
        </w:rPr>
      </w:pPr>
      <w:r w:rsidRPr="001E646A">
        <w:rPr>
          <w:rFonts w:ascii="Times New Roman" w:hAnsi="Times New Roman"/>
          <w:sz w:val="24"/>
          <w:szCs w:val="24"/>
        </w:rPr>
        <w:t>(</w:t>
      </w:r>
      <w:r w:rsidRPr="001E646A">
        <w:rPr>
          <w:rFonts w:ascii="Times New Roman" w:eastAsia="UniversLTStd-LightCn" w:hAnsi="Times New Roman"/>
          <w:i/>
          <w:iCs/>
          <w:kern w:val="0"/>
          <w:sz w:val="24"/>
          <w:szCs w:val="24"/>
        </w:rPr>
        <w:t>Continued</w:t>
      </w:r>
      <w:r w:rsidRPr="001E646A">
        <w:rPr>
          <w:rFonts w:ascii="Times New Roman" w:hAnsi="Times New Roman"/>
          <w:sz w:val="24"/>
          <w:szCs w:val="24"/>
        </w:rPr>
        <w:t>)</w:t>
      </w:r>
    </w:p>
    <w:p w:rsidR="00742FFC" w:rsidRPr="001E646A" w:rsidRDefault="00742FFC" w:rsidP="00742FFC">
      <w:pPr>
        <w:snapToGrid w:val="0"/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742FFC" w:rsidRPr="001E646A" w:rsidRDefault="00742FFC" w:rsidP="00742FFC">
      <w:pPr>
        <w:snapToGrid w:val="0"/>
        <w:spacing w:line="480" w:lineRule="auto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page" w:horzAnchor="margin" w:tblpXSpec="center" w:tblpY="1936"/>
        <w:tblOverlap w:val="never"/>
        <w:tblW w:w="10881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2518"/>
        <w:gridCol w:w="1843"/>
        <w:gridCol w:w="1843"/>
        <w:gridCol w:w="1842"/>
        <w:gridCol w:w="1843"/>
        <w:gridCol w:w="992"/>
      </w:tblGrid>
      <w:tr w:rsidR="00742FFC" w:rsidRPr="001E646A" w:rsidTr="001E646A">
        <w:trPr>
          <w:trHeight w:val="289"/>
        </w:trPr>
        <w:tc>
          <w:tcPr>
            <w:tcW w:w="10881" w:type="dxa"/>
            <w:gridSpan w:val="6"/>
            <w:tcBorders>
              <w:bottom w:val="single" w:sz="4" w:space="0" w:color="auto"/>
            </w:tcBorders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 xml:space="preserve">                  </w:t>
            </w: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 xml:space="preserve">    Quartiles of dietary nutrients</w:t>
            </w:r>
            <w:r w:rsidRPr="001E646A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1E646A">
              <w:rPr>
                <w:rFonts w:ascii="Times New Roman" w:eastAsia="Arial Unicode MS" w:hAnsi="Times New Roman"/>
                <w:b/>
                <w:kern w:val="0"/>
                <w:sz w:val="24"/>
                <w:szCs w:val="24"/>
              </w:rPr>
              <w:t xml:space="preserve"> </w:t>
            </w:r>
          </w:p>
        </w:tc>
      </w:tr>
      <w:tr w:rsidR="00742FFC" w:rsidRPr="001E646A" w:rsidTr="001E646A">
        <w:tc>
          <w:tcPr>
            <w:tcW w:w="2518" w:type="dxa"/>
            <w:tcBorders>
              <w:top w:val="single" w:sz="4" w:space="0" w:color="auto"/>
            </w:tcBorders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b/>
                <w:bCs/>
                <w:color w:val="231F20"/>
                <w:sz w:val="20"/>
                <w:szCs w:val="20"/>
              </w:rPr>
            </w:pPr>
            <w:r w:rsidRPr="001E646A">
              <w:rPr>
                <w:rFonts w:ascii="Times New Roman" w:hAnsi="Times New Roman"/>
                <w:b/>
                <w:bCs/>
                <w:color w:val="231F20"/>
                <w:sz w:val="20"/>
                <w:szCs w:val="20"/>
              </w:rPr>
              <w:t xml:space="preserve">                     </w:t>
            </w:r>
          </w:p>
        </w:tc>
        <w:tc>
          <w:tcPr>
            <w:tcW w:w="8363" w:type="dxa"/>
            <w:gridSpan w:val="5"/>
            <w:tcBorders>
              <w:top w:val="single" w:sz="4" w:space="0" w:color="auto"/>
            </w:tcBorders>
          </w:tcPr>
          <w:p w:rsidR="00742FFC" w:rsidRPr="001E646A" w:rsidRDefault="00742FFC" w:rsidP="001E646A">
            <w:pPr>
              <w:tabs>
                <w:tab w:val="left" w:pos="2542"/>
                <w:tab w:val="center" w:pos="4423"/>
                <w:tab w:val="left" w:pos="6261"/>
                <w:tab w:val="left" w:pos="7040"/>
              </w:tabs>
              <w:ind w:firstLineChars="250" w:firstLine="602"/>
              <w:rPr>
                <w:rFonts w:ascii="Times New Roman" w:hAnsi="Times New Roman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>Q1             Q2</w:t>
            </w: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ab/>
              <w:t xml:space="preserve">              Q3            Q4</w:t>
            </w:r>
            <w:r w:rsidRPr="001E646A">
              <w:rPr>
                <w:rFonts w:ascii="Times New Roman" w:hAnsi="Times New Roman"/>
                <w:sz w:val="24"/>
                <w:szCs w:val="24"/>
              </w:rPr>
              <w:tab/>
            </w:r>
            <w:r w:rsidRPr="001E646A">
              <w:rPr>
                <w:rFonts w:ascii="Times New Roman" w:hAnsi="Times New Roman"/>
                <w:i/>
                <w:sz w:val="24"/>
                <w:szCs w:val="24"/>
              </w:rPr>
              <w:t xml:space="preserve">  </w:t>
            </w:r>
            <w:r w:rsidRPr="001E646A">
              <w:rPr>
                <w:rFonts w:ascii="Times New Roman" w:hAnsi="Times New Roman"/>
                <w:b/>
                <w:i/>
                <w:sz w:val="24"/>
                <w:szCs w:val="24"/>
              </w:rPr>
              <w:t>P</w:t>
            </w: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>-trend</w:t>
            </w:r>
            <w:r w:rsidRPr="001E646A">
              <w:rPr>
                <w:rFonts w:ascii="Times New Roman" w:hAnsi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1E646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K</w:t>
            </w:r>
          </w:p>
        </w:tc>
        <w:tc>
          <w:tcPr>
            <w:tcW w:w="8363" w:type="dxa"/>
            <w:gridSpan w:val="5"/>
          </w:tcPr>
          <w:p w:rsidR="00742FFC" w:rsidRPr="001E646A" w:rsidRDefault="00742FFC" w:rsidP="001E646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intake,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μg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133.0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194.0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285.0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hAnsi="Times New Roman"/>
                <w:color w:val="000000"/>
                <w:sz w:val="22"/>
              </w:rPr>
              <w:t>534.0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125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159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139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hAnsi="Times New Roman"/>
                <w:color w:val="000000"/>
                <w:sz w:val="22"/>
              </w:rPr>
              <w:t>141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0.94 (0.73-1.20)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1.30 (1.02-1.66)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0.97 (0.76-1.25)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0.03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0.99 (0.77-1.27)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1.32 (1.04-1.69)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1.00 (0.78-1.28)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0.04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1.00 (0.78-1.29)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1.34 (1.05-1.71)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1.04 (0.81-1.34)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0.05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Niacin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intake,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17.7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21.6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27.9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42.8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147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140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135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hAnsi="Times New Roman"/>
                <w:color w:val="000000"/>
                <w:sz w:val="22"/>
              </w:rPr>
              <w:t>142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1.15 (0.90-1.46)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1.04 (0.81-1.32)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0.95 (0.74-1.21)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0.47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1.14 (0.86-1.51)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0.97 (0.74-1.28)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0.93 (0.71-1.23)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0.22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1.24 (0.97-1.59)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1.08 (0.84-1.39)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0.96 (0.75-1.24)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0.20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Dietary fiber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intake,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27.4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34.5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43.7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63.2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138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148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136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142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1.06 (0.83-1.35)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1.10 (0.87-1.40)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0.90 (0.70-1.15)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0.37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1.12 (0.88-1.44)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1.13 (0.88-1.44)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0.89 (0.69-1.14)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0.18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1.15 (0.90-1.48)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1.13 (0.88-1.45)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0.92 (0.72-1.19)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0.26</w:t>
            </w:r>
          </w:p>
        </w:tc>
      </w:tr>
    </w:tbl>
    <w:p w:rsidR="001E646A" w:rsidRPr="001E646A" w:rsidRDefault="00A84F1B" w:rsidP="00742FFC">
      <w:pPr>
        <w:autoSpaceDE w:val="0"/>
        <w:autoSpaceDN w:val="0"/>
        <w:adjustRightInd w:val="0"/>
        <w:ind w:leftChars="-607" w:left="-1275" w:rightChars="-567" w:right="-1191"/>
        <w:jc w:val="left"/>
        <w:rPr>
          <w:rFonts w:ascii="Times New Roman" w:eastAsia="Arial Unicode MS" w:hAnsi="Times New Roman"/>
          <w:color w:val="000000"/>
          <w:kern w:val="0"/>
          <w:sz w:val="20"/>
          <w:szCs w:val="20"/>
          <w:vertAlign w:val="superscript"/>
        </w:rPr>
      </w:pPr>
      <w:r w:rsidRPr="00A84F1B">
        <w:rPr>
          <w:rFonts w:ascii="Times New Roman" w:hAnsi="Times New Roman"/>
          <w:b/>
          <w:sz w:val="24"/>
          <w:szCs w:val="24"/>
        </w:rPr>
        <w:t>Supplemental</w:t>
      </w:r>
      <w:r>
        <w:rPr>
          <w:rFonts w:ascii="Times New Roman" w:hAnsi="Times New Roman"/>
          <w:b/>
          <w:sz w:val="24"/>
          <w:szCs w:val="24"/>
        </w:rPr>
        <w:t xml:space="preserve"> Table </w:t>
      </w:r>
      <w:r>
        <w:rPr>
          <w:rFonts w:ascii="Times New Roman" w:hAnsi="Times New Roman" w:hint="eastAsia"/>
          <w:b/>
          <w:sz w:val="24"/>
          <w:szCs w:val="24"/>
        </w:rPr>
        <w:t>2</w:t>
      </w:r>
      <w:r w:rsidRPr="001E646A">
        <w:rPr>
          <w:rFonts w:ascii="Times New Roman" w:hAnsi="Times New Roman"/>
          <w:b/>
          <w:sz w:val="24"/>
          <w:szCs w:val="24"/>
        </w:rPr>
        <w:t xml:space="preserve"> </w:t>
      </w:r>
      <w:r w:rsidR="001E646A" w:rsidRPr="001E646A">
        <w:rPr>
          <w:rFonts w:ascii="Times New Roman" w:eastAsia="UniversLTStd-LightCn" w:hAnsi="Times New Roman"/>
          <w:i/>
          <w:iCs/>
          <w:kern w:val="0"/>
          <w:sz w:val="24"/>
          <w:szCs w:val="24"/>
        </w:rPr>
        <w:t>Continued</w:t>
      </w:r>
    </w:p>
    <w:p w:rsidR="00742FFC" w:rsidRPr="001E646A" w:rsidRDefault="00742FFC" w:rsidP="00742FFC">
      <w:pPr>
        <w:autoSpaceDE w:val="0"/>
        <w:autoSpaceDN w:val="0"/>
        <w:adjustRightInd w:val="0"/>
        <w:ind w:leftChars="-607" w:left="-1275" w:rightChars="-567" w:right="-1191"/>
        <w:jc w:val="left"/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</w:pPr>
      <w:r w:rsidRPr="001E646A">
        <w:rPr>
          <w:rFonts w:ascii="Times New Roman" w:eastAsia="Arial Unicode MS" w:hAnsi="Times New Roman"/>
          <w:color w:val="000000"/>
          <w:kern w:val="0"/>
          <w:sz w:val="20"/>
          <w:szCs w:val="20"/>
          <w:vertAlign w:val="superscript"/>
        </w:rPr>
        <w:t>a</w:t>
      </w:r>
      <w:r w:rsidRPr="001E646A">
        <w:rPr>
          <w:rFonts w:ascii="Times New Roman" w:eastAsia="Arial Unicode MS" w:hAnsi="Times New Roman"/>
          <w:color w:val="000000"/>
          <w:kern w:val="0"/>
          <w:sz w:val="20"/>
          <w:szCs w:val="20"/>
        </w:rPr>
        <w:t xml:space="preserve">Values are n or ORs (95% CIs) </w:t>
      </w:r>
      <w:r w:rsidRPr="001E646A"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  <w:t>obtained from logistic regression analysis, based on the highest intake group as the reference, unless otherwise indicated.</w:t>
      </w:r>
    </w:p>
    <w:p w:rsidR="00742FFC" w:rsidRPr="001E646A" w:rsidRDefault="00742FFC" w:rsidP="00742FFC">
      <w:pPr>
        <w:ind w:leftChars="-607" w:left="-1275" w:rightChars="-567" w:right="-1191"/>
        <w:jc w:val="left"/>
        <w:rPr>
          <w:rFonts w:ascii="Times New Roman" w:hAnsi="Times New Roman"/>
          <w:color w:val="000000"/>
          <w:sz w:val="20"/>
          <w:szCs w:val="20"/>
          <w:vertAlign w:val="superscript"/>
        </w:rPr>
      </w:pPr>
      <w:r w:rsidRPr="001E646A">
        <w:rPr>
          <w:rFonts w:ascii="Times New Roman" w:hAnsi="Times New Roman"/>
          <w:color w:val="231F20"/>
          <w:kern w:val="0"/>
          <w:sz w:val="20"/>
          <w:szCs w:val="20"/>
        </w:rPr>
        <w:t>Abbreviations: CIN=</w:t>
      </w:r>
      <w:r w:rsidRPr="001E646A">
        <w:rPr>
          <w:rFonts w:ascii="Times New Roman" w:hAnsi="Times New Roman"/>
          <w:kern w:val="0"/>
          <w:sz w:val="20"/>
          <w:szCs w:val="20"/>
        </w:rPr>
        <w:t xml:space="preserve"> cervical intraepithelial neoplasia, </w:t>
      </w:r>
      <w:r w:rsidRPr="001E646A">
        <w:rPr>
          <w:rFonts w:ascii="Times New Roman" w:eastAsia="Times New Roman" w:hAnsi="Times New Roman"/>
          <w:color w:val="000000"/>
          <w:sz w:val="20"/>
          <w:szCs w:val="20"/>
        </w:rPr>
        <w:t>CI</w:t>
      </w:r>
      <w:r w:rsidRPr="001E646A">
        <w:rPr>
          <w:rFonts w:ascii="Times New Roman" w:hAnsi="Times New Roman"/>
          <w:color w:val="000000"/>
          <w:sz w:val="20"/>
          <w:szCs w:val="20"/>
        </w:rPr>
        <w:t>=</w:t>
      </w:r>
      <w:r w:rsidRPr="001E646A">
        <w:rPr>
          <w:rFonts w:ascii="Times New Roman" w:eastAsia="Times New Roman" w:hAnsi="Times New Roman"/>
          <w:color w:val="000000"/>
          <w:sz w:val="20"/>
          <w:szCs w:val="20"/>
        </w:rPr>
        <w:t xml:space="preserve"> confidence interval.</w:t>
      </w:r>
    </w:p>
    <w:p w:rsidR="00742FFC" w:rsidRPr="001E646A" w:rsidRDefault="00742FFC" w:rsidP="00742FFC">
      <w:pPr>
        <w:ind w:leftChars="-607" w:left="-1275" w:rightChars="-567" w:right="-1191"/>
        <w:jc w:val="left"/>
        <w:rPr>
          <w:rFonts w:ascii="Times New Roman" w:hAnsi="Times New Roman"/>
          <w:color w:val="000000"/>
          <w:sz w:val="20"/>
          <w:szCs w:val="20"/>
          <w:vertAlign w:val="superscript"/>
        </w:rPr>
      </w:pPr>
      <w:r w:rsidRPr="001E646A">
        <w:rPr>
          <w:rFonts w:ascii="Times New Roman" w:hAnsi="Times New Roman"/>
          <w:sz w:val="20"/>
          <w:szCs w:val="20"/>
          <w:vertAlign w:val="superscript"/>
        </w:rPr>
        <w:t>b</w:t>
      </w:r>
      <w:r w:rsidRPr="001E646A">
        <w:rPr>
          <w:rFonts w:ascii="Times New Roman" w:hAnsi="Times New Roman"/>
          <w:sz w:val="20"/>
          <w:szCs w:val="20"/>
        </w:rPr>
        <w:t xml:space="preserve">Model 1: </w:t>
      </w:r>
      <w:r w:rsidRPr="001E646A">
        <w:rPr>
          <w:rFonts w:ascii="Times New Roman" w:eastAsia="Times New Roman" w:hAnsi="Times New Roman"/>
          <w:color w:val="000000"/>
          <w:sz w:val="20"/>
          <w:szCs w:val="20"/>
        </w:rPr>
        <w:t>odds ratios</w:t>
      </w:r>
      <w:r w:rsidRPr="001E646A">
        <w:rPr>
          <w:rFonts w:ascii="Times New Roman" w:hAnsi="Times New Roman"/>
          <w:sz w:val="20"/>
          <w:szCs w:val="20"/>
        </w:rPr>
        <w:t xml:space="preserve"> unadjusted;</w:t>
      </w:r>
      <w:r w:rsidRPr="001E646A">
        <w:rPr>
          <w:rFonts w:ascii="Times New Roman" w:eastAsia="Times New Roman" w:hAnsi="Times New Roman"/>
          <w:color w:val="000000"/>
          <w:sz w:val="20"/>
          <w:szCs w:val="20"/>
          <w:vertAlign w:val="superscript"/>
        </w:rPr>
        <w:t xml:space="preserve"> </w:t>
      </w:r>
      <w:r w:rsidRPr="001E646A">
        <w:rPr>
          <w:rFonts w:ascii="Times New Roman" w:hAnsi="Times New Roman"/>
          <w:color w:val="000000"/>
          <w:sz w:val="20"/>
          <w:szCs w:val="20"/>
          <w:vertAlign w:val="superscript"/>
        </w:rPr>
        <w:t xml:space="preserve"> </w:t>
      </w:r>
    </w:p>
    <w:p w:rsidR="00742FFC" w:rsidRPr="001E646A" w:rsidRDefault="00742FFC" w:rsidP="00742FFC">
      <w:pPr>
        <w:ind w:leftChars="-607" w:left="-1275" w:rightChars="-567" w:right="-1191"/>
        <w:jc w:val="left"/>
        <w:rPr>
          <w:rFonts w:ascii="Times New Roman" w:hAnsi="Times New Roman"/>
          <w:sz w:val="20"/>
          <w:szCs w:val="20"/>
        </w:rPr>
      </w:pPr>
      <w:r w:rsidRPr="001E646A">
        <w:rPr>
          <w:rFonts w:ascii="Times New Roman" w:hAnsi="Times New Roman"/>
          <w:sz w:val="20"/>
          <w:szCs w:val="20"/>
        </w:rPr>
        <w:t xml:space="preserve">Model 2: </w:t>
      </w:r>
      <w:r w:rsidRPr="001E646A">
        <w:rPr>
          <w:rFonts w:ascii="Times New Roman" w:eastAsia="Times New Roman" w:hAnsi="Times New Roman"/>
          <w:color w:val="000000"/>
          <w:sz w:val="20"/>
          <w:szCs w:val="20"/>
        </w:rPr>
        <w:t>odds ratios</w:t>
      </w:r>
      <w:r w:rsidRPr="001E646A">
        <w:rPr>
          <w:rFonts w:ascii="Times New Roman" w:hAnsi="Times New Roman"/>
          <w:sz w:val="20"/>
          <w:szCs w:val="20"/>
        </w:rPr>
        <w:t xml:space="preserve"> adjusted for </w:t>
      </w:r>
      <w:r w:rsidRPr="001E646A">
        <w:rPr>
          <w:rFonts w:ascii="Times New Roman" w:hAnsi="Times New Roman"/>
          <w:color w:val="231F20"/>
          <w:kern w:val="0"/>
          <w:sz w:val="20"/>
          <w:szCs w:val="20"/>
        </w:rPr>
        <w:t>age,</w:t>
      </w:r>
      <w:r w:rsidRPr="001E646A">
        <w:rPr>
          <w:rFonts w:ascii="Times New Roman" w:hAnsi="Times New Roman"/>
          <w:sz w:val="20"/>
          <w:szCs w:val="20"/>
        </w:rPr>
        <w:t xml:space="preserve"> education years, </w:t>
      </w:r>
      <w:r w:rsidRPr="001E646A">
        <w:rPr>
          <w:rFonts w:ascii="Times New Roman" w:hAnsi="Times New Roman"/>
          <w:color w:val="000000"/>
          <w:sz w:val="20"/>
          <w:szCs w:val="20"/>
        </w:rPr>
        <w:t>annual family salary</w:t>
      </w:r>
      <w:r w:rsidRPr="001E646A">
        <w:rPr>
          <w:rFonts w:ascii="Times New Roman" w:hAnsi="Times New Roman"/>
          <w:sz w:val="20"/>
          <w:szCs w:val="20"/>
        </w:rPr>
        <w:t xml:space="preserve">, smoker, </w:t>
      </w:r>
      <w:r w:rsidRPr="001E646A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age at menarche, menopause status</w:t>
      </w:r>
      <w:r w:rsidRPr="001E646A">
        <w:rPr>
          <w:rFonts w:ascii="Times New Roman" w:hAnsi="Times New Roman"/>
          <w:sz w:val="20"/>
          <w:szCs w:val="20"/>
        </w:rPr>
        <w:t xml:space="preserve">, </w:t>
      </w:r>
      <w:r w:rsidRPr="001E646A">
        <w:rPr>
          <w:rFonts w:ascii="Times New Roman" w:hAnsi="Times New Roman"/>
          <w:kern w:val="0"/>
          <w:sz w:val="20"/>
          <w:szCs w:val="20"/>
          <w:shd w:val="clear" w:color="auto" w:fill="FFFFFF"/>
        </w:rPr>
        <w:t xml:space="preserve">IUD use, </w:t>
      </w:r>
      <w:r w:rsidRPr="001E646A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 xml:space="preserve">years of IUD use, </w:t>
      </w:r>
      <w:r w:rsidRPr="001E646A">
        <w:rPr>
          <w:rFonts w:ascii="Times New Roman" w:hAnsi="Times New Roman"/>
          <w:color w:val="000000"/>
          <w:kern w:val="0"/>
          <w:sz w:val="20"/>
          <w:szCs w:val="20"/>
        </w:rPr>
        <w:t xml:space="preserve">Sexual behavior in </w:t>
      </w:r>
      <w:r w:rsidRPr="001E646A">
        <w:rPr>
          <w:rFonts w:ascii="Times New Roman" w:hAnsi="Times New Roman"/>
          <w:sz w:val="20"/>
          <w:szCs w:val="20"/>
        </w:rPr>
        <w:t>menstrual period</w:t>
      </w:r>
      <w:r w:rsidRPr="001E646A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, had gynecologic surgery,</w:t>
      </w:r>
      <w:r w:rsidRPr="001E646A">
        <w:rPr>
          <w:rFonts w:ascii="Times New Roman" w:hAnsi="Times New Roman"/>
          <w:sz w:val="20"/>
          <w:szCs w:val="20"/>
        </w:rPr>
        <w:t xml:space="preserve"> had </w:t>
      </w:r>
      <w:r w:rsidRPr="001E646A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vaginitis;</w:t>
      </w:r>
    </w:p>
    <w:p w:rsidR="00742FFC" w:rsidRPr="001E646A" w:rsidRDefault="00742FFC" w:rsidP="00742FFC">
      <w:pPr>
        <w:ind w:leftChars="-607" w:left="-1275" w:rightChars="-567" w:right="-1191"/>
        <w:jc w:val="left"/>
        <w:rPr>
          <w:rFonts w:ascii="Times New Roman" w:hAnsi="Times New Roman"/>
          <w:sz w:val="20"/>
          <w:szCs w:val="20"/>
        </w:rPr>
      </w:pPr>
      <w:r w:rsidRPr="001E646A">
        <w:rPr>
          <w:rFonts w:ascii="Times New Roman" w:hAnsi="Times New Roman"/>
          <w:sz w:val="20"/>
          <w:szCs w:val="20"/>
        </w:rPr>
        <w:t xml:space="preserve">Model 3: additionally </w:t>
      </w:r>
      <w:r w:rsidRPr="001E646A">
        <w:rPr>
          <w:rFonts w:ascii="Times New Roman" w:eastAsia="Times New Roman" w:hAnsi="Times New Roman"/>
          <w:color w:val="000000"/>
          <w:sz w:val="20"/>
          <w:szCs w:val="20"/>
        </w:rPr>
        <w:t>odds ratios</w:t>
      </w:r>
      <w:r w:rsidRPr="001E646A">
        <w:rPr>
          <w:rFonts w:ascii="Times New Roman" w:hAnsi="Times New Roman"/>
          <w:sz w:val="20"/>
          <w:szCs w:val="20"/>
        </w:rPr>
        <w:t xml:space="preserve"> adjusted for </w:t>
      </w:r>
      <w:r w:rsidRPr="001E646A">
        <w:rPr>
          <w:rStyle w:val="apple-style-span"/>
          <w:rFonts w:ascii="Times New Roman" w:eastAsia="Arial Unicode MS" w:hAnsi="Times New Roman"/>
          <w:color w:val="000000"/>
        </w:rPr>
        <w:t>high-risk HPV</w:t>
      </w:r>
      <w:r w:rsidRPr="001E646A">
        <w:rPr>
          <w:rFonts w:ascii="Times New Roman" w:hAnsi="Times New Roman"/>
          <w:sz w:val="20"/>
          <w:szCs w:val="20"/>
        </w:rPr>
        <w:t>,</w:t>
      </w:r>
      <w:r w:rsidRPr="001E646A">
        <w:rPr>
          <w:rFonts w:ascii="Times New Roman" w:hAnsi="Times New Roman"/>
          <w:kern w:val="0"/>
          <w:sz w:val="20"/>
          <w:szCs w:val="20"/>
          <w:shd w:val="clear" w:color="auto" w:fill="FFFFFF"/>
        </w:rPr>
        <w:t xml:space="preserve"> </w:t>
      </w:r>
      <w:r w:rsidRPr="001E646A">
        <w:rPr>
          <w:rFonts w:ascii="Times New Roman" w:hAnsi="Times New Roman"/>
          <w:sz w:val="20"/>
          <w:szCs w:val="20"/>
        </w:rPr>
        <w:t>SCJ</w:t>
      </w:r>
      <w:r w:rsidRPr="001E646A">
        <w:rPr>
          <w:rFonts w:ascii="Times New Roman" w:hAnsi="Times New Roman"/>
          <w:color w:val="000000"/>
          <w:kern w:val="0"/>
          <w:sz w:val="20"/>
          <w:szCs w:val="20"/>
        </w:rPr>
        <w:t xml:space="preserve"> </w:t>
      </w:r>
      <w:r w:rsidRPr="001E646A">
        <w:rPr>
          <w:rStyle w:val="a3"/>
          <w:rFonts w:ascii="Times New Roman" w:hAnsi="Times New Roman"/>
          <w:sz w:val="20"/>
          <w:szCs w:val="20"/>
        </w:rPr>
        <w:t>visibility</w:t>
      </w:r>
      <w:r w:rsidRPr="001E646A">
        <w:rPr>
          <w:rFonts w:ascii="Times New Roman" w:hAnsi="Times New Roman"/>
          <w:color w:val="000000"/>
          <w:kern w:val="0"/>
          <w:sz w:val="20"/>
          <w:szCs w:val="20"/>
        </w:rPr>
        <w:t xml:space="preserve">, </w:t>
      </w:r>
      <w:r w:rsidRPr="001E646A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vaginal pH.</w:t>
      </w:r>
    </w:p>
    <w:p w:rsidR="00742FFC" w:rsidRPr="001E646A" w:rsidRDefault="00742FFC" w:rsidP="00742FFC">
      <w:pPr>
        <w:autoSpaceDE w:val="0"/>
        <w:autoSpaceDN w:val="0"/>
        <w:adjustRightInd w:val="0"/>
        <w:ind w:leftChars="-607" w:left="-1275" w:rightChars="-567" w:right="-1191"/>
        <w:jc w:val="left"/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</w:pPr>
      <w:r w:rsidRPr="001E646A">
        <w:rPr>
          <w:rFonts w:ascii="Times New Roman" w:eastAsia="Arial Unicode MS" w:hAnsi="Times New Roman"/>
          <w:color w:val="000000" w:themeColor="text1"/>
          <w:kern w:val="0"/>
          <w:sz w:val="20"/>
          <w:szCs w:val="20"/>
          <w:vertAlign w:val="superscript"/>
        </w:rPr>
        <w:t>c</w:t>
      </w:r>
      <w:r w:rsidRPr="001E646A">
        <w:rPr>
          <w:rFonts w:ascii="Times New Roman" w:eastAsia="Arial Unicode MS" w:hAnsi="Times New Roman"/>
          <w:i/>
          <w:color w:val="000000" w:themeColor="text1"/>
          <w:kern w:val="0"/>
          <w:sz w:val="20"/>
          <w:szCs w:val="20"/>
        </w:rPr>
        <w:t>P</w:t>
      </w:r>
      <w:r w:rsidRPr="001E646A"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  <w:t xml:space="preserve"> values for differences between groups were obtained from the chi-square test for categoric variables.</w:t>
      </w:r>
    </w:p>
    <w:p w:rsidR="00542218" w:rsidRPr="001E646A" w:rsidRDefault="00542218">
      <w:pPr>
        <w:rPr>
          <w:rFonts w:ascii="Times New Roman" w:hAnsi="Times New Roman"/>
        </w:rPr>
      </w:pPr>
    </w:p>
    <w:sectPr w:rsidR="00542218" w:rsidRPr="001E646A" w:rsidSect="005422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dvOTdadbfad7.B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AdvOTfe809cc4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UniversLTStd-LightCn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42FFC"/>
    <w:rsid w:val="000C2262"/>
    <w:rsid w:val="00173EE8"/>
    <w:rsid w:val="001B120A"/>
    <w:rsid w:val="001E646A"/>
    <w:rsid w:val="003F1864"/>
    <w:rsid w:val="00542218"/>
    <w:rsid w:val="005A0B01"/>
    <w:rsid w:val="0062332B"/>
    <w:rsid w:val="00742FFC"/>
    <w:rsid w:val="008266F0"/>
    <w:rsid w:val="00A84F1B"/>
    <w:rsid w:val="00BB5BED"/>
    <w:rsid w:val="00EA2D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FFC"/>
    <w:pPr>
      <w:widowControl w:val="0"/>
      <w:jc w:val="both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qFormat/>
    <w:rsid w:val="00742FFC"/>
  </w:style>
  <w:style w:type="character" w:styleId="a3">
    <w:name w:val="Emphasis"/>
    <w:basedOn w:val="a0"/>
    <w:uiPriority w:val="20"/>
    <w:qFormat/>
    <w:rsid w:val="00742FFC"/>
    <w:rPr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613</Words>
  <Characters>3495</Characters>
  <Application>Microsoft Office Word</Application>
  <DocSecurity>0</DocSecurity>
  <Lines>29</Lines>
  <Paragraphs>8</Paragraphs>
  <ScaleCrop>false</ScaleCrop>
  <Company/>
  <LinksUpToDate>false</LinksUpToDate>
  <CharactersWithSpaces>4100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</dc:creator>
  <cp:lastModifiedBy>wz</cp:lastModifiedBy>
  <cp:revision>3</cp:revision>
  <dcterms:created xsi:type="dcterms:W3CDTF">2017-08-02T08:54:00Z</dcterms:created>
  <dcterms:modified xsi:type="dcterms:W3CDTF">2020-08-02T10:54:00Z</dcterms:modified>
</cp:coreProperties>
</file>