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80" w:lineRule="auto"/>
        <w:ind w:firstLine="422" w:firstLineChars="200"/>
        <w:rPr>
          <w:rFonts w:ascii="Times New Roman" w:hAnsi="Times New Roman" w:cs="Times New Roman"/>
          <w:b/>
          <w:bCs/>
          <w:sz w:val="21"/>
          <w:szCs w:val="21"/>
        </w:rPr>
      </w:pPr>
      <w:bookmarkStart w:id="0" w:name="OLE_LINK1"/>
      <w:r>
        <w:rPr>
          <w:rFonts w:hint="eastAsia" w:ascii="Times New Roman" w:hAnsi="Times New Roman" w:cs="Times New Roman"/>
          <w:b/>
          <w:bCs/>
          <w:sz w:val="21"/>
          <w:szCs w:val="21"/>
        </w:rPr>
        <w:t>Appendix file</w:t>
      </w:r>
      <w:r>
        <w:rPr>
          <w:rFonts w:hint="eastAsia" w:ascii="Times New Roman" w:hAnsi="Times New Roman" w:cs="Times New Roman"/>
          <w:b/>
          <w:bCs/>
          <w:sz w:val="21"/>
          <w:szCs w:val="21"/>
          <w:lang w:val="en-US" w:eastAsia="zh-CN"/>
        </w:rPr>
        <w:t xml:space="preserve"> 1: </w:t>
      </w:r>
      <w:r>
        <w:rPr>
          <w:rFonts w:hint="eastAsia" w:ascii="Times New Roman" w:hAnsi="Times New Roman" w:cs="Times New Roman"/>
          <w:b/>
          <w:bCs/>
          <w:sz w:val="21"/>
          <w:szCs w:val="21"/>
        </w:rPr>
        <w:t>Sample survey</w:t>
      </w:r>
    </w:p>
    <w:bookmarkEnd w:id="0"/>
    <w:p>
      <w:pPr>
        <w:spacing w:after="0" w:line="480" w:lineRule="auto"/>
        <w:ind w:firstLine="400" w:firstLineChars="200"/>
        <w:rPr>
          <w:rFonts w:ascii="Times New Roman" w:hAnsi="Times New Roman" w:cs="Times New Roman"/>
          <w:sz w:val="20"/>
          <w:szCs w:val="20"/>
        </w:rPr>
      </w:pPr>
      <w:r>
        <w:rPr>
          <w:rFonts w:ascii="Times New Roman" w:hAnsi="Times New Roman" w:cs="Times New Roman"/>
          <w:sz w:val="20"/>
          <w:szCs w:val="20"/>
        </w:rPr>
        <w:t xml:space="preserve">Multistage stratified cluster random sampling was used in this study. Lottery-style drawings (prefecture-level cities), and computer programing (selection of streets, communities, and towns) are used to select samples for each stage. There were three stratums included.To make sure the sample is representative.The sampling proportion was 1/3 for each </w:t>
      </w:r>
      <w:bookmarkStart w:id="1" w:name="OLE_LINK20"/>
      <w:r>
        <w:rPr>
          <w:rFonts w:ascii="Times New Roman" w:hAnsi="Times New Roman" w:cs="Times New Roman"/>
          <w:sz w:val="20"/>
          <w:szCs w:val="20"/>
        </w:rPr>
        <w:t>stratum</w:t>
      </w:r>
      <w:bookmarkEnd w:id="1"/>
      <w:r>
        <w:rPr>
          <w:rFonts w:ascii="Times New Roman" w:hAnsi="Times New Roman" w:cs="Times New Roman"/>
          <w:sz w:val="20"/>
          <w:szCs w:val="20"/>
        </w:rPr>
        <w:t xml:space="preserve">. The first stratum was to choose sample areas from Dalian city based on taking full consideration into the perfection of health information management system and the level of economic development. We select nine districts as the sample areas, including Zhongshan, Xigang, Sha Hekou, Lv Shunkou, Gan Jingzi, Jinzhou, Wa Fangdian, Pu Landian, Zhuanghe. Besides, there are Dalian municipal medical institutions and public health institutions. In the second stratum, one general hospital, maternal and child healthcare hospital, Center for Disease Control and Prevention（CDC）, and traditional Chinese medicine hospital were selected from each region. Five community health service centers, 20 township health centers,17 </w:t>
      </w:r>
      <w:bookmarkStart w:id="2" w:name="OLE_LINK8"/>
      <w:bookmarkStart w:id="3" w:name="OLE_LINK7"/>
      <w:r>
        <w:rPr>
          <w:rFonts w:ascii="Times New Roman" w:hAnsi="Times New Roman" w:cs="Times New Roman"/>
          <w:sz w:val="20"/>
          <w:szCs w:val="20"/>
        </w:rPr>
        <w:t>clinics or outpatient departments</w:t>
      </w:r>
      <w:bookmarkEnd w:id="2"/>
      <w:bookmarkEnd w:id="3"/>
      <w:r>
        <w:rPr>
          <w:rFonts w:ascii="Times New Roman" w:hAnsi="Times New Roman" w:cs="Times New Roman"/>
          <w:sz w:val="20"/>
          <w:szCs w:val="20"/>
        </w:rPr>
        <w:t>, and three villages were selected from each district. In the third stratum, a total of 484 health and medical facilities and professional public health institutions were sampled in the selected sample areas according to the categories of health institutions and administrative levels. A total of 392 institutions with valid data were collected, including 44 primary health centers and community service centers, 300 village clinics and clinics, five maternal and child health care centers, five traditional Chinese medicine hospitals, eight specialized hospitals, 22 general hospitals, and 13 public health institutions (</w:t>
      </w:r>
      <w:r>
        <w:rPr>
          <w:rFonts w:hint="eastAsia" w:ascii="Times New Roman" w:hAnsi="Times New Roman" w:cs="Times New Roman"/>
          <w:sz w:val="20"/>
          <w:szCs w:val="20"/>
        </w:rPr>
        <w:t>5</w:t>
      </w:r>
      <w:r>
        <w:rPr>
          <w:rFonts w:ascii="Times New Roman" w:hAnsi="Times New Roman" w:cs="Times New Roman"/>
          <w:sz w:val="20"/>
          <w:szCs w:val="20"/>
        </w:rPr>
        <w:t xml:space="preserve"> maternal and child health institutions, </w:t>
      </w:r>
      <w:r>
        <w:rPr>
          <w:rFonts w:hint="eastAsia" w:ascii="Times New Roman" w:hAnsi="Times New Roman" w:cs="Times New Roman"/>
          <w:sz w:val="20"/>
          <w:szCs w:val="20"/>
        </w:rPr>
        <w:t>6</w:t>
      </w:r>
      <w:r>
        <w:rPr>
          <w:rFonts w:ascii="Times New Roman" w:hAnsi="Times New Roman" w:cs="Times New Roman"/>
          <w:sz w:val="20"/>
          <w:szCs w:val="20"/>
        </w:rPr>
        <w:t xml:space="preserve"> CDCs and </w:t>
      </w:r>
      <w:r>
        <w:rPr>
          <w:rFonts w:hint="eastAsia" w:ascii="Times New Roman" w:hAnsi="Times New Roman" w:cs="Times New Roman"/>
          <w:sz w:val="20"/>
          <w:szCs w:val="20"/>
        </w:rPr>
        <w:t>2</w:t>
      </w:r>
      <w:r>
        <w:rPr>
          <w:rFonts w:ascii="Times New Roman" w:hAnsi="Times New Roman" w:cs="Times New Roman"/>
          <w:sz w:val="20"/>
          <w:szCs w:val="20"/>
        </w:rPr>
        <w:t xml:space="preserve">other public health institutions). The remaining 92 institutions were abandoned because their data was severely missing or had insufficient data integrity. </w:t>
      </w:r>
      <w:r>
        <w:rPr>
          <w:rFonts w:hint="eastAsia" w:ascii="Times New Roman" w:hAnsi="Times New Roman" w:cs="Times New Roman"/>
          <w:sz w:val="20"/>
          <w:szCs w:val="20"/>
        </w:rPr>
        <w:t>The basic information for all outpatients and inpatients included age, gender, disease, type of medical institution, type of insured, season, expenditure, region, etc. The collected sample data were cleaned and screened according to the International Classification of diseases-10 (ICD-10) code of classification of diseases.</w:t>
      </w:r>
      <w:bookmarkStart w:id="4" w:name="_GoBack"/>
      <w:bookmarkEnd w:id="4"/>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536D7C"/>
    <w:rsid w:val="0A536D7C"/>
    <w:rsid w:val="159C6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2020-12-07T11:55:00Z</dcterms:created>
  <dc:creator>方泉</dc:creator>
  <cp:lastModifiedBy>方泉</cp:lastModifiedBy>
  <dcterms:modified xsi:type="dcterms:W3CDTF">2020-12-07T14:20:55Z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