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5557" w:type="dxa"/>
        <w:tblLayout w:type="fixed"/>
        <w:tblCellMar>
          <w:left w:w="28" w:type="dxa"/>
          <w:right w:w="28" w:type="dxa"/>
        </w:tblCellMar>
        <w:tblLook w:val="06A0" w:firstRow="1" w:lastRow="0" w:firstColumn="1" w:lastColumn="0" w:noHBand="1" w:noVBand="1"/>
      </w:tblPr>
      <w:tblGrid>
        <w:gridCol w:w="2100"/>
        <w:gridCol w:w="1414"/>
        <w:gridCol w:w="1414"/>
        <w:gridCol w:w="629"/>
      </w:tblGrid>
      <w:tr w:rsidR="00AC2C20" w:rsidRPr="008817D2" w:rsidTr="008A0C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7" w:type="dxa"/>
            <w:gridSpan w:val="4"/>
            <w:tcBorders>
              <w:top w:val="nil"/>
              <w:bottom w:val="single" w:sz="4" w:space="0" w:color="auto"/>
            </w:tcBorders>
          </w:tcPr>
          <w:p w:rsidR="00AC2C20" w:rsidRPr="00AE617F" w:rsidRDefault="0058185E" w:rsidP="00F73447">
            <w:pPr>
              <w:snapToGrid w:val="0"/>
              <w:spacing w:beforeLines="20" w:before="72" w:afterLines="20" w:after="72" w:line="180" w:lineRule="exact"/>
              <w:rPr>
                <w:rFonts w:ascii="Times New Roman" w:hAnsi="Times New Roman" w:cs="Times New Roman"/>
                <w:bCs w:val="0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Supplemental </w:t>
            </w:r>
            <w:r w:rsidR="00F73447">
              <w:rPr>
                <w:rFonts w:ascii="Times New Roman" w:hAnsi="Times New Roman" w:cs="Times New Roman"/>
                <w:sz w:val="16"/>
                <w:szCs w:val="16"/>
              </w:rPr>
              <w:t>Table</w:t>
            </w:r>
            <w:r w:rsidR="00F73447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1</w:t>
            </w:r>
            <w:r w:rsidR="00AC2C20" w:rsidRPr="008817D2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 </w:t>
            </w:r>
            <w:r w:rsidR="00AC2C20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 </w:t>
            </w:r>
            <w:r w:rsidR="009F1B6B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Comparison of </w:t>
            </w:r>
            <w:r w:rsidR="00D16520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characteristics, clinical data </w:t>
            </w:r>
            <w:r w:rsidR="00FF0393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between patients whose peritoneum thickness increase and decrease</w:t>
            </w:r>
          </w:p>
        </w:tc>
      </w:tr>
      <w:tr w:rsidR="002D30EE" w:rsidRPr="008817D2" w:rsidTr="0007476E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tcBorders>
              <w:top w:val="nil"/>
              <w:bottom w:val="single" w:sz="8" w:space="0" w:color="000000" w:themeColor="text1"/>
            </w:tcBorders>
            <w:vAlign w:val="center"/>
          </w:tcPr>
          <w:p w:rsidR="002D30EE" w:rsidRPr="008817D2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</w:p>
        </w:tc>
        <w:tc>
          <w:tcPr>
            <w:tcW w:w="1414" w:type="dxa"/>
            <w:tcBorders>
              <w:top w:val="single" w:sz="4" w:space="0" w:color="auto"/>
              <w:bottom w:val="single" w:sz="8" w:space="0" w:color="000000" w:themeColor="text1"/>
            </w:tcBorders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PMT change 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≤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(n=22)</w:t>
            </w:r>
          </w:p>
        </w:tc>
        <w:tc>
          <w:tcPr>
            <w:tcW w:w="1414" w:type="dxa"/>
            <w:tcBorders>
              <w:top w:val="single" w:sz="4" w:space="0" w:color="auto"/>
              <w:bottom w:val="single" w:sz="8" w:space="0" w:color="000000" w:themeColor="text1"/>
            </w:tcBorders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PMT change &gt; 0 (n=20)</w:t>
            </w:r>
          </w:p>
        </w:tc>
        <w:tc>
          <w:tcPr>
            <w:tcW w:w="629" w:type="dxa"/>
            <w:tcBorders>
              <w:top w:val="single" w:sz="4" w:space="0" w:color="auto"/>
              <w:bottom w:val="single" w:sz="8" w:space="0" w:color="000000" w:themeColor="text1"/>
            </w:tcBorders>
            <w:vAlign w:val="center"/>
          </w:tcPr>
          <w:p w:rsidR="002D30EE" w:rsidRPr="008817D2" w:rsidRDefault="00E95AD7" w:rsidP="00E95AD7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i/>
                <w:sz w:val="16"/>
                <w:szCs w:val="16"/>
              </w:rPr>
              <w:t>p</w:t>
            </w:r>
            <w:r w:rsidR="002D30EE">
              <w:rPr>
                <w:rFonts w:ascii="Times New Roman" w:hAnsi="Times New Roman" w:cs="Times New Roman" w:hint="eastAsia"/>
                <w:sz w:val="16"/>
                <w:szCs w:val="16"/>
              </w:rPr>
              <w:t xml:space="preserve"> value</w:t>
            </w:r>
          </w:p>
        </w:tc>
      </w:tr>
      <w:tr w:rsidR="002D30EE" w:rsidRPr="008817D2" w:rsidTr="0007476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tcBorders>
              <w:top w:val="single" w:sz="8" w:space="0" w:color="000000" w:themeColor="text1"/>
            </w:tcBorders>
            <w:vAlign w:val="center"/>
          </w:tcPr>
          <w:p w:rsidR="002D30EE" w:rsidRPr="008817D2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Age at start PD, years</w:t>
            </w:r>
          </w:p>
        </w:tc>
        <w:tc>
          <w:tcPr>
            <w:tcW w:w="1414" w:type="dxa"/>
            <w:tcBorders>
              <w:top w:val="single" w:sz="8" w:space="0" w:color="000000" w:themeColor="text1"/>
            </w:tcBorders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63.8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12.7</w:t>
            </w:r>
          </w:p>
        </w:tc>
        <w:tc>
          <w:tcPr>
            <w:tcW w:w="1414" w:type="dxa"/>
            <w:tcBorders>
              <w:top w:val="single" w:sz="8" w:space="0" w:color="000000" w:themeColor="text1"/>
            </w:tcBorders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65.8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9.5</w:t>
            </w:r>
          </w:p>
        </w:tc>
        <w:tc>
          <w:tcPr>
            <w:tcW w:w="629" w:type="dxa"/>
            <w:tcBorders>
              <w:top w:val="single" w:sz="8" w:space="0" w:color="000000" w:themeColor="text1"/>
            </w:tcBorders>
            <w:vAlign w:val="center"/>
          </w:tcPr>
          <w:p w:rsidR="002D30EE" w:rsidRPr="008817D2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0.582</w:t>
            </w:r>
          </w:p>
        </w:tc>
      </w:tr>
      <w:tr w:rsidR="002D30EE" w:rsidRPr="008817D2" w:rsidTr="0007476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8817D2" w:rsidRDefault="00E95AD7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Sex</w:t>
            </w:r>
            <w:r w:rsidR="002D30EE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 (female), n (%)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 (45.5)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9 (45.0)</w:t>
            </w:r>
          </w:p>
        </w:tc>
        <w:tc>
          <w:tcPr>
            <w:tcW w:w="629" w:type="dxa"/>
            <w:vAlign w:val="center"/>
          </w:tcPr>
          <w:p w:rsidR="002D30EE" w:rsidRPr="008817D2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1.000</w:t>
            </w:r>
          </w:p>
        </w:tc>
      </w:tr>
      <w:tr w:rsidR="002D30EE" w:rsidRPr="008817D2" w:rsidTr="0007476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8817D2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Body mass index, kg/m</w:t>
            </w:r>
            <w:r w:rsidRPr="00691AE5">
              <w:rPr>
                <w:rFonts w:ascii="Times New Roman" w:hAnsi="Times New Roman" w:cs="Times New Roman" w:hint="eastAsia"/>
                <w:b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22.4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4.4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23.0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2.7</w:t>
            </w:r>
          </w:p>
        </w:tc>
        <w:tc>
          <w:tcPr>
            <w:tcW w:w="629" w:type="dxa"/>
            <w:vAlign w:val="center"/>
          </w:tcPr>
          <w:p w:rsidR="002D30EE" w:rsidRPr="008817D2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0.608</w:t>
            </w:r>
          </w:p>
        </w:tc>
      </w:tr>
      <w:tr w:rsidR="002D30EE" w:rsidRPr="008817D2" w:rsidTr="0007476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8817D2" w:rsidRDefault="002D30EE" w:rsidP="00D33E91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PD duration, </w:t>
            </w:r>
            <w:r w:rsidR="00D33E91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months</w:t>
            </w:r>
          </w:p>
        </w:tc>
        <w:tc>
          <w:tcPr>
            <w:tcW w:w="1414" w:type="dxa"/>
            <w:vAlign w:val="center"/>
          </w:tcPr>
          <w:p w:rsidR="002D30EE" w:rsidRPr="008817D2" w:rsidRDefault="00D33E91" w:rsidP="00D33E91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40.3</w:t>
            </w:r>
            <w:r w:rsidR="002D30EE"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18.5</w:t>
            </w:r>
          </w:p>
        </w:tc>
        <w:tc>
          <w:tcPr>
            <w:tcW w:w="1414" w:type="dxa"/>
            <w:vAlign w:val="center"/>
          </w:tcPr>
          <w:p w:rsidR="002D30EE" w:rsidRPr="008817D2" w:rsidRDefault="00D33E91" w:rsidP="00D33E91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48.1</w:t>
            </w:r>
            <w:r w:rsidR="002D30EE"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26.3</w:t>
            </w:r>
          </w:p>
        </w:tc>
        <w:tc>
          <w:tcPr>
            <w:tcW w:w="629" w:type="dxa"/>
            <w:vAlign w:val="center"/>
          </w:tcPr>
          <w:p w:rsidR="002D30EE" w:rsidRPr="008817D2" w:rsidRDefault="00D33E91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0.268</w:t>
            </w:r>
          </w:p>
        </w:tc>
      </w:tr>
      <w:tr w:rsidR="002D30EE" w:rsidRPr="008817D2" w:rsidTr="0007476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6D7B33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6D7B33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Diabetes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, n (%)</w:t>
            </w:r>
          </w:p>
        </w:tc>
        <w:tc>
          <w:tcPr>
            <w:tcW w:w="1414" w:type="dxa"/>
            <w:vAlign w:val="center"/>
          </w:tcPr>
          <w:p w:rsidR="002D30EE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 (45.5)</w:t>
            </w:r>
          </w:p>
        </w:tc>
        <w:tc>
          <w:tcPr>
            <w:tcW w:w="1414" w:type="dxa"/>
            <w:vAlign w:val="center"/>
          </w:tcPr>
          <w:p w:rsidR="002D30EE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5 (25.0)</w:t>
            </w:r>
          </w:p>
        </w:tc>
        <w:tc>
          <w:tcPr>
            <w:tcW w:w="629" w:type="dxa"/>
            <w:vAlign w:val="center"/>
          </w:tcPr>
          <w:p w:rsidR="002D30EE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0.209</w:t>
            </w:r>
          </w:p>
        </w:tc>
      </w:tr>
      <w:tr w:rsidR="002D30EE" w:rsidRPr="008817D2" w:rsidTr="0007476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8817D2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T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aking ACE-I/ARB, n (%)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16 (72.7)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18 (90.0)</w:t>
            </w:r>
          </w:p>
        </w:tc>
        <w:tc>
          <w:tcPr>
            <w:tcW w:w="629" w:type="dxa"/>
            <w:vAlign w:val="center"/>
          </w:tcPr>
          <w:p w:rsidR="002D30EE" w:rsidRPr="008817D2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0.243</w:t>
            </w:r>
          </w:p>
        </w:tc>
      </w:tr>
      <w:tr w:rsidR="002D30EE" w:rsidRPr="008817D2" w:rsidTr="0007476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Default="002D30EE" w:rsidP="003857C7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Use of dialysate 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containing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over 2.5% glucose</w:t>
            </w:r>
            <w:r w:rsidR="0058185E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, n (%)</w:t>
            </w:r>
            <w:proofErr w:type="gramEnd"/>
          </w:p>
        </w:tc>
        <w:tc>
          <w:tcPr>
            <w:tcW w:w="1414" w:type="dxa"/>
            <w:vAlign w:val="center"/>
          </w:tcPr>
          <w:p w:rsidR="002D30EE" w:rsidRPr="0058185E" w:rsidRDefault="0058185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18 (81.8)</w:t>
            </w:r>
          </w:p>
        </w:tc>
        <w:tc>
          <w:tcPr>
            <w:tcW w:w="1414" w:type="dxa"/>
            <w:vAlign w:val="center"/>
          </w:tcPr>
          <w:p w:rsidR="002D30EE" w:rsidRDefault="0058185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12 (60.0)</w:t>
            </w:r>
          </w:p>
        </w:tc>
        <w:tc>
          <w:tcPr>
            <w:tcW w:w="629" w:type="dxa"/>
            <w:vAlign w:val="center"/>
          </w:tcPr>
          <w:p w:rsidR="002D30EE" w:rsidRDefault="0058185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0.175</w:t>
            </w:r>
          </w:p>
        </w:tc>
      </w:tr>
      <w:tr w:rsidR="002D30EE" w:rsidRPr="008817D2" w:rsidTr="0007476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Default="002D30EE" w:rsidP="003857C7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Use of dialysate 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containing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icodextrin</w:t>
            </w:r>
            <w:proofErr w:type="spellEnd"/>
            <w:r w:rsidR="0058185E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, n (%)</w:t>
            </w:r>
          </w:p>
        </w:tc>
        <w:tc>
          <w:tcPr>
            <w:tcW w:w="1414" w:type="dxa"/>
            <w:vAlign w:val="center"/>
          </w:tcPr>
          <w:p w:rsidR="002D30EE" w:rsidRDefault="0058185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13 (59.1)</w:t>
            </w:r>
          </w:p>
        </w:tc>
        <w:tc>
          <w:tcPr>
            <w:tcW w:w="1414" w:type="dxa"/>
            <w:vAlign w:val="center"/>
          </w:tcPr>
          <w:p w:rsidR="002D30EE" w:rsidRDefault="0058185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14 (70.0)</w:t>
            </w:r>
          </w:p>
        </w:tc>
        <w:tc>
          <w:tcPr>
            <w:tcW w:w="629" w:type="dxa"/>
            <w:vAlign w:val="center"/>
          </w:tcPr>
          <w:p w:rsidR="002D30EE" w:rsidRDefault="0058185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0.531</w:t>
            </w:r>
          </w:p>
        </w:tc>
      </w:tr>
      <w:tr w:rsidR="002D30EE" w:rsidRPr="008817D2" w:rsidTr="0007476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8817D2" w:rsidRDefault="002D30EE" w:rsidP="00EF413A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Peritonitis rate, </w:t>
            </w:r>
            <w:r w:rsidR="00EF413A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episode/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year</w:t>
            </w:r>
          </w:p>
        </w:tc>
        <w:tc>
          <w:tcPr>
            <w:tcW w:w="1414" w:type="dxa"/>
            <w:vAlign w:val="center"/>
          </w:tcPr>
          <w:p w:rsidR="002D30EE" w:rsidRPr="008817D2" w:rsidRDefault="00EF413A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 (0-1.0</w:t>
            </w:r>
            <w:r w:rsidR="002D30EE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1414" w:type="dxa"/>
            <w:vAlign w:val="center"/>
          </w:tcPr>
          <w:p w:rsidR="002D30EE" w:rsidRPr="008817D2" w:rsidRDefault="00EF413A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 (0-1.3</w:t>
            </w:r>
            <w:r w:rsidR="002D30EE">
              <w:rPr>
                <w:rFonts w:ascii="Times New Roman" w:hAnsi="Times New Roman" w:cs="Times New Roman" w:hint="eastAsia"/>
                <w:sz w:val="16"/>
                <w:szCs w:val="16"/>
              </w:rPr>
              <w:t>)</w:t>
            </w:r>
          </w:p>
        </w:tc>
        <w:tc>
          <w:tcPr>
            <w:tcW w:w="629" w:type="dxa"/>
            <w:vAlign w:val="center"/>
          </w:tcPr>
          <w:p w:rsidR="002D30EE" w:rsidRPr="008817D2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0.580</w:t>
            </w:r>
          </w:p>
        </w:tc>
      </w:tr>
      <w:tr w:rsidR="002D30EE" w:rsidRPr="008817D2" w:rsidTr="0007476E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8817D2" w:rsidRDefault="00D512AD" w:rsidP="009F1B6B">
            <w:pPr>
              <w:snapToGrid w:val="0"/>
              <w:spacing w:beforeLines="20" w:before="72" w:afterLines="20" w:after="72" w:line="180" w:lineRule="exac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Total Kt</w:t>
            </w:r>
            <w:r w:rsidR="002D30EE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/V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1.94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0.47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1.85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0.71</w:t>
            </w:r>
          </w:p>
        </w:tc>
        <w:tc>
          <w:tcPr>
            <w:tcW w:w="629" w:type="dxa"/>
            <w:vAlign w:val="center"/>
          </w:tcPr>
          <w:p w:rsidR="002D30EE" w:rsidRPr="008817D2" w:rsidRDefault="002D30EE" w:rsidP="00232D5F">
            <w:pPr>
              <w:snapToGrid w:val="0"/>
              <w:spacing w:beforeLines="20" w:before="72" w:afterLines="20" w:after="72" w:line="1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0.619</w:t>
            </w:r>
          </w:p>
        </w:tc>
      </w:tr>
      <w:tr w:rsidR="002D30EE" w:rsidRPr="008817D2" w:rsidTr="0007476E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8817D2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rinary volume, ml/day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176 (0-1450)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100 (0-1550)</w:t>
            </w:r>
          </w:p>
        </w:tc>
        <w:tc>
          <w:tcPr>
            <w:tcW w:w="629" w:type="dxa"/>
            <w:vAlign w:val="center"/>
          </w:tcPr>
          <w:p w:rsidR="002D30EE" w:rsidRPr="008817D2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0.752</w:t>
            </w:r>
          </w:p>
        </w:tc>
      </w:tr>
      <w:tr w:rsidR="002D30EE" w:rsidRPr="008817D2" w:rsidTr="0007476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8817D2" w:rsidRDefault="0016366A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D/P Cr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0.77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0.11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0.76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0.07</w:t>
            </w:r>
          </w:p>
        </w:tc>
        <w:tc>
          <w:tcPr>
            <w:tcW w:w="629" w:type="dxa"/>
            <w:vAlign w:val="center"/>
          </w:tcPr>
          <w:p w:rsidR="002D30EE" w:rsidRPr="008817D2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0.896</w:t>
            </w:r>
          </w:p>
        </w:tc>
      </w:tr>
      <w:tr w:rsidR="002D30EE" w:rsidRPr="008817D2" w:rsidTr="0007476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7C5173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9" w:type="dxa"/>
            <w:vAlign w:val="center"/>
          </w:tcPr>
          <w:p w:rsidR="002D30EE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D30EE" w:rsidRPr="008817D2" w:rsidTr="0007476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7C5173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7C5173">
              <w:rPr>
                <w:rFonts w:ascii="Times New Roman" w:hAnsi="Times New Roman" w:cs="Times New Roman"/>
                <w:b w:val="0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M</w:t>
            </w:r>
            <w:r w:rsidRPr="007C5173">
              <w:rPr>
                <w:rFonts w:ascii="Times New Roman" w:hAnsi="Times New Roman" w:cs="Times New Roman"/>
                <w:b w:val="0"/>
                <w:sz w:val="16"/>
                <w:szCs w:val="16"/>
              </w:rPr>
              <w:t>T at baseline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, mm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0.76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0.14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0.57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0.09</w:t>
            </w:r>
          </w:p>
        </w:tc>
        <w:tc>
          <w:tcPr>
            <w:tcW w:w="629" w:type="dxa"/>
            <w:vAlign w:val="center"/>
          </w:tcPr>
          <w:p w:rsidR="002D30EE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&lt;0.001</w:t>
            </w:r>
          </w:p>
        </w:tc>
      </w:tr>
      <w:tr w:rsidR="002D30EE" w:rsidRPr="008817D2" w:rsidTr="0007476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7C5173" w:rsidRDefault="002D30EE" w:rsidP="007C5173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7C5173">
              <w:rPr>
                <w:rFonts w:ascii="Times New Roman" w:hAnsi="Times New Roman" w:cs="Times New Roman"/>
                <w:b w:val="0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M</w:t>
            </w:r>
            <w:r w:rsidRPr="007C5173"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T at 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last measurement, mm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0.67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0.12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0.70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0.07</w:t>
            </w:r>
          </w:p>
        </w:tc>
        <w:tc>
          <w:tcPr>
            <w:tcW w:w="629" w:type="dxa"/>
            <w:vAlign w:val="center"/>
          </w:tcPr>
          <w:p w:rsidR="002D30EE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0.184</w:t>
            </w:r>
          </w:p>
        </w:tc>
      </w:tr>
      <w:tr w:rsidR="002D30EE" w:rsidRPr="008817D2" w:rsidTr="0007476E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0" w:type="dxa"/>
            <w:vAlign w:val="center"/>
          </w:tcPr>
          <w:p w:rsidR="002D30EE" w:rsidRPr="007C5173" w:rsidRDefault="002D30EE" w:rsidP="009F1B6B">
            <w:pPr>
              <w:snapToGrid w:val="0"/>
              <w:spacing w:beforeLines="20" w:before="72" w:afterLines="20" w:after="72" w:line="180" w:lineRule="exact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7C5173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M</w:t>
            </w:r>
            <w:r w:rsidRPr="007C5173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T change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, mm/year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-0.04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0.04</w:t>
            </w:r>
          </w:p>
        </w:tc>
        <w:tc>
          <w:tcPr>
            <w:tcW w:w="1414" w:type="dxa"/>
            <w:vAlign w:val="center"/>
          </w:tcPr>
          <w:p w:rsidR="002D30EE" w:rsidRPr="008817D2" w:rsidRDefault="002D30EE" w:rsidP="002D30EE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0.05</w:t>
            </w:r>
            <w:r w:rsidRPr="00FF0393">
              <w:rPr>
                <w:rFonts w:ascii="Times New Roman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hAnsi="Times New Roman" w:cs="Times New Roman" w:hint="eastAsia"/>
                <w:sz w:val="16"/>
                <w:szCs w:val="16"/>
              </w:rPr>
              <w:t>0.04</w:t>
            </w:r>
          </w:p>
        </w:tc>
        <w:tc>
          <w:tcPr>
            <w:tcW w:w="629" w:type="dxa"/>
            <w:vAlign w:val="center"/>
          </w:tcPr>
          <w:p w:rsidR="002D30EE" w:rsidRDefault="002D30EE" w:rsidP="00232D5F">
            <w:pPr>
              <w:snapToGrid w:val="0"/>
              <w:spacing w:beforeLines="20" w:before="72" w:afterLines="20" w:after="72" w:line="180" w:lineRule="exac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&lt;0.001</w:t>
            </w:r>
          </w:p>
        </w:tc>
      </w:tr>
      <w:tr w:rsidR="003857C7" w:rsidRPr="008817D2" w:rsidTr="008A0C0B">
        <w:trPr>
          <w:trHeight w:val="7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7" w:type="dxa"/>
            <w:gridSpan w:val="4"/>
            <w:tcBorders>
              <w:top w:val="single" w:sz="4" w:space="0" w:color="000000" w:themeColor="text1"/>
              <w:bottom w:val="nil"/>
            </w:tcBorders>
          </w:tcPr>
          <w:p w:rsidR="003857C7" w:rsidRDefault="003857C7" w:rsidP="00F56F1A">
            <w:pPr>
              <w:adjustRightInd w:val="0"/>
              <w:snapToGrid w:val="0"/>
              <w:spacing w:beforeLines="20" w:before="72" w:afterLines="20" w:after="72" w:line="180" w:lineRule="exact"/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Normally distributed variables are presented </w:t>
            </w:r>
            <w:r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  <w:t>as means</w:t>
            </w:r>
            <w:r w:rsidR="00E95AD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  <w:t>±</w:t>
            </w:r>
            <w:r w:rsidR="00E95AD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  <w:t>standard deviations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and</w:t>
            </w:r>
            <w:r w:rsidR="00E95AD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were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analyzed </w:t>
            </w:r>
            <w:r w:rsidR="00E95AD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using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the t-test. Non-distributed variables are presented as </w:t>
            </w:r>
            <w:r w:rsidRPr="009F29D0"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  <w:t xml:space="preserve">medians (minimum-maximum) 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and </w:t>
            </w:r>
            <w:r w:rsidR="00E95AD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were 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analyzed </w:t>
            </w:r>
            <w:r w:rsidR="00E95AD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using</w:t>
            </w:r>
            <w:r w:rsidRPr="009F29D0"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the Mann-Whitney U test. C</w:t>
            </w:r>
            <w:r w:rsidRPr="00EF658F"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  <w:t>ategorical variables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</w:t>
            </w:r>
            <w:r w:rsidR="00E95AD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were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analyzed </w:t>
            </w:r>
            <w:r w:rsidR="00E95AD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using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Fisher</w:t>
            </w:r>
            <w:r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  <w:t>’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s exact test.</w:t>
            </w:r>
          </w:p>
          <w:p w:rsidR="003857C7" w:rsidRPr="00EF658F" w:rsidRDefault="00E95AD7" w:rsidP="00F56F1A">
            <w:pPr>
              <w:adjustRightInd w:val="0"/>
              <w:snapToGrid w:val="0"/>
              <w:spacing w:beforeLines="20" w:before="72" w:afterLines="20" w:after="72" w:line="180" w:lineRule="exact"/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</w:pP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Clinical data were</w:t>
            </w:r>
            <w:r w:rsidR="003857C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collected within 1 month before and after 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the </w:t>
            </w:r>
            <w:r w:rsidR="003857C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last</w:t>
            </w:r>
            <w:r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PMT</w:t>
            </w:r>
            <w:r w:rsidR="003857C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 xml:space="preserve"> </w:t>
            </w:r>
            <w:r w:rsidR="003857C7">
              <w:rPr>
                <w:rFonts w:ascii="Times New Roman" w:eastAsia="ＭＳ Ｐゴシック" w:hAnsi="Times New Roman" w:cs="Times New Roman"/>
                <w:b w:val="0"/>
                <w:color w:val="000000"/>
                <w:sz w:val="16"/>
                <w:szCs w:val="16"/>
              </w:rPr>
              <w:t>measurement</w:t>
            </w:r>
            <w:r w:rsidR="003857C7">
              <w:rPr>
                <w:rFonts w:ascii="Times New Roman" w:eastAsia="ＭＳ Ｐゴシック" w:hAnsi="Times New Roman" w:cs="Times New Roman" w:hint="eastAsia"/>
                <w:b w:val="0"/>
                <w:color w:val="000000"/>
                <w:sz w:val="16"/>
                <w:szCs w:val="16"/>
              </w:rPr>
              <w:t>.</w:t>
            </w:r>
          </w:p>
          <w:p w:rsidR="003857C7" w:rsidRPr="00A67EE0" w:rsidRDefault="003857C7" w:rsidP="0016366A">
            <w:pPr>
              <w:adjustRightInd w:val="0"/>
              <w:snapToGrid w:val="0"/>
              <w:spacing w:beforeLines="20" w:before="72" w:afterLines="20" w:after="72" w:line="180" w:lineRule="exac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PD, peritoneal dialyses; ACE-I, angiotensin-converting 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enzyme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 inhibitors; ARB, a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ngiotensin II 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eceptor 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b</w:t>
            </w:r>
            <w:r w:rsidRPr="00A67EE0">
              <w:rPr>
                <w:rFonts w:ascii="Times New Roman" w:hAnsi="Times New Roman" w:cs="Times New Roman"/>
                <w:b w:val="0"/>
                <w:sz w:val="16"/>
                <w:szCs w:val="16"/>
              </w:rPr>
              <w:t>locker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; D/P Cr, 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dialysate to plasma ratio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 xml:space="preserve"> of creatinine; P</w:t>
            </w:r>
            <w:r w:rsidR="00E95AD7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M</w:t>
            </w:r>
            <w:r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T</w:t>
            </w:r>
            <w:r w:rsidR="00E95AD7">
              <w:rPr>
                <w:rFonts w:ascii="Times New Roman" w:hAnsi="Times New Roman" w:cs="Times New Roman" w:hint="eastAsia"/>
                <w:b w:val="0"/>
                <w:sz w:val="16"/>
                <w:szCs w:val="16"/>
              </w:rPr>
              <w:t>, peritoneum membrane thickness</w:t>
            </w:r>
          </w:p>
        </w:tc>
      </w:tr>
    </w:tbl>
    <w:p w:rsidR="00E00BFE" w:rsidRDefault="00A118A2">
      <w:r>
        <w:rPr>
          <w:rFonts w:hint="eastAsia"/>
        </w:rPr>
        <w:t xml:space="preserve"> </w:t>
      </w:r>
    </w:p>
    <w:sectPr w:rsidR="00E00BFE" w:rsidSect="00AE617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F1A" w:rsidRDefault="00F56F1A" w:rsidP="0081052C">
      <w:r>
        <w:separator/>
      </w:r>
    </w:p>
  </w:endnote>
  <w:endnote w:type="continuationSeparator" w:id="0">
    <w:p w:rsidR="00F56F1A" w:rsidRDefault="00F56F1A" w:rsidP="00810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F1A" w:rsidRDefault="00F56F1A" w:rsidP="0081052C">
      <w:r>
        <w:separator/>
      </w:r>
    </w:p>
  </w:footnote>
  <w:footnote w:type="continuationSeparator" w:id="0">
    <w:p w:rsidR="00F56F1A" w:rsidRDefault="00F56F1A" w:rsidP="00810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F83"/>
    <w:rsid w:val="00022879"/>
    <w:rsid w:val="00040042"/>
    <w:rsid w:val="000411F7"/>
    <w:rsid w:val="00041CE1"/>
    <w:rsid w:val="00056C0A"/>
    <w:rsid w:val="00073D97"/>
    <w:rsid w:val="0007476E"/>
    <w:rsid w:val="00097AF7"/>
    <w:rsid w:val="00105BDE"/>
    <w:rsid w:val="00112CCF"/>
    <w:rsid w:val="0016366A"/>
    <w:rsid w:val="00167055"/>
    <w:rsid w:val="001D6C05"/>
    <w:rsid w:val="002006B6"/>
    <w:rsid w:val="00205F9E"/>
    <w:rsid w:val="002102A9"/>
    <w:rsid w:val="00232D5F"/>
    <w:rsid w:val="00272520"/>
    <w:rsid w:val="00280BF3"/>
    <w:rsid w:val="002D30EE"/>
    <w:rsid w:val="002D4126"/>
    <w:rsid w:val="002E3EFD"/>
    <w:rsid w:val="002F3D6D"/>
    <w:rsid w:val="003138C5"/>
    <w:rsid w:val="003363ED"/>
    <w:rsid w:val="0034244A"/>
    <w:rsid w:val="003857C7"/>
    <w:rsid w:val="003913F8"/>
    <w:rsid w:val="003A4B71"/>
    <w:rsid w:val="003F2C17"/>
    <w:rsid w:val="00405D7C"/>
    <w:rsid w:val="00426556"/>
    <w:rsid w:val="0044202B"/>
    <w:rsid w:val="004547C8"/>
    <w:rsid w:val="00454852"/>
    <w:rsid w:val="00460510"/>
    <w:rsid w:val="00477799"/>
    <w:rsid w:val="004A1FFA"/>
    <w:rsid w:val="004E2787"/>
    <w:rsid w:val="004E5D5C"/>
    <w:rsid w:val="00545277"/>
    <w:rsid w:val="0056357B"/>
    <w:rsid w:val="0057535B"/>
    <w:rsid w:val="0058185E"/>
    <w:rsid w:val="005879A6"/>
    <w:rsid w:val="005933FB"/>
    <w:rsid w:val="005C10D6"/>
    <w:rsid w:val="005D7560"/>
    <w:rsid w:val="00632807"/>
    <w:rsid w:val="00691AE5"/>
    <w:rsid w:val="006D7B33"/>
    <w:rsid w:val="007015C6"/>
    <w:rsid w:val="0074639F"/>
    <w:rsid w:val="00777015"/>
    <w:rsid w:val="007A0C41"/>
    <w:rsid w:val="007B7586"/>
    <w:rsid w:val="007C5173"/>
    <w:rsid w:val="007D3E24"/>
    <w:rsid w:val="007D5F4E"/>
    <w:rsid w:val="0081052C"/>
    <w:rsid w:val="0082794C"/>
    <w:rsid w:val="008637C9"/>
    <w:rsid w:val="008734F2"/>
    <w:rsid w:val="00880AC7"/>
    <w:rsid w:val="008817D2"/>
    <w:rsid w:val="008A0C0B"/>
    <w:rsid w:val="008B5883"/>
    <w:rsid w:val="008C3DE4"/>
    <w:rsid w:val="008F0815"/>
    <w:rsid w:val="00912F07"/>
    <w:rsid w:val="009409FC"/>
    <w:rsid w:val="00945354"/>
    <w:rsid w:val="0096484D"/>
    <w:rsid w:val="0097643D"/>
    <w:rsid w:val="009B7B38"/>
    <w:rsid w:val="009D637D"/>
    <w:rsid w:val="009F1B6B"/>
    <w:rsid w:val="009F29D0"/>
    <w:rsid w:val="00A118A2"/>
    <w:rsid w:val="00A25A0B"/>
    <w:rsid w:val="00A2651C"/>
    <w:rsid w:val="00A369BA"/>
    <w:rsid w:val="00A507A3"/>
    <w:rsid w:val="00A67EE0"/>
    <w:rsid w:val="00AA4F83"/>
    <w:rsid w:val="00AC2C20"/>
    <w:rsid w:val="00AE617F"/>
    <w:rsid w:val="00AE6F5A"/>
    <w:rsid w:val="00B0415D"/>
    <w:rsid w:val="00B325B6"/>
    <w:rsid w:val="00B6616B"/>
    <w:rsid w:val="00B71FE2"/>
    <w:rsid w:val="00B7421F"/>
    <w:rsid w:val="00C150FB"/>
    <w:rsid w:val="00C261D7"/>
    <w:rsid w:val="00C352B3"/>
    <w:rsid w:val="00C719E5"/>
    <w:rsid w:val="00C87C40"/>
    <w:rsid w:val="00CA3285"/>
    <w:rsid w:val="00CC5200"/>
    <w:rsid w:val="00CC6DE8"/>
    <w:rsid w:val="00CE0FC5"/>
    <w:rsid w:val="00D14BFB"/>
    <w:rsid w:val="00D16520"/>
    <w:rsid w:val="00D2661E"/>
    <w:rsid w:val="00D33E91"/>
    <w:rsid w:val="00D50BEE"/>
    <w:rsid w:val="00D512AD"/>
    <w:rsid w:val="00D51BD9"/>
    <w:rsid w:val="00D972D3"/>
    <w:rsid w:val="00DB1E26"/>
    <w:rsid w:val="00E00BFE"/>
    <w:rsid w:val="00E25AE3"/>
    <w:rsid w:val="00E649FA"/>
    <w:rsid w:val="00E81FBD"/>
    <w:rsid w:val="00E95AD7"/>
    <w:rsid w:val="00EC6ABC"/>
    <w:rsid w:val="00EE55E2"/>
    <w:rsid w:val="00EF413A"/>
    <w:rsid w:val="00EF658F"/>
    <w:rsid w:val="00F05EB3"/>
    <w:rsid w:val="00F07F5B"/>
    <w:rsid w:val="00F15F76"/>
    <w:rsid w:val="00F535A6"/>
    <w:rsid w:val="00F56F1A"/>
    <w:rsid w:val="00F636F8"/>
    <w:rsid w:val="00F65D32"/>
    <w:rsid w:val="00F73447"/>
    <w:rsid w:val="00FF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4F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ght Shading"/>
    <w:basedOn w:val="a1"/>
    <w:uiPriority w:val="60"/>
    <w:rsid w:val="00AA4F8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header"/>
    <w:basedOn w:val="a"/>
    <w:link w:val="a5"/>
    <w:uiPriority w:val="99"/>
    <w:unhideWhenUsed/>
    <w:rsid w:val="008105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1052C"/>
  </w:style>
  <w:style w:type="paragraph" w:styleId="a6">
    <w:name w:val="footer"/>
    <w:basedOn w:val="a"/>
    <w:link w:val="a7"/>
    <w:uiPriority w:val="99"/>
    <w:unhideWhenUsed/>
    <w:rsid w:val="008105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1052C"/>
  </w:style>
  <w:style w:type="paragraph" w:styleId="a8">
    <w:name w:val="Balloon Text"/>
    <w:basedOn w:val="a"/>
    <w:link w:val="a9"/>
    <w:uiPriority w:val="99"/>
    <w:semiHidden/>
    <w:unhideWhenUsed/>
    <w:rsid w:val="002102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102A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4F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ght Shading"/>
    <w:basedOn w:val="a1"/>
    <w:uiPriority w:val="60"/>
    <w:rsid w:val="00AA4F8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header"/>
    <w:basedOn w:val="a"/>
    <w:link w:val="a5"/>
    <w:uiPriority w:val="99"/>
    <w:unhideWhenUsed/>
    <w:rsid w:val="008105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1052C"/>
  </w:style>
  <w:style w:type="paragraph" w:styleId="a6">
    <w:name w:val="footer"/>
    <w:basedOn w:val="a"/>
    <w:link w:val="a7"/>
    <w:uiPriority w:val="99"/>
    <w:unhideWhenUsed/>
    <w:rsid w:val="008105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1052C"/>
  </w:style>
  <w:style w:type="paragraph" w:styleId="a8">
    <w:name w:val="Balloon Text"/>
    <w:basedOn w:val="a"/>
    <w:link w:val="a9"/>
    <w:uiPriority w:val="99"/>
    <w:semiHidden/>
    <w:unhideWhenUsed/>
    <w:rsid w:val="002102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102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Shinya</dc:creator>
  <cp:lastModifiedBy>Shinya</cp:lastModifiedBy>
  <cp:revision>13</cp:revision>
  <cp:lastPrinted>2019-03-20T01:18:00Z</cp:lastPrinted>
  <dcterms:created xsi:type="dcterms:W3CDTF">2019-03-26T06:48:00Z</dcterms:created>
  <dcterms:modified xsi:type="dcterms:W3CDTF">2020-04-07T10:06:00Z</dcterms:modified>
</cp:coreProperties>
</file>