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27F3" w14:textId="77777777" w:rsidR="00595159" w:rsidRPr="00595159" w:rsidRDefault="00595159" w:rsidP="00595159">
      <w:pPr>
        <w:widowControl/>
        <w:spacing w:after="240" w:line="480" w:lineRule="auto"/>
        <w:jc w:val="center"/>
        <w:rPr>
          <w:rFonts w:ascii="Times New Roman" w:eastAsia="Calibri" w:hAnsi="Times New Roman" w:cs="Times New Roman"/>
          <w:b/>
          <w:kern w:val="0"/>
          <w:sz w:val="28"/>
          <w:szCs w:val="28"/>
          <w:lang w:eastAsia="en-US"/>
        </w:rPr>
      </w:pPr>
      <w:r w:rsidRPr="00595159">
        <w:rPr>
          <w:rFonts w:ascii="Times New Roman" w:eastAsia="Calibri" w:hAnsi="Times New Roman" w:cs="Times New Roman"/>
          <w:b/>
          <w:kern w:val="0"/>
          <w:sz w:val="28"/>
          <w:szCs w:val="28"/>
          <w:lang w:eastAsia="en-US"/>
        </w:rPr>
        <w:t xml:space="preserve">Metabolites, gene expression and gut microbiota profiles suggest the putative mechanisms via which dietary creatine increases the serum taurine and g-ABA contents in </w:t>
      </w:r>
      <w:proofErr w:type="spellStart"/>
      <w:r w:rsidRPr="00595159">
        <w:rPr>
          <w:rFonts w:ascii="Times New Roman" w:eastAsia="Calibri" w:hAnsi="Times New Roman" w:cs="Times New Roman"/>
          <w:b/>
          <w:i/>
          <w:iCs/>
          <w:kern w:val="0"/>
          <w:sz w:val="28"/>
          <w:szCs w:val="28"/>
          <w:lang w:eastAsia="en-US"/>
        </w:rPr>
        <w:t>Megalobrama</w:t>
      </w:r>
      <w:proofErr w:type="spellEnd"/>
      <w:r w:rsidRPr="00595159">
        <w:rPr>
          <w:rFonts w:ascii="Times New Roman" w:eastAsia="Calibri" w:hAnsi="Times New Roman" w:cs="Times New Roman"/>
          <w:b/>
          <w:i/>
          <w:iCs/>
          <w:kern w:val="0"/>
          <w:sz w:val="28"/>
          <w:szCs w:val="28"/>
          <w:lang w:eastAsia="en-US"/>
        </w:rPr>
        <w:t xml:space="preserve"> </w:t>
      </w:r>
      <w:proofErr w:type="spellStart"/>
      <w:r w:rsidRPr="00595159">
        <w:rPr>
          <w:rFonts w:ascii="Times New Roman" w:eastAsia="Calibri" w:hAnsi="Times New Roman" w:cs="Times New Roman"/>
          <w:b/>
          <w:i/>
          <w:iCs/>
          <w:kern w:val="0"/>
          <w:sz w:val="28"/>
          <w:szCs w:val="28"/>
          <w:lang w:eastAsia="en-US"/>
        </w:rPr>
        <w:t>amblycephala</w:t>
      </w:r>
      <w:proofErr w:type="spellEnd"/>
    </w:p>
    <w:p w14:paraId="35F1721D" w14:textId="77777777" w:rsidR="00595159" w:rsidRPr="00595159" w:rsidRDefault="00595159" w:rsidP="00595159">
      <w:pPr>
        <w:widowControl/>
        <w:spacing w:before="240" w:after="240" w:line="480" w:lineRule="auto"/>
        <w:jc w:val="left"/>
        <w:rPr>
          <w:rFonts w:ascii="Times New Roman" w:eastAsia="宋体" w:hAnsi="Times New Roman" w:cs="Times New Roman"/>
          <w:bCs/>
          <w:kern w:val="0"/>
          <w:sz w:val="20"/>
          <w:szCs w:val="20"/>
        </w:rPr>
      </w:pPr>
      <w:r w:rsidRPr="00595159">
        <w:rPr>
          <w:rFonts w:ascii="Times New Roman" w:eastAsia="宋体" w:hAnsi="Times New Roman" w:cs="Times New Roman"/>
          <w:bCs/>
          <w:kern w:val="0"/>
          <w:sz w:val="20"/>
          <w:szCs w:val="20"/>
        </w:rPr>
        <w:t>Yizhuo Hua</w:t>
      </w:r>
      <w:r w:rsidRPr="00595159">
        <w:rPr>
          <w:rFonts w:ascii="Times New Roman" w:eastAsia="Calibri" w:hAnsi="Times New Roman" w:cs="Times New Roman"/>
          <w:bCs/>
          <w:kern w:val="0"/>
          <w:sz w:val="20"/>
          <w:szCs w:val="20"/>
          <w:vertAlign w:val="superscript"/>
          <w:lang w:eastAsia="en-US"/>
        </w:rPr>
        <w:t>1</w:t>
      </w:r>
      <w:r w:rsidRPr="00595159">
        <w:rPr>
          <w:rFonts w:ascii="Times New Roman" w:eastAsia="Calibri" w:hAnsi="Times New Roman" w:cs="Times New Roman"/>
          <w:bCs/>
          <w:kern w:val="0"/>
          <w:sz w:val="20"/>
          <w:szCs w:val="20"/>
          <w:lang w:eastAsia="en-US"/>
        </w:rPr>
        <w:t xml:space="preserve">, </w:t>
      </w:r>
      <w:proofErr w:type="spellStart"/>
      <w:r w:rsidRPr="00595159">
        <w:rPr>
          <w:rFonts w:ascii="Times New Roman" w:eastAsia="宋体" w:hAnsi="Times New Roman" w:cs="Times New Roman"/>
          <w:bCs/>
          <w:kern w:val="0"/>
          <w:sz w:val="20"/>
          <w:szCs w:val="20"/>
        </w:rPr>
        <w:t>Wangwang</w:t>
      </w:r>
      <w:proofErr w:type="spellEnd"/>
      <w:r w:rsidRPr="00595159">
        <w:rPr>
          <w:rFonts w:ascii="Times New Roman" w:eastAsia="Calibri" w:hAnsi="Times New Roman" w:cs="Times New Roman"/>
          <w:bCs/>
          <w:kern w:val="0"/>
          <w:sz w:val="20"/>
          <w:szCs w:val="20"/>
          <w:lang w:eastAsia="en-US"/>
        </w:rPr>
        <w:t xml:space="preserve"> </w:t>
      </w:r>
      <w:r w:rsidRPr="00595159">
        <w:rPr>
          <w:rFonts w:ascii="Times New Roman" w:eastAsia="宋体" w:hAnsi="Times New Roman" w:cs="Times New Roman"/>
          <w:bCs/>
          <w:kern w:val="0"/>
          <w:sz w:val="20"/>
          <w:szCs w:val="20"/>
        </w:rPr>
        <w:t>Huang</w:t>
      </w:r>
      <w:r w:rsidRPr="00595159">
        <w:rPr>
          <w:rFonts w:ascii="Times New Roman" w:eastAsia="宋体" w:hAnsi="Times New Roman" w:cs="Times New Roman"/>
          <w:bCs/>
          <w:kern w:val="0"/>
          <w:sz w:val="20"/>
          <w:szCs w:val="20"/>
          <w:vertAlign w:val="superscript"/>
        </w:rPr>
        <w:t>1</w:t>
      </w:r>
      <w:r w:rsidRPr="00595159">
        <w:rPr>
          <w:rFonts w:ascii="Times New Roman" w:eastAsia="Calibri" w:hAnsi="Times New Roman" w:cs="Times New Roman"/>
          <w:bCs/>
          <w:kern w:val="0"/>
          <w:sz w:val="20"/>
          <w:szCs w:val="20"/>
          <w:lang w:eastAsia="en-US"/>
        </w:rPr>
        <w:t xml:space="preserve">, </w:t>
      </w:r>
      <w:r w:rsidRPr="00595159">
        <w:rPr>
          <w:rFonts w:ascii="Times New Roman" w:eastAsia="宋体" w:hAnsi="Times New Roman" w:cs="Times New Roman"/>
          <w:bCs/>
          <w:kern w:val="0"/>
          <w:sz w:val="20"/>
          <w:szCs w:val="20"/>
        </w:rPr>
        <w:t>Fan Wang</w:t>
      </w:r>
      <w:r w:rsidRPr="00595159">
        <w:rPr>
          <w:rFonts w:ascii="Times New Roman" w:eastAsia="宋体" w:hAnsi="Times New Roman" w:cs="Times New Roman"/>
          <w:bCs/>
          <w:kern w:val="0"/>
          <w:sz w:val="20"/>
          <w:szCs w:val="20"/>
          <w:vertAlign w:val="superscript"/>
        </w:rPr>
        <w:t>1</w:t>
      </w:r>
      <w:r w:rsidRPr="00595159">
        <w:rPr>
          <w:rFonts w:ascii="Times New Roman" w:eastAsia="宋体" w:hAnsi="Times New Roman" w:cs="Times New Roman"/>
          <w:bCs/>
          <w:kern w:val="0"/>
          <w:sz w:val="20"/>
          <w:szCs w:val="20"/>
        </w:rPr>
        <w:t>, Zhao Jing</w:t>
      </w:r>
      <w:r w:rsidRPr="00595159">
        <w:rPr>
          <w:rFonts w:ascii="Times New Roman" w:eastAsia="宋体" w:hAnsi="Times New Roman" w:cs="Times New Roman"/>
          <w:bCs/>
          <w:kern w:val="0"/>
          <w:sz w:val="20"/>
          <w:szCs w:val="20"/>
          <w:vertAlign w:val="superscript"/>
        </w:rPr>
        <w:t>1</w:t>
      </w:r>
      <w:r w:rsidRPr="00595159">
        <w:rPr>
          <w:rFonts w:ascii="Times New Roman" w:eastAsia="宋体" w:hAnsi="Times New Roman" w:cs="Times New Roman"/>
          <w:bCs/>
          <w:kern w:val="0"/>
          <w:sz w:val="20"/>
          <w:szCs w:val="20"/>
        </w:rPr>
        <w:t xml:space="preserve">, </w:t>
      </w:r>
      <w:proofErr w:type="spellStart"/>
      <w:r w:rsidRPr="00595159">
        <w:rPr>
          <w:rFonts w:ascii="Times New Roman" w:eastAsia="宋体" w:hAnsi="Times New Roman" w:cs="Times New Roman"/>
          <w:bCs/>
          <w:kern w:val="0"/>
          <w:sz w:val="20"/>
          <w:szCs w:val="20"/>
        </w:rPr>
        <w:t>Juntao</w:t>
      </w:r>
      <w:proofErr w:type="spellEnd"/>
      <w:r w:rsidRPr="00595159">
        <w:rPr>
          <w:rFonts w:ascii="Times New Roman" w:eastAsia="宋体" w:hAnsi="Times New Roman" w:cs="Times New Roman"/>
          <w:bCs/>
          <w:kern w:val="0"/>
          <w:sz w:val="20"/>
          <w:szCs w:val="20"/>
        </w:rPr>
        <w:t xml:space="preserve"> Li</w:t>
      </w:r>
      <w:r w:rsidRPr="00595159">
        <w:rPr>
          <w:rFonts w:ascii="Times New Roman" w:eastAsia="宋体" w:hAnsi="Times New Roman" w:cs="Times New Roman"/>
          <w:bCs/>
          <w:kern w:val="0"/>
          <w:sz w:val="20"/>
          <w:szCs w:val="20"/>
          <w:vertAlign w:val="superscript"/>
        </w:rPr>
        <w:t>2</w:t>
      </w:r>
      <w:r w:rsidRPr="00595159">
        <w:rPr>
          <w:rFonts w:ascii="Times New Roman" w:eastAsia="宋体" w:hAnsi="Times New Roman" w:cs="Times New Roman"/>
          <w:bCs/>
          <w:kern w:val="0"/>
          <w:sz w:val="20"/>
          <w:szCs w:val="20"/>
        </w:rPr>
        <w:t xml:space="preserve">, </w:t>
      </w:r>
      <w:proofErr w:type="spellStart"/>
      <w:r w:rsidRPr="00595159">
        <w:rPr>
          <w:rFonts w:ascii="Times New Roman" w:eastAsia="宋体" w:hAnsi="Times New Roman" w:cs="Times New Roman"/>
          <w:bCs/>
          <w:kern w:val="0"/>
          <w:sz w:val="20"/>
          <w:szCs w:val="20"/>
        </w:rPr>
        <w:t>Yuhua</w:t>
      </w:r>
      <w:proofErr w:type="spellEnd"/>
      <w:r w:rsidRPr="00595159">
        <w:rPr>
          <w:rFonts w:ascii="Times New Roman" w:eastAsia="宋体" w:hAnsi="Times New Roman" w:cs="Times New Roman"/>
          <w:bCs/>
          <w:kern w:val="0"/>
          <w:sz w:val="20"/>
          <w:szCs w:val="20"/>
        </w:rPr>
        <w:t xml:space="preserve"> Zhao</w:t>
      </w:r>
      <w:r w:rsidRPr="00595159">
        <w:rPr>
          <w:rFonts w:ascii="Times New Roman" w:eastAsia="Calibri" w:hAnsi="Times New Roman" w:cs="Times New Roman"/>
          <w:bCs/>
          <w:kern w:val="0"/>
          <w:sz w:val="20"/>
          <w:szCs w:val="20"/>
          <w:vertAlign w:val="superscript"/>
          <w:lang w:eastAsia="en-US"/>
        </w:rPr>
        <w:t>1</w:t>
      </w:r>
      <w:r w:rsidRPr="00595159">
        <w:rPr>
          <w:rFonts w:ascii="Times New Roman" w:eastAsia="宋体" w:hAnsi="Times New Roman" w:cs="Times New Roman"/>
          <w:bCs/>
          <w:kern w:val="0"/>
          <w:sz w:val="20"/>
          <w:szCs w:val="20"/>
          <w:vertAlign w:val="superscript"/>
        </w:rPr>
        <w:t>*</w:t>
      </w:r>
    </w:p>
    <w:p w14:paraId="0AB39E67" w14:textId="77777777" w:rsidR="00595159" w:rsidRPr="00595159" w:rsidRDefault="00595159" w:rsidP="00595159">
      <w:pPr>
        <w:widowControl/>
        <w:spacing w:before="240" w:after="240" w:line="480" w:lineRule="auto"/>
        <w:rPr>
          <w:rFonts w:ascii="Times New Roman" w:eastAsia="Calibri" w:hAnsi="Times New Roman" w:cs="Times New Roman"/>
          <w:b/>
          <w:kern w:val="0"/>
          <w:sz w:val="20"/>
          <w:szCs w:val="20"/>
          <w:lang w:eastAsia="en-US"/>
        </w:rPr>
      </w:pPr>
      <w:r w:rsidRPr="00595159">
        <w:rPr>
          <w:rFonts w:ascii="Times New Roman" w:eastAsia="Calibri" w:hAnsi="Times New Roman" w:cs="Times New Roman"/>
          <w:kern w:val="0"/>
          <w:sz w:val="20"/>
          <w:szCs w:val="20"/>
          <w:vertAlign w:val="superscript"/>
          <w:lang w:eastAsia="en-US"/>
        </w:rPr>
        <w:t xml:space="preserve">1 </w:t>
      </w:r>
      <w:r w:rsidRPr="00595159">
        <w:rPr>
          <w:rFonts w:ascii="Times New Roman" w:eastAsia="Calibri" w:hAnsi="Times New Roman" w:cs="Times New Roman"/>
          <w:kern w:val="0"/>
          <w:sz w:val="20"/>
          <w:szCs w:val="20"/>
          <w:lang w:eastAsia="en-US"/>
        </w:rPr>
        <w:t>College of Fisheries, Huazhong Agricultural University; Key Lab of Freshwater Animal Breeding, Ministry of Agriculture; Key Lab of Agricultural Animal Genetics, Breeding and Reproduction of Ministry of Education; Freshwater Aquaculture Collaborative Innovation Center of Hubei Province, Wuhan 430070, China</w:t>
      </w:r>
    </w:p>
    <w:p w14:paraId="27D07D0F" w14:textId="77777777" w:rsidR="00595159" w:rsidRPr="00595159" w:rsidRDefault="00595159" w:rsidP="00595159">
      <w:pPr>
        <w:widowControl/>
        <w:spacing w:after="240" w:line="480" w:lineRule="auto"/>
        <w:rPr>
          <w:rFonts w:ascii="Times New Roman" w:eastAsia="Calibri" w:hAnsi="Times New Roman" w:cs="Times New Roman"/>
          <w:b/>
          <w:kern w:val="0"/>
          <w:sz w:val="20"/>
          <w:szCs w:val="20"/>
          <w:lang w:eastAsia="en-US"/>
        </w:rPr>
      </w:pPr>
      <w:r w:rsidRPr="00595159">
        <w:rPr>
          <w:rFonts w:ascii="Times New Roman" w:eastAsia="Calibri" w:hAnsi="Times New Roman" w:cs="Times New Roman"/>
          <w:kern w:val="0"/>
          <w:sz w:val="20"/>
          <w:szCs w:val="20"/>
          <w:vertAlign w:val="superscript"/>
          <w:lang w:eastAsia="en-US"/>
        </w:rPr>
        <w:t xml:space="preserve">2 </w:t>
      </w:r>
      <w:r w:rsidRPr="00595159">
        <w:rPr>
          <w:rFonts w:ascii="Times New Roman" w:eastAsia="Calibri" w:hAnsi="Times New Roman" w:cs="Times New Roman"/>
          <w:kern w:val="0"/>
          <w:sz w:val="20"/>
          <w:szCs w:val="20"/>
          <w:lang w:eastAsia="en-US"/>
        </w:rPr>
        <w:t>Institute of Tropical Bioscience and Biotechnology, Haikou 570102, China</w:t>
      </w:r>
    </w:p>
    <w:p w14:paraId="045A5F4D" w14:textId="77777777" w:rsidR="00595159" w:rsidRPr="00595159" w:rsidRDefault="00595159" w:rsidP="00595159">
      <w:pPr>
        <w:widowControl/>
        <w:spacing w:before="240" w:after="240" w:line="480" w:lineRule="auto"/>
        <w:rPr>
          <w:rFonts w:ascii="Times New Roman" w:eastAsia="Calibri" w:hAnsi="Times New Roman" w:cs="Times New Roman"/>
          <w:color w:val="000000"/>
          <w:kern w:val="0"/>
          <w:sz w:val="20"/>
          <w:szCs w:val="20"/>
          <w:lang w:eastAsia="en-US"/>
        </w:rPr>
      </w:pPr>
      <w:r w:rsidRPr="00595159">
        <w:rPr>
          <w:rFonts w:ascii="Times New Roman" w:eastAsia="Calibri" w:hAnsi="Times New Roman" w:cs="Times New Roman"/>
          <w:kern w:val="0"/>
          <w:sz w:val="20"/>
          <w:szCs w:val="20"/>
          <w:lang w:eastAsia="en-US"/>
        </w:rPr>
        <w:t xml:space="preserve">* Corresponding author: </w:t>
      </w:r>
      <w:hyperlink r:id="rId4" w:history="1">
        <w:r w:rsidRPr="00595159">
          <w:rPr>
            <w:rFonts w:ascii="Times New Roman" w:eastAsia="Calibri" w:hAnsi="Times New Roman" w:cs="Times New Roman"/>
            <w:color w:val="000000"/>
            <w:kern w:val="0"/>
            <w:sz w:val="20"/>
            <w:szCs w:val="20"/>
            <w:u w:val="single"/>
            <w:lang w:eastAsia="en-US"/>
          </w:rPr>
          <w:t>zhaoyuhua2005@mail.hzau.edu.cn</w:t>
        </w:r>
      </w:hyperlink>
      <w:r w:rsidRPr="00595159">
        <w:rPr>
          <w:rFonts w:ascii="Times New Roman" w:eastAsia="Calibri" w:hAnsi="Times New Roman" w:cs="Times New Roman"/>
          <w:color w:val="000000"/>
          <w:kern w:val="0"/>
          <w:sz w:val="20"/>
          <w:szCs w:val="20"/>
          <w:lang w:eastAsia="en-US"/>
        </w:rPr>
        <w:t xml:space="preserve"> (</w:t>
      </w:r>
      <w:proofErr w:type="spellStart"/>
      <w:r w:rsidRPr="00595159">
        <w:rPr>
          <w:rFonts w:ascii="Times New Roman" w:eastAsia="Calibri" w:hAnsi="Times New Roman" w:cs="Times New Roman"/>
          <w:kern w:val="0"/>
          <w:sz w:val="20"/>
          <w:szCs w:val="20"/>
          <w:lang w:eastAsia="en-US"/>
        </w:rPr>
        <w:t>Yuhua</w:t>
      </w:r>
      <w:proofErr w:type="spellEnd"/>
      <w:r w:rsidRPr="00595159">
        <w:rPr>
          <w:rFonts w:ascii="Times New Roman" w:eastAsia="Calibri" w:hAnsi="Times New Roman" w:cs="Times New Roman"/>
          <w:kern w:val="0"/>
          <w:sz w:val="20"/>
          <w:szCs w:val="20"/>
          <w:lang w:eastAsia="en-US"/>
        </w:rPr>
        <w:t xml:space="preserve"> Zhao</w:t>
      </w:r>
      <w:r w:rsidRPr="00595159">
        <w:rPr>
          <w:rFonts w:ascii="Times New Roman" w:eastAsia="Calibri" w:hAnsi="Times New Roman" w:cs="Times New Roman"/>
          <w:color w:val="000000"/>
          <w:kern w:val="0"/>
          <w:sz w:val="20"/>
          <w:szCs w:val="20"/>
          <w:lang w:eastAsia="en-US"/>
        </w:rPr>
        <w:t>)</w:t>
      </w:r>
    </w:p>
    <w:p w14:paraId="1A06BEF4" w14:textId="77777777" w:rsidR="00595159" w:rsidRPr="00595159" w:rsidRDefault="00595159" w:rsidP="00595159">
      <w:pPr>
        <w:widowControl/>
        <w:spacing w:after="240" w:line="480" w:lineRule="auto"/>
        <w:rPr>
          <w:rFonts w:ascii="Times New Roman" w:eastAsia="Calibri" w:hAnsi="Times New Roman" w:cs="Times New Roman"/>
          <w:color w:val="000000"/>
          <w:kern w:val="0"/>
          <w:sz w:val="20"/>
          <w:szCs w:val="20"/>
          <w:lang w:eastAsia="en-US"/>
        </w:rPr>
      </w:pPr>
      <w:r w:rsidRPr="00595159">
        <w:rPr>
          <w:rFonts w:ascii="Times New Roman" w:eastAsia="Calibri" w:hAnsi="Times New Roman" w:cs="Times New Roman"/>
          <w:kern w:val="0"/>
          <w:sz w:val="20"/>
          <w:szCs w:val="20"/>
          <w:lang w:eastAsia="en-US"/>
        </w:rPr>
        <w:t>Tel.: +86 27 87282113; fax: +86 27 87282114.</w:t>
      </w:r>
    </w:p>
    <w:p w14:paraId="34A52EB9" w14:textId="1875EE31" w:rsidR="00595159" w:rsidRPr="00595159" w:rsidRDefault="00595159" w:rsidP="00595159">
      <w:pPr>
        <w:spacing w:after="240"/>
        <w:rPr>
          <w:rFonts w:cs="Times New Roman" w:hint="eastAsia"/>
          <w:sz w:val="24"/>
        </w:rPr>
      </w:pPr>
      <w:r>
        <w:rPr>
          <w:rFonts w:cs="Times New Roman"/>
        </w:rPr>
        <w:br w:type="page"/>
      </w:r>
    </w:p>
    <w:p w14:paraId="6C393ECF" w14:textId="597690FD" w:rsidR="00C04266" w:rsidRDefault="00000000">
      <w:pPr>
        <w:jc w:val="center"/>
        <w:rPr>
          <w:rFonts w:ascii="Times New Roman" w:eastAsia="宋体" w:hAnsi="Times New Roman" w:cs="Times New Roman"/>
          <w:b/>
          <w:bCs/>
          <w:i/>
          <w:iCs/>
          <w:sz w:val="32"/>
          <w:szCs w:val="32"/>
        </w:rPr>
      </w:pPr>
      <w:r>
        <w:rPr>
          <w:rFonts w:ascii="Times New Roman" w:eastAsia="宋体" w:hAnsi="Times New Roman" w:cs="Times New Roman"/>
          <w:b/>
          <w:bCs/>
          <w:i/>
          <w:iCs/>
          <w:sz w:val="32"/>
          <w:szCs w:val="32"/>
        </w:rPr>
        <w:lastRenderedPageBreak/>
        <w:t>Supplementary Material</w:t>
      </w:r>
    </w:p>
    <w:p w14:paraId="5BD279C4" w14:textId="77777777" w:rsidR="00C04266" w:rsidRDefault="00000000">
      <w:pPr>
        <w:rPr>
          <w:rFonts w:ascii="Times New Roman" w:eastAsia="宋体" w:hAnsi="Times New Roman" w:cs="Times New Roman"/>
          <w:b/>
          <w:bCs/>
          <w:sz w:val="24"/>
        </w:rPr>
      </w:pPr>
      <w:r>
        <w:rPr>
          <w:rFonts w:ascii="Times New Roman" w:eastAsia="宋体" w:hAnsi="Times New Roman" w:cs="Times New Roman"/>
          <w:b/>
          <w:bCs/>
          <w:sz w:val="24"/>
        </w:rPr>
        <w:t>Animal rearing and feeding experiment</w:t>
      </w:r>
    </w:p>
    <w:p w14:paraId="34963995"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The fish were fed twice daily at 2.0-3.0% of their body weight, regularly adjusted according to the</w:t>
      </w:r>
      <w:r>
        <w:rPr>
          <w:rFonts w:ascii="Times New Roman" w:eastAsia="宋体" w:hAnsi="Times New Roman" w:cs="Times New Roman" w:hint="eastAsia"/>
          <w:sz w:val="24"/>
        </w:rPr>
        <w:t xml:space="preserve"> </w:t>
      </w:r>
      <w:r>
        <w:rPr>
          <w:rFonts w:ascii="Times New Roman" w:eastAsia="宋体" w:hAnsi="Times New Roman" w:cs="Times New Roman"/>
          <w:sz w:val="24"/>
        </w:rPr>
        <w:t>amount of uneaten feed. The amount of feed consumed and fecal matter excreted by the fish in each</w:t>
      </w:r>
      <w:r>
        <w:rPr>
          <w:rFonts w:ascii="Times New Roman" w:eastAsia="宋体" w:hAnsi="Times New Roman" w:cs="Times New Roman" w:hint="eastAsia"/>
          <w:sz w:val="24"/>
        </w:rPr>
        <w:t xml:space="preserve"> </w:t>
      </w:r>
      <w:r>
        <w:rPr>
          <w:rFonts w:ascii="Times New Roman" w:eastAsia="宋体" w:hAnsi="Times New Roman" w:cs="Times New Roman"/>
          <w:sz w:val="24"/>
        </w:rPr>
        <w:t>tank were recorded twice daily. Water temperature, oxygen content, nitrites and total ammonia nitrogen (TAN = NH3-N + NH4+-N) in the tanks were controlled: 24±2°C, &gt;8 mg O</w:t>
      </w:r>
      <w:r>
        <w:rPr>
          <w:rFonts w:ascii="Times New Roman" w:eastAsia="宋体" w:hAnsi="Times New Roman" w:cs="Times New Roman"/>
          <w:sz w:val="24"/>
          <w:vertAlign w:val="subscript"/>
        </w:rPr>
        <w:t>2</w:t>
      </w:r>
      <w:r>
        <w:rPr>
          <w:rFonts w:ascii="Times New Roman" w:eastAsia="宋体" w:hAnsi="Times New Roman" w:cs="Times New Roman"/>
          <w:sz w:val="24"/>
        </w:rPr>
        <w:t>/L, &lt;0.1 mg NO</w:t>
      </w:r>
      <w:r>
        <w:rPr>
          <w:rFonts w:ascii="Times New Roman" w:eastAsia="宋体" w:hAnsi="Times New Roman" w:cs="Times New Roman"/>
          <w:sz w:val="24"/>
          <w:vertAlign w:val="subscript"/>
        </w:rPr>
        <w:t>2</w:t>
      </w:r>
      <w:r>
        <w:rPr>
          <w:rFonts w:ascii="Times New Roman" w:eastAsia="宋体" w:hAnsi="Times New Roman" w:cs="Times New Roman"/>
          <w:sz w:val="24"/>
          <w:vertAlign w:val="superscript"/>
        </w:rPr>
        <w:t>-</w:t>
      </w:r>
      <w:r>
        <w:rPr>
          <w:rFonts w:ascii="Times New Roman" w:eastAsia="宋体" w:hAnsi="Times New Roman" w:cs="Times New Roman"/>
          <w:sz w:val="24"/>
        </w:rPr>
        <w:t>/L,</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&lt;0.1mg TAN/L, respectively. </w:t>
      </w:r>
    </w:p>
    <w:p w14:paraId="022BD9C1"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Sample collection</w:t>
      </w:r>
    </w:p>
    <w:p w14:paraId="674D85AC"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 xml:space="preserve">Blood was obtained from the caudal vein using sterile syringes with </w:t>
      </w:r>
      <w:r>
        <w:rPr>
          <w:rFonts w:ascii="Times New Roman" w:eastAsia="宋体" w:hAnsi="Times New Roman" w:cs="Times New Roman" w:hint="eastAsia"/>
          <w:sz w:val="24"/>
        </w:rPr>
        <w:t xml:space="preserve">the </w:t>
      </w:r>
      <w:r>
        <w:rPr>
          <w:rFonts w:ascii="Times New Roman" w:eastAsia="宋体" w:hAnsi="Times New Roman" w:cs="Times New Roman"/>
          <w:sz w:val="24"/>
        </w:rPr>
        <w:t>pre-added anticoagulant solution</w:t>
      </w:r>
      <w:r>
        <w:rPr>
          <w:rFonts w:ascii="Times New Roman" w:eastAsia="宋体" w:hAnsi="Times New Roman" w:cs="Times New Roman" w:hint="eastAsia"/>
          <w:sz w:val="24"/>
        </w:rPr>
        <w:t xml:space="preserve"> </w:t>
      </w:r>
      <w:r>
        <w:rPr>
          <w:rFonts w:ascii="Times New Roman" w:eastAsia="宋体" w:hAnsi="Times New Roman" w:cs="Times New Roman"/>
          <w:sz w:val="24"/>
        </w:rPr>
        <w:t>and then centrifuged (3000</w:t>
      </w:r>
      <w:r>
        <w:rPr>
          <w:rFonts w:ascii="Times New Roman" w:eastAsia="宋体" w:hAnsi="Times New Roman" w:cs="Times New Roman" w:hint="eastAsia"/>
          <w:sz w:val="24"/>
        </w:rPr>
        <w:t xml:space="preserve"> r/min</w:t>
      </w:r>
      <w:r>
        <w:rPr>
          <w:rFonts w:ascii="Times New Roman" w:eastAsia="宋体" w:hAnsi="Times New Roman" w:cs="Times New Roman"/>
          <w:sz w:val="24"/>
        </w:rPr>
        <w:t>) at 4°C for 10 min to obtain the plasma, which was quickly frozen in</w:t>
      </w:r>
      <w:r>
        <w:rPr>
          <w:rFonts w:ascii="Times New Roman" w:eastAsia="宋体" w:hAnsi="Times New Roman" w:cs="Times New Roman" w:hint="eastAsia"/>
          <w:sz w:val="24"/>
        </w:rPr>
        <w:t xml:space="preserve"> </w:t>
      </w:r>
      <w:r>
        <w:rPr>
          <w:rFonts w:ascii="Times New Roman" w:eastAsia="宋体" w:hAnsi="Times New Roman" w:cs="Times New Roman"/>
          <w:sz w:val="24"/>
        </w:rPr>
        <w:t>liquid nitrogen and stored at -80°C for biochemical assays. After euthani</w:t>
      </w:r>
      <w:r>
        <w:rPr>
          <w:rFonts w:ascii="Times New Roman" w:eastAsia="宋体" w:hAnsi="Times New Roman" w:cs="Times New Roman" w:hint="eastAsia"/>
          <w:sz w:val="24"/>
        </w:rPr>
        <w:t>z</w:t>
      </w:r>
      <w:r>
        <w:rPr>
          <w:rFonts w:ascii="Times New Roman" w:eastAsia="宋体" w:hAnsi="Times New Roman" w:cs="Times New Roman"/>
          <w:sz w:val="24"/>
        </w:rPr>
        <w:t>ing the fish by a trauma to the</w:t>
      </w:r>
      <w:r>
        <w:rPr>
          <w:rFonts w:ascii="Times New Roman" w:eastAsia="宋体" w:hAnsi="Times New Roman" w:cs="Times New Roman" w:hint="eastAsia"/>
          <w:sz w:val="24"/>
        </w:rPr>
        <w:t xml:space="preserve"> </w:t>
      </w:r>
      <w:r>
        <w:rPr>
          <w:rFonts w:ascii="Times New Roman" w:eastAsia="宋体" w:hAnsi="Times New Roman" w:cs="Times New Roman"/>
          <w:sz w:val="24"/>
        </w:rPr>
        <w:t>head and dissection, livers were collected. Each liver was weighed and divided into two</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parts: one was placed in formalin for histological examination, and the remainder was quickly frozen in liquid nitrogen and stored at -80°C for quantitative real-time PCR (qPCR). </w:t>
      </w:r>
    </w:p>
    <w:p w14:paraId="240DF90C"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Growth performance analysis</w:t>
      </w:r>
    </w:p>
    <w:p w14:paraId="4717F882"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Weight gain (WG, %) = (final body weight – initial body weight) × 100 / initial body weight.</w:t>
      </w:r>
    </w:p>
    <w:p w14:paraId="7DA56113"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Specific growth rate (SGR, %) = 100 × (Ln final body weight − Ln initial body weight) / experiment</w:t>
      </w:r>
      <w:r>
        <w:rPr>
          <w:rFonts w:ascii="Times New Roman" w:eastAsia="宋体" w:hAnsi="Times New Roman" w:cs="Times New Roman" w:hint="eastAsia"/>
          <w:sz w:val="24"/>
        </w:rPr>
        <w:t xml:space="preserve"> </w:t>
      </w:r>
      <w:r>
        <w:rPr>
          <w:rFonts w:ascii="Times New Roman" w:eastAsia="宋体" w:hAnsi="Times New Roman" w:cs="Times New Roman"/>
          <w:sz w:val="24"/>
        </w:rPr>
        <w:t>duration in days.</w:t>
      </w:r>
    </w:p>
    <w:p w14:paraId="4C8A0B8A"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Feed conversion ratio (FCR) = dry diet fed / wet weight gain.</w:t>
      </w:r>
    </w:p>
    <w:p w14:paraId="66E98DDD"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Condition factor (CF, g/cm3) = 100 × body weight / (body length3).</w:t>
      </w:r>
    </w:p>
    <w:p w14:paraId="28F4443C"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Hepatosomatic index (HSI, %) = 100 × liver wet weight / body wet weight.</w:t>
      </w:r>
    </w:p>
    <w:p w14:paraId="3DEA6952"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Diets composition analysis</w:t>
      </w:r>
    </w:p>
    <w:p w14:paraId="64D7391E"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 xml:space="preserve">Crude protein (N × 6.25) was determined following the </w:t>
      </w:r>
      <w:proofErr w:type="spellStart"/>
      <w:r>
        <w:rPr>
          <w:rFonts w:ascii="Times New Roman" w:eastAsia="宋体" w:hAnsi="Times New Roman" w:cs="Times New Roman"/>
          <w:sz w:val="24"/>
        </w:rPr>
        <w:t>Kjeldahl</w:t>
      </w:r>
      <w:proofErr w:type="spellEnd"/>
      <w:r>
        <w:rPr>
          <w:rFonts w:ascii="Times New Roman" w:eastAsia="宋体" w:hAnsi="Times New Roman" w:cs="Times New Roman"/>
          <w:sz w:val="24"/>
        </w:rPr>
        <w:t xml:space="preserve"> method after acid digestion using a</w:t>
      </w:r>
      <w:r>
        <w:rPr>
          <w:rFonts w:ascii="Times New Roman" w:eastAsia="宋体" w:hAnsi="Times New Roman" w:cs="Times New Roman" w:hint="eastAsia"/>
          <w:sz w:val="24"/>
        </w:rPr>
        <w:t xml:space="preserve"> </w:t>
      </w:r>
      <w:proofErr w:type="spellStart"/>
      <w:r>
        <w:rPr>
          <w:rFonts w:ascii="Times New Roman" w:eastAsia="宋体" w:hAnsi="Times New Roman" w:cs="Times New Roman"/>
          <w:sz w:val="24"/>
        </w:rPr>
        <w:t>Kjeltec</w:t>
      </w:r>
      <w:proofErr w:type="spellEnd"/>
      <w:r>
        <w:rPr>
          <w:rFonts w:ascii="Times New Roman" w:eastAsia="宋体" w:hAnsi="Times New Roman" w:cs="Times New Roman"/>
          <w:sz w:val="24"/>
        </w:rPr>
        <w:t xml:space="preserve"> system (</w:t>
      </w:r>
      <w:proofErr w:type="spellStart"/>
      <w:r>
        <w:rPr>
          <w:rFonts w:ascii="Times New Roman" w:eastAsia="宋体" w:hAnsi="Times New Roman" w:cs="Times New Roman"/>
          <w:sz w:val="24"/>
        </w:rPr>
        <w:t>Kjeltec</w:t>
      </w:r>
      <w:proofErr w:type="spellEnd"/>
      <w:r>
        <w:rPr>
          <w:rFonts w:ascii="Times New Roman" w:eastAsia="宋体" w:hAnsi="Times New Roman" w:cs="Times New Roman"/>
          <w:sz w:val="24"/>
        </w:rPr>
        <w:t xml:space="preserve"> 2300 Analyzer, Foss </w:t>
      </w:r>
      <w:proofErr w:type="spellStart"/>
      <w:r>
        <w:rPr>
          <w:rFonts w:ascii="Times New Roman" w:eastAsia="宋体" w:hAnsi="Times New Roman" w:cs="Times New Roman"/>
          <w:sz w:val="24"/>
        </w:rPr>
        <w:t>Tecator</w:t>
      </w:r>
      <w:proofErr w:type="spellEnd"/>
      <w:r>
        <w:rPr>
          <w:rFonts w:ascii="Times New Roman" w:eastAsia="宋体" w:hAnsi="Times New Roman" w:cs="Times New Roman"/>
          <w:sz w:val="24"/>
        </w:rPr>
        <w:t>, Sweden). Crude fat was evaluated by the ether</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extraction method using </w:t>
      </w:r>
      <w:proofErr w:type="spellStart"/>
      <w:r>
        <w:rPr>
          <w:rFonts w:ascii="Times New Roman" w:eastAsia="宋体" w:hAnsi="Times New Roman" w:cs="Times New Roman"/>
          <w:sz w:val="24"/>
        </w:rPr>
        <w:t>Soxtec</w:t>
      </w:r>
      <w:proofErr w:type="spellEnd"/>
      <w:r>
        <w:rPr>
          <w:rFonts w:ascii="Times New Roman" w:eastAsia="宋体" w:hAnsi="Times New Roman" w:cs="Times New Roman"/>
          <w:sz w:val="24"/>
        </w:rPr>
        <w:t xml:space="preserve"> System HT (</w:t>
      </w:r>
      <w:proofErr w:type="spellStart"/>
      <w:r>
        <w:rPr>
          <w:rFonts w:ascii="Times New Roman" w:eastAsia="宋体" w:hAnsi="Times New Roman" w:cs="Times New Roman"/>
          <w:sz w:val="24"/>
        </w:rPr>
        <w:t>Soxtec</w:t>
      </w:r>
      <w:proofErr w:type="spellEnd"/>
      <w:r>
        <w:rPr>
          <w:rFonts w:ascii="Times New Roman" w:eastAsia="宋体" w:hAnsi="Times New Roman" w:cs="Times New Roman"/>
          <w:sz w:val="24"/>
        </w:rPr>
        <w:t xml:space="preserve"> System HT6, </w:t>
      </w:r>
      <w:proofErr w:type="spellStart"/>
      <w:r>
        <w:rPr>
          <w:rFonts w:ascii="Times New Roman" w:eastAsia="宋体" w:hAnsi="Times New Roman" w:cs="Times New Roman"/>
          <w:sz w:val="24"/>
        </w:rPr>
        <w:t>Tecator</w:t>
      </w:r>
      <w:proofErr w:type="spellEnd"/>
      <w:r>
        <w:rPr>
          <w:rFonts w:ascii="Times New Roman" w:eastAsia="宋体" w:hAnsi="Times New Roman" w:cs="Times New Roman"/>
          <w:sz w:val="24"/>
        </w:rPr>
        <w:t>, Sweden). Moisture was</w:t>
      </w:r>
      <w:r>
        <w:rPr>
          <w:rFonts w:ascii="Times New Roman" w:eastAsia="宋体" w:hAnsi="Times New Roman" w:cs="Times New Roman" w:hint="eastAsia"/>
          <w:sz w:val="24"/>
        </w:rPr>
        <w:t xml:space="preserve"> </w:t>
      </w:r>
      <w:r>
        <w:rPr>
          <w:rFonts w:ascii="Times New Roman" w:eastAsia="宋体" w:hAnsi="Times New Roman" w:cs="Times New Roman"/>
          <w:sz w:val="24"/>
        </w:rPr>
        <w:t>determined by oven drying at 105°C until constant weight. Crude ash was measured using a muffle</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furnace at 550°C for 4 h. </w:t>
      </w:r>
    </w:p>
    <w:p w14:paraId="2FB714EF"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H&amp;E staining analyses of the liver</w:t>
      </w:r>
    </w:p>
    <w:p w14:paraId="1DAAD0EB"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 xml:space="preserve">Liver tissues were fixed, dehydrated and embedded in paraffin. Liver sections (3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thickness) were</w:t>
      </w:r>
      <w:r>
        <w:rPr>
          <w:rFonts w:ascii="Times New Roman" w:eastAsia="宋体" w:hAnsi="Times New Roman" w:cs="Times New Roman" w:hint="eastAsia"/>
          <w:sz w:val="24"/>
        </w:rPr>
        <w:t xml:space="preserve"> </w:t>
      </w:r>
      <w:r>
        <w:rPr>
          <w:rFonts w:ascii="Times New Roman" w:eastAsia="宋体" w:hAnsi="Times New Roman" w:cs="Times New Roman"/>
          <w:sz w:val="24"/>
        </w:rPr>
        <w:t>then subjected to hematoxylin and eosin (H&amp;E) staining. Liver tissue morphology and unstained areas</w:t>
      </w:r>
      <w:r>
        <w:rPr>
          <w:rFonts w:ascii="Times New Roman" w:eastAsia="宋体" w:hAnsi="Times New Roman" w:cs="Times New Roman" w:hint="eastAsia"/>
          <w:sz w:val="24"/>
        </w:rPr>
        <w:t xml:space="preserve"> </w:t>
      </w:r>
      <w:r>
        <w:rPr>
          <w:rFonts w:ascii="Times New Roman" w:eastAsia="宋体" w:hAnsi="Times New Roman" w:cs="Times New Roman"/>
          <w:sz w:val="24"/>
        </w:rPr>
        <w:t>of fat vacuoles were observed under a light microscope with 200× magnification (Olympus, Tokyo,</w:t>
      </w:r>
      <w:r>
        <w:rPr>
          <w:rFonts w:ascii="Times New Roman" w:eastAsia="宋体" w:hAnsi="Times New Roman" w:cs="Times New Roman" w:hint="eastAsia"/>
          <w:sz w:val="24"/>
        </w:rPr>
        <w:t xml:space="preserve"> </w:t>
      </w:r>
      <w:r>
        <w:rPr>
          <w:rFonts w:ascii="Times New Roman" w:eastAsia="宋体" w:hAnsi="Times New Roman" w:cs="Times New Roman"/>
          <w:sz w:val="24"/>
        </w:rPr>
        <w:t>Japan).</w:t>
      </w:r>
    </w:p>
    <w:p w14:paraId="3D1D94C6"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 xml:space="preserve">Analyses of relative levels of metabolites and amino acids </w:t>
      </w:r>
    </w:p>
    <w:p w14:paraId="32E13BC2" w14:textId="77777777" w:rsidR="00C04266" w:rsidRDefault="00000000">
      <w:pPr>
        <w:rPr>
          <w:rFonts w:ascii="Times New Roman" w:eastAsia="宋体" w:hAnsi="Times New Roman" w:cs="Times New Roman"/>
          <w:sz w:val="24"/>
        </w:rPr>
      </w:pPr>
      <w:r>
        <w:rPr>
          <w:rFonts w:ascii="Times New Roman" w:eastAsia="宋体" w:hAnsi="Times New Roman" w:cs="Times New Roman" w:hint="eastAsia"/>
          <w:sz w:val="24"/>
        </w:rPr>
        <w:t>T</w:t>
      </w:r>
      <w:r>
        <w:rPr>
          <w:rFonts w:ascii="Times New Roman" w:eastAsia="宋体" w:hAnsi="Times New Roman" w:cs="Times New Roman"/>
          <w:sz w:val="24"/>
        </w:rPr>
        <w:t xml:space="preserve">he content of related amino acids in serum using Automatic Amino acid analyzer </w:t>
      </w:r>
      <w:r>
        <w:rPr>
          <w:rFonts w:ascii="Times New Roman" w:eastAsia="宋体" w:hAnsi="Times New Roman" w:cs="Times New Roman"/>
          <w:sz w:val="24"/>
        </w:rPr>
        <w:lastRenderedPageBreak/>
        <w:t xml:space="preserve">(Membra Pure GmbH, Germany). The specific operations </w:t>
      </w:r>
      <w:r>
        <w:rPr>
          <w:rFonts w:ascii="Times New Roman" w:eastAsia="宋体" w:hAnsi="Times New Roman" w:cs="Times New Roman" w:hint="eastAsia"/>
          <w:sz w:val="24"/>
        </w:rPr>
        <w:t xml:space="preserve">were: </w:t>
      </w:r>
      <w:r>
        <w:rPr>
          <w:rFonts w:ascii="Times New Roman" w:eastAsia="宋体" w:hAnsi="Times New Roman" w:cs="Times New Roman"/>
          <w:sz w:val="24"/>
        </w:rPr>
        <w:t>m</w:t>
      </w:r>
      <w:r>
        <w:rPr>
          <w:rFonts w:ascii="Times New Roman" w:eastAsia="宋体" w:hAnsi="Times New Roman" w:cs="Times New Roman" w:hint="eastAsia"/>
          <w:sz w:val="24"/>
        </w:rPr>
        <w:t xml:space="preserve">ix 100µl of sample and 25µl of 10% sulfosalicylic acid in a small centrifuge tube with a filter membrane (if no small centrifuge tube with filter is available, a normal tube can be used, but the sample should be filtered through 0.45um). Centrifuge tubes were placed in the refrigerator at </w:t>
      </w:r>
      <w:r>
        <w:rPr>
          <w:rFonts w:ascii="Times New Roman" w:eastAsia="宋体" w:hAnsi="Times New Roman" w:cs="Times New Roman"/>
          <w:sz w:val="24"/>
        </w:rPr>
        <w:t>2-8℃ for 60 min. after which they were centrifuged at 4℃, 14500 r/min, for 15 min.</w:t>
      </w:r>
      <w:r>
        <w:rPr>
          <w:rFonts w:ascii="Times New Roman" w:eastAsia="宋体" w:hAnsi="Times New Roman" w:cs="Times New Roman" w:hint="eastAsia"/>
          <w:sz w:val="24"/>
        </w:rPr>
        <w:t xml:space="preserve"> </w:t>
      </w:r>
      <w:r>
        <w:rPr>
          <w:rFonts w:ascii="Times New Roman" w:eastAsia="宋体" w:hAnsi="Times New Roman" w:cs="Times New Roman"/>
          <w:sz w:val="24"/>
        </w:rPr>
        <w:t>The supernatant was centrifuged at 4℃, 14500r/min for 5min</w:t>
      </w:r>
      <w:r>
        <w:rPr>
          <w:rFonts w:ascii="Times New Roman" w:eastAsia="宋体" w:hAnsi="Times New Roman" w:cs="Times New Roman" w:hint="eastAsia"/>
          <w:sz w:val="24"/>
        </w:rPr>
        <w:t>. Finally, the upper clear layer was aspirated, filtered again by a 0.22</w:t>
      </w:r>
      <w:r>
        <w:rPr>
          <w:rFonts w:ascii="Times New Roman" w:hAnsi="Times New Roman" w:cs="Times New Roman" w:hint="eastAsia"/>
          <w:bCs/>
          <w:sz w:val="24"/>
        </w:rPr>
        <w:t>µ</w:t>
      </w:r>
      <w:r>
        <w:rPr>
          <w:rFonts w:ascii="Times New Roman" w:eastAsia="宋体" w:hAnsi="Times New Roman" w:cs="Times New Roman" w:hint="eastAsia"/>
          <w:sz w:val="24"/>
        </w:rPr>
        <w:t>m filter (Ameritech Scientific) and then injected into the sample bottle for analysis on the machine.</w:t>
      </w:r>
    </w:p>
    <w:p w14:paraId="05BE546D"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 xml:space="preserve">Various amino acid components with different structures, acidity, polarity and molecular size, the ion-exchange chromatographic column (Li-separation column, </w:t>
      </w:r>
      <w:proofErr w:type="spellStart"/>
      <w:r>
        <w:rPr>
          <w:rFonts w:ascii="Times New Roman" w:eastAsia="宋体" w:hAnsi="Times New Roman" w:cs="Times New Roman"/>
          <w:sz w:val="24"/>
        </w:rPr>
        <w:t>membraPure</w:t>
      </w:r>
      <w:proofErr w:type="spellEnd"/>
      <w:r>
        <w:rPr>
          <w:rFonts w:ascii="Times New Roman" w:eastAsia="宋体" w:hAnsi="Times New Roman" w:cs="Times New Roman"/>
          <w:sz w:val="24"/>
        </w:rPr>
        <w:t xml:space="preserve"> Bodenheim, Germany) was adopted, where the amino acids were eluted by lithium buffer system. The amino acid fractions were eluted down by buffers with different pH ion concentrations, and then mixed with ninhydrin reagents one by one. The resultant derivatives were measured by UV detection at two wavelengths of 440 and 570 nm simultaneously, and were identified and quantified according to their peak time and area when compared with the spectrogram of the standard amino acid samples (Sigma-Aldrich, St. Louis, MO, USA). </w:t>
      </w:r>
    </w:p>
    <w:p w14:paraId="71B98FFE" w14:textId="77777777" w:rsidR="00C04266" w:rsidRDefault="00000000">
      <w:pPr>
        <w:rPr>
          <w:rFonts w:ascii="Times New Roman" w:eastAsia="宋体" w:hAnsi="Times New Roman" w:cs="Times New Roman"/>
          <w:sz w:val="24"/>
        </w:rPr>
      </w:pPr>
      <w:r>
        <w:rPr>
          <w:rFonts w:ascii="Times New Roman" w:eastAsia="宋体" w:hAnsi="Times New Roman" w:cs="Times New Roman"/>
          <w:sz w:val="24"/>
        </w:rPr>
        <w:t xml:space="preserve">Relative metabolites </w:t>
      </w:r>
      <w:r>
        <w:rPr>
          <w:rFonts w:ascii="Times New Roman" w:eastAsia="宋体" w:hAnsi="Times New Roman" w:cs="Times New Roman" w:hint="eastAsia"/>
          <w:sz w:val="24"/>
        </w:rPr>
        <w:t>(creatine)</w:t>
      </w:r>
      <w:r>
        <w:rPr>
          <w:rFonts w:ascii="Times New Roman" w:eastAsia="宋体" w:hAnsi="Times New Roman" w:cs="Times New Roman"/>
          <w:sz w:val="24"/>
        </w:rPr>
        <w:t xml:space="preserve"> were quantified using high-performance liquid</w:t>
      </w:r>
      <w:r>
        <w:rPr>
          <w:rFonts w:ascii="Times New Roman" w:eastAsia="宋体" w:hAnsi="Times New Roman" w:cs="Times New Roman" w:hint="eastAsia"/>
          <w:sz w:val="24"/>
        </w:rPr>
        <w:t xml:space="preserve"> </w:t>
      </w:r>
      <w:r>
        <w:rPr>
          <w:rFonts w:ascii="Times New Roman" w:eastAsia="宋体" w:hAnsi="Times New Roman" w:cs="Times New Roman"/>
          <w:sz w:val="24"/>
        </w:rPr>
        <w:t>chromatography-tandem mass spectrometry (HPLC-MS/MS) on Ultimate3000 (</w:t>
      </w:r>
      <w:proofErr w:type="spellStart"/>
      <w:r>
        <w:rPr>
          <w:rFonts w:ascii="Times New Roman" w:eastAsia="宋体" w:hAnsi="Times New Roman" w:cs="Times New Roman"/>
          <w:sz w:val="24"/>
        </w:rPr>
        <w:t>Dionex</w:t>
      </w:r>
      <w:proofErr w:type="spellEnd"/>
      <w:r>
        <w:rPr>
          <w:rFonts w:ascii="Times New Roman" w:eastAsia="宋体" w:hAnsi="Times New Roman" w:cs="Times New Roman"/>
          <w:sz w:val="24"/>
        </w:rPr>
        <w:t>, Sunnyvale</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USA)-API </w:t>
      </w:r>
      <w:r>
        <w:rPr>
          <w:rFonts w:ascii="Times New Roman" w:eastAsia="宋体" w:hAnsi="Times New Roman" w:cs="Times New Roman" w:hint="eastAsia"/>
          <w:sz w:val="24"/>
        </w:rPr>
        <w:t>4000</w:t>
      </w:r>
      <w:r>
        <w:rPr>
          <w:rFonts w:ascii="Times New Roman" w:eastAsia="宋体" w:hAnsi="Times New Roman" w:cs="Times New Roman"/>
          <w:sz w:val="24"/>
        </w:rPr>
        <w:t xml:space="preserve">Q TRAP (AB </w:t>
      </w:r>
      <w:proofErr w:type="spellStart"/>
      <w:r>
        <w:rPr>
          <w:rFonts w:ascii="Times New Roman" w:eastAsia="宋体" w:hAnsi="Times New Roman" w:cs="Times New Roman"/>
          <w:sz w:val="24"/>
        </w:rPr>
        <w:t>Sciex</w:t>
      </w:r>
      <w:proofErr w:type="spellEnd"/>
      <w:r>
        <w:rPr>
          <w:rFonts w:ascii="Times New Roman" w:eastAsia="宋体" w:hAnsi="Times New Roman" w:cs="Times New Roman"/>
          <w:sz w:val="24"/>
        </w:rPr>
        <w:t>, Framingham, MA, USA) by the Beijing Mass Spectrometry</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Medical Research Co. (Beijing, China). </w:t>
      </w:r>
      <w:r>
        <w:rPr>
          <w:rFonts w:ascii="Times New Roman" w:eastAsia="宋体" w:hAnsi="Times New Roman" w:cs="Times New Roman" w:hint="eastAsia"/>
          <w:sz w:val="24"/>
        </w:rPr>
        <w:t>O</w:t>
      </w:r>
      <w:r>
        <w:rPr>
          <w:rFonts w:ascii="Times New Roman" w:eastAsia="宋体" w:hAnsi="Times New Roman" w:cs="Times New Roman"/>
          <w:sz w:val="24"/>
        </w:rPr>
        <w:t>ne hundred fifty</w:t>
      </w:r>
      <w:r>
        <w:rPr>
          <w:rFonts w:ascii="Times New Roman" w:eastAsia="宋体" w:hAnsi="Times New Roman" w:cs="Times New Roman" w:hint="eastAsia"/>
          <w:sz w:val="24"/>
        </w:rPr>
        <w:t xml:space="preserve"> </w:t>
      </w:r>
      <w:proofErr w:type="spellStart"/>
      <w:r>
        <w:rPr>
          <w:rFonts w:ascii="Times New Roman" w:eastAsia="宋体" w:hAnsi="Times New Roman" w:cs="Times New Roman"/>
          <w:sz w:val="24"/>
        </w:rPr>
        <w:t>μl</w:t>
      </w:r>
      <w:proofErr w:type="spellEnd"/>
      <w:r>
        <w:rPr>
          <w:rFonts w:ascii="Times New Roman" w:eastAsia="宋体" w:hAnsi="Times New Roman" w:cs="Times New Roman"/>
          <w:sz w:val="24"/>
        </w:rPr>
        <w:t xml:space="preserve"> of protein precipitant (containing </w:t>
      </w:r>
      <w:r>
        <w:rPr>
          <w:rFonts w:ascii="Times New Roman" w:eastAsia="宋体" w:hAnsi="Times New Roman" w:cs="Times New Roman" w:hint="eastAsia"/>
          <w:sz w:val="24"/>
        </w:rPr>
        <w:t>m</w:t>
      </w:r>
      <w:r>
        <w:rPr>
          <w:rFonts w:ascii="Times New Roman" w:eastAsia="宋体" w:hAnsi="Times New Roman" w:cs="Times New Roman"/>
          <w:sz w:val="24"/>
        </w:rPr>
        <w:t xml:space="preserve">elatonin) was added to 50 </w:t>
      </w:r>
      <w:proofErr w:type="spellStart"/>
      <w:r>
        <w:rPr>
          <w:rFonts w:ascii="Times New Roman" w:eastAsia="宋体" w:hAnsi="Times New Roman" w:cs="Times New Roman"/>
          <w:sz w:val="24"/>
        </w:rPr>
        <w:t>μl</w:t>
      </w:r>
      <w:proofErr w:type="spellEnd"/>
      <w:r>
        <w:rPr>
          <w:rFonts w:ascii="Times New Roman" w:eastAsia="宋体" w:hAnsi="Times New Roman" w:cs="Times New Roman"/>
          <w:sz w:val="24"/>
        </w:rPr>
        <w:t xml:space="preserve"> of serum solution of each sample, mixed thoroughly, and centrifuged at 13200 rpm for 4 min</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and </w:t>
      </w:r>
      <w:r>
        <w:rPr>
          <w:rFonts w:ascii="Times New Roman" w:eastAsia="宋体" w:hAnsi="Times New Roman" w:cs="Times New Roman" w:hint="eastAsia"/>
          <w:sz w:val="24"/>
        </w:rPr>
        <w:t>supernatant</w:t>
      </w:r>
      <w:r>
        <w:rPr>
          <w:rFonts w:ascii="Times New Roman" w:eastAsia="宋体" w:hAnsi="Times New Roman" w:cs="Times New Roman"/>
          <w:sz w:val="24"/>
        </w:rPr>
        <w:t xml:space="preserve"> kept for further analyses</w:t>
      </w:r>
      <w:r>
        <w:rPr>
          <w:rFonts w:ascii="Times New Roman" w:eastAsia="宋体" w:hAnsi="Times New Roman" w:cs="Times New Roman" w:hint="eastAsia"/>
          <w:sz w:val="24"/>
        </w:rPr>
        <w:t xml:space="preserve">. Five </w:t>
      </w:r>
      <w:proofErr w:type="spellStart"/>
      <w:r>
        <w:rPr>
          <w:rFonts w:ascii="Times New Roman" w:eastAsia="宋体" w:hAnsi="Times New Roman" w:cs="Times New Roman"/>
          <w:sz w:val="24"/>
        </w:rPr>
        <w:t>μ</w:t>
      </w:r>
      <w:r>
        <w:rPr>
          <w:rFonts w:ascii="Times New Roman" w:eastAsia="宋体" w:hAnsi="Times New Roman" w:cs="Times New Roman" w:hint="eastAsia"/>
          <w:sz w:val="24"/>
        </w:rPr>
        <w:t>l</w:t>
      </w:r>
      <w:proofErr w:type="spellEnd"/>
      <w:r>
        <w:rPr>
          <w:rFonts w:ascii="Times New Roman" w:eastAsia="宋体" w:hAnsi="Times New Roman" w:cs="Times New Roman" w:hint="eastAsia"/>
          <w:sz w:val="24"/>
        </w:rPr>
        <w:t xml:space="preserve"> of the solution was </w:t>
      </w:r>
      <w:proofErr w:type="spellStart"/>
      <w:r>
        <w:rPr>
          <w:rFonts w:ascii="Times New Roman" w:eastAsia="宋体" w:hAnsi="Times New Roman" w:cs="Times New Roman" w:hint="eastAsia"/>
          <w:sz w:val="24"/>
        </w:rPr>
        <w:t>analysed</w:t>
      </w:r>
      <w:proofErr w:type="spellEnd"/>
      <w:r>
        <w:rPr>
          <w:rFonts w:ascii="Times New Roman" w:eastAsia="宋体" w:hAnsi="Times New Roman" w:cs="Times New Roman" w:hint="eastAsia"/>
          <w:sz w:val="24"/>
        </w:rPr>
        <w:t xml:space="preserve"> by the HPLC-MS/MS system</w:t>
      </w:r>
      <w:r>
        <w:rPr>
          <w:rFonts w:ascii="Times New Roman" w:eastAsia="宋体" w:hAnsi="Times New Roman" w:cs="Times New Roman"/>
          <w:sz w:val="24"/>
        </w:rPr>
        <w:t>. C</w:t>
      </w:r>
      <w:r>
        <w:rPr>
          <w:rFonts w:ascii="Times New Roman" w:eastAsia="宋体" w:hAnsi="Times New Roman" w:cs="Times New Roman" w:hint="eastAsia"/>
          <w:sz w:val="24"/>
        </w:rPr>
        <w:t>hromatographic separations were performed on an Sapphire-C18 column (100</w:t>
      </w:r>
      <w:r>
        <w:rPr>
          <w:rFonts w:ascii="Times New Roman" w:eastAsia="宋体" w:hAnsi="Times New Roman" w:cs="Times New Roman" w:hint="eastAsia"/>
          <w:sz w:val="24"/>
        </w:rPr>
        <w:t>×</w:t>
      </w:r>
      <w:r>
        <w:rPr>
          <w:rFonts w:ascii="Times New Roman" w:eastAsia="宋体" w:hAnsi="Times New Roman" w:cs="Times New Roman" w:hint="eastAsia"/>
          <w:sz w:val="24"/>
        </w:rPr>
        <w:t>4.6 mm, 5</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μ</w:t>
      </w:r>
      <w:r>
        <w:rPr>
          <w:rFonts w:ascii="Times New Roman" w:eastAsia="宋体" w:hAnsi="Times New Roman" w:cs="Times New Roman" w:hint="eastAsia"/>
          <w:sz w:val="24"/>
        </w:rPr>
        <w:t>m</w:t>
      </w:r>
      <w:proofErr w:type="spellEnd"/>
      <w:r>
        <w:rPr>
          <w:rFonts w:ascii="Times New Roman" w:eastAsia="宋体" w:hAnsi="Times New Roman" w:cs="Times New Roman" w:hint="eastAsia"/>
          <w:sz w:val="24"/>
        </w:rPr>
        <w:t>). The mobile phase A was 1% formic acid in water (v/v), and the organic mobile phase B was 1% acetonitrile (v/v). The solvent was delivered to the column at a flow rate of 1 mL min</w:t>
      </w:r>
      <w:r>
        <w:rPr>
          <w:rFonts w:ascii="Times New Roman" w:eastAsia="宋体" w:hAnsi="Times New Roman" w:cs="Times New Roman" w:hint="eastAsia"/>
          <w:sz w:val="24"/>
          <w:vertAlign w:val="superscript"/>
        </w:rPr>
        <w:t>-1</w:t>
      </w:r>
      <w:r>
        <w:rPr>
          <w:rFonts w:ascii="Times New Roman" w:eastAsia="宋体" w:hAnsi="Times New Roman" w:cs="Times New Roman" w:hint="eastAsia"/>
          <w:sz w:val="24"/>
        </w:rPr>
        <w:t>, and retention times are shown in Table 1. The conditions for mass spectrometry detection, optimized to obtain the highest signal intensity, were as follows</w:t>
      </w:r>
      <w:r>
        <w:rPr>
          <w:rFonts w:ascii="Times New Roman" w:eastAsia="宋体" w:hAnsi="Times New Roman" w:cs="Times New Roman"/>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i</w:t>
      </w:r>
      <w:r>
        <w:rPr>
          <w:rFonts w:ascii="Times New Roman" w:eastAsia="宋体" w:hAnsi="Times New Roman" w:cs="Times New Roman" w:hint="eastAsia"/>
          <w:sz w:val="24"/>
        </w:rPr>
        <w:t>on source</w:t>
      </w:r>
      <w:r>
        <w:rPr>
          <w:rFonts w:ascii="Times New Roman" w:eastAsia="宋体" w:hAnsi="Times New Roman" w:cs="Times New Roman"/>
          <w:sz w:val="24"/>
        </w:rPr>
        <w:t xml:space="preserve"> =</w:t>
      </w:r>
      <w:r>
        <w:rPr>
          <w:rFonts w:ascii="Times New Roman" w:eastAsia="宋体" w:hAnsi="Times New Roman" w:cs="Times New Roman" w:hint="eastAsia"/>
          <w:sz w:val="24"/>
        </w:rPr>
        <w:t xml:space="preserve"> +ESI electrospray ion source; ion spray voltage</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4800 V; nebulizer gas pressure</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55 psi; curtain gas pressure</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60 psi; collision gas pressure</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medium; turbo gas temperature</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500</w:t>
      </w:r>
      <w:r>
        <w:rPr>
          <w:rFonts w:ascii="Times New Roman" w:eastAsia="宋体" w:hAnsi="Times New Roman" w:cs="Times New Roman"/>
          <w:sz w:val="24"/>
        </w:rPr>
        <w:t>℃</w:t>
      </w:r>
      <w:r>
        <w:rPr>
          <w:rFonts w:ascii="Times New Roman" w:eastAsia="宋体" w:hAnsi="Times New Roman" w:cs="Times New Roman" w:hint="eastAsia"/>
          <w:sz w:val="24"/>
        </w:rPr>
        <w:t>; entrance potential</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10V; collision cell exit potential</w:t>
      </w:r>
      <w:r>
        <w:rPr>
          <w:rFonts w:ascii="Times New Roman" w:eastAsia="宋体" w:hAnsi="Times New Roman" w:cs="Times New Roman"/>
          <w:sz w:val="24"/>
        </w:rPr>
        <w:t xml:space="preserve"> </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2V. Nitrogen gas was used as the collision gas in the multiple reaction monitoring mode (Table 2). Calibration solution was used for calibration of the system and quantification of metabolites (Tables 2). The data were processed using Analyst software version 1.5.1 (Applied Biosystems).</w:t>
      </w:r>
    </w:p>
    <w:p w14:paraId="76D5FE87" w14:textId="77777777" w:rsidR="00C04266" w:rsidRDefault="00C04266">
      <w:pPr>
        <w:rPr>
          <w:rFonts w:ascii="Times New Roman" w:eastAsia="宋体" w:hAnsi="Times New Roman" w:cs="Times New Roman"/>
          <w:sz w:val="24"/>
        </w:rPr>
      </w:pPr>
    </w:p>
    <w:p w14:paraId="0A92799B" w14:textId="77777777" w:rsidR="00C04266" w:rsidRDefault="00000000">
      <w:pPr>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Table 1 Flow retention time and gradient (v/v) of chromatographic separations</w:t>
      </w:r>
    </w:p>
    <w:tbl>
      <w:tblPr>
        <w:tblStyle w:val="ad"/>
        <w:tblW w:w="891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411"/>
        <w:gridCol w:w="717"/>
        <w:gridCol w:w="803"/>
        <w:gridCol w:w="802"/>
        <w:gridCol w:w="802"/>
        <w:gridCol w:w="802"/>
        <w:gridCol w:w="802"/>
        <w:gridCol w:w="802"/>
        <w:gridCol w:w="974"/>
      </w:tblGrid>
      <w:tr w:rsidR="00C04266" w14:paraId="5CE4B119" w14:textId="77777777">
        <w:trPr>
          <w:trHeight w:val="1531"/>
          <w:jc w:val="center"/>
        </w:trPr>
        <w:tc>
          <w:tcPr>
            <w:tcW w:w="0" w:type="auto"/>
            <w:tcBorders>
              <w:tl2br w:val="nil"/>
              <w:tr2bl w:val="nil"/>
            </w:tcBorders>
            <w:vAlign w:val="center"/>
          </w:tcPr>
          <w:p w14:paraId="304FECD3"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lastRenderedPageBreak/>
              <w:t>Retention time</w:t>
            </w:r>
          </w:p>
          <w:p w14:paraId="053D395E"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(min)</w:t>
            </w:r>
          </w:p>
        </w:tc>
        <w:tc>
          <w:tcPr>
            <w:tcW w:w="0" w:type="auto"/>
            <w:tcBorders>
              <w:tl2br w:val="nil"/>
              <w:tr2bl w:val="nil"/>
            </w:tcBorders>
            <w:vAlign w:val="center"/>
          </w:tcPr>
          <w:p w14:paraId="18CE6F0B"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0</w:t>
            </w:r>
          </w:p>
        </w:tc>
        <w:tc>
          <w:tcPr>
            <w:tcW w:w="0" w:type="auto"/>
            <w:tcBorders>
              <w:tl2br w:val="nil"/>
              <w:tr2bl w:val="nil"/>
            </w:tcBorders>
            <w:vAlign w:val="center"/>
          </w:tcPr>
          <w:p w14:paraId="4286ACB2"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1.4</w:t>
            </w:r>
          </w:p>
        </w:tc>
        <w:tc>
          <w:tcPr>
            <w:tcW w:w="0" w:type="auto"/>
            <w:tcBorders>
              <w:tl2br w:val="nil"/>
              <w:tr2bl w:val="nil"/>
            </w:tcBorders>
            <w:vAlign w:val="center"/>
          </w:tcPr>
          <w:p w14:paraId="439C0F3E"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1.5</w:t>
            </w:r>
          </w:p>
        </w:tc>
        <w:tc>
          <w:tcPr>
            <w:tcW w:w="0" w:type="auto"/>
            <w:tcBorders>
              <w:tl2br w:val="nil"/>
              <w:tr2bl w:val="nil"/>
            </w:tcBorders>
            <w:vAlign w:val="center"/>
          </w:tcPr>
          <w:p w14:paraId="55018A8C"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3.4</w:t>
            </w:r>
          </w:p>
        </w:tc>
        <w:tc>
          <w:tcPr>
            <w:tcW w:w="0" w:type="auto"/>
            <w:tcBorders>
              <w:tl2br w:val="nil"/>
              <w:tr2bl w:val="nil"/>
            </w:tcBorders>
            <w:vAlign w:val="center"/>
          </w:tcPr>
          <w:p w14:paraId="372D1293"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3.5</w:t>
            </w:r>
          </w:p>
        </w:tc>
        <w:tc>
          <w:tcPr>
            <w:tcW w:w="0" w:type="auto"/>
            <w:tcBorders>
              <w:tl2br w:val="nil"/>
              <w:tr2bl w:val="nil"/>
            </w:tcBorders>
            <w:vAlign w:val="center"/>
          </w:tcPr>
          <w:p w14:paraId="572E5297"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5.9</w:t>
            </w:r>
          </w:p>
        </w:tc>
        <w:tc>
          <w:tcPr>
            <w:tcW w:w="0" w:type="auto"/>
            <w:tcBorders>
              <w:tl2br w:val="nil"/>
              <w:tr2bl w:val="nil"/>
            </w:tcBorders>
            <w:vAlign w:val="center"/>
          </w:tcPr>
          <w:p w14:paraId="272345BF"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6.0</w:t>
            </w:r>
          </w:p>
        </w:tc>
        <w:tc>
          <w:tcPr>
            <w:tcW w:w="0" w:type="auto"/>
            <w:tcBorders>
              <w:tl2br w:val="nil"/>
              <w:tr2bl w:val="nil"/>
            </w:tcBorders>
            <w:vAlign w:val="center"/>
          </w:tcPr>
          <w:p w14:paraId="0F377087"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10.0</w:t>
            </w:r>
          </w:p>
        </w:tc>
      </w:tr>
      <w:tr w:rsidR="00C04266" w14:paraId="2496C7EA" w14:textId="77777777">
        <w:trPr>
          <w:trHeight w:val="531"/>
          <w:jc w:val="center"/>
        </w:trPr>
        <w:tc>
          <w:tcPr>
            <w:tcW w:w="0" w:type="auto"/>
            <w:tcBorders>
              <w:bottom w:val="nil"/>
              <w:tl2br w:val="nil"/>
              <w:tr2bl w:val="nil"/>
            </w:tcBorders>
            <w:vAlign w:val="center"/>
          </w:tcPr>
          <w:p w14:paraId="4C6B05EA"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 xml:space="preserve">A </w:t>
            </w:r>
            <w:r>
              <w:rPr>
                <w:rFonts w:ascii="Times New Roman" w:eastAsia="等线" w:hAnsi="Times New Roman" w:cs="Times New Roman" w:hint="eastAsia"/>
                <w:color w:val="000000"/>
                <w:kern w:val="0"/>
                <w:sz w:val="20"/>
                <w:szCs w:val="20"/>
                <w:lang w:eastAsia="en-US"/>
              </w:rPr>
              <w:t>(</w:t>
            </w:r>
            <w:r>
              <w:rPr>
                <w:rFonts w:ascii="Times New Roman" w:eastAsia="等线" w:hAnsi="Times New Roman" w:cs="Times New Roman"/>
                <w:color w:val="000000"/>
                <w:kern w:val="0"/>
                <w:sz w:val="20"/>
                <w:szCs w:val="20"/>
                <w:lang w:eastAsia="en-US"/>
              </w:rPr>
              <w:t>%</w:t>
            </w:r>
            <w:r>
              <w:rPr>
                <w:rFonts w:ascii="Times New Roman" w:eastAsia="等线" w:hAnsi="Times New Roman" w:cs="Times New Roman" w:hint="eastAsia"/>
                <w:color w:val="000000"/>
                <w:kern w:val="0"/>
                <w:sz w:val="20"/>
                <w:szCs w:val="20"/>
                <w:lang w:eastAsia="en-US"/>
              </w:rPr>
              <w:t>)</w:t>
            </w:r>
          </w:p>
        </w:tc>
        <w:tc>
          <w:tcPr>
            <w:tcW w:w="0" w:type="auto"/>
            <w:tcBorders>
              <w:bottom w:val="nil"/>
              <w:tl2br w:val="nil"/>
              <w:tr2bl w:val="nil"/>
            </w:tcBorders>
            <w:vAlign w:val="center"/>
          </w:tcPr>
          <w:p w14:paraId="40CEC92F"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90</w:t>
            </w:r>
          </w:p>
        </w:tc>
        <w:tc>
          <w:tcPr>
            <w:tcW w:w="0" w:type="auto"/>
            <w:tcBorders>
              <w:bottom w:val="nil"/>
              <w:tl2br w:val="nil"/>
              <w:tr2bl w:val="nil"/>
            </w:tcBorders>
            <w:vAlign w:val="center"/>
          </w:tcPr>
          <w:p w14:paraId="5808EE7C"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90</w:t>
            </w:r>
          </w:p>
        </w:tc>
        <w:tc>
          <w:tcPr>
            <w:tcW w:w="0" w:type="auto"/>
            <w:tcBorders>
              <w:bottom w:val="nil"/>
              <w:tl2br w:val="nil"/>
              <w:tr2bl w:val="nil"/>
            </w:tcBorders>
            <w:vAlign w:val="center"/>
          </w:tcPr>
          <w:p w14:paraId="69B1DFCA"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40</w:t>
            </w:r>
          </w:p>
        </w:tc>
        <w:tc>
          <w:tcPr>
            <w:tcW w:w="0" w:type="auto"/>
            <w:tcBorders>
              <w:bottom w:val="nil"/>
              <w:tl2br w:val="nil"/>
              <w:tr2bl w:val="nil"/>
            </w:tcBorders>
            <w:vAlign w:val="center"/>
          </w:tcPr>
          <w:p w14:paraId="67E332EE"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40</w:t>
            </w:r>
          </w:p>
        </w:tc>
        <w:tc>
          <w:tcPr>
            <w:tcW w:w="0" w:type="auto"/>
            <w:tcBorders>
              <w:bottom w:val="nil"/>
              <w:tl2br w:val="nil"/>
              <w:tr2bl w:val="nil"/>
            </w:tcBorders>
            <w:vAlign w:val="center"/>
          </w:tcPr>
          <w:p w14:paraId="1225B98B"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5</w:t>
            </w:r>
          </w:p>
        </w:tc>
        <w:tc>
          <w:tcPr>
            <w:tcW w:w="0" w:type="auto"/>
            <w:tcBorders>
              <w:bottom w:val="nil"/>
              <w:tl2br w:val="nil"/>
              <w:tr2bl w:val="nil"/>
            </w:tcBorders>
            <w:vAlign w:val="center"/>
          </w:tcPr>
          <w:p w14:paraId="4C4BBE3F"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5</w:t>
            </w:r>
          </w:p>
        </w:tc>
        <w:tc>
          <w:tcPr>
            <w:tcW w:w="0" w:type="auto"/>
            <w:tcBorders>
              <w:bottom w:val="nil"/>
              <w:tl2br w:val="nil"/>
              <w:tr2bl w:val="nil"/>
            </w:tcBorders>
            <w:vAlign w:val="center"/>
          </w:tcPr>
          <w:p w14:paraId="10CE4BEF"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90</w:t>
            </w:r>
          </w:p>
        </w:tc>
        <w:tc>
          <w:tcPr>
            <w:tcW w:w="0" w:type="auto"/>
            <w:tcBorders>
              <w:bottom w:val="nil"/>
              <w:tl2br w:val="nil"/>
              <w:tr2bl w:val="nil"/>
            </w:tcBorders>
            <w:vAlign w:val="center"/>
          </w:tcPr>
          <w:p w14:paraId="5543C985"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90</w:t>
            </w:r>
          </w:p>
        </w:tc>
      </w:tr>
      <w:tr w:rsidR="00C04266" w14:paraId="7B5654B7" w14:textId="77777777">
        <w:trPr>
          <w:trHeight w:val="531"/>
          <w:jc w:val="center"/>
        </w:trPr>
        <w:tc>
          <w:tcPr>
            <w:tcW w:w="0" w:type="auto"/>
            <w:tcBorders>
              <w:top w:val="nil"/>
            </w:tcBorders>
            <w:vAlign w:val="center"/>
          </w:tcPr>
          <w:p w14:paraId="47801241"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 xml:space="preserve">B </w:t>
            </w:r>
            <w:r>
              <w:rPr>
                <w:rFonts w:ascii="Times New Roman" w:eastAsia="等线" w:hAnsi="Times New Roman" w:cs="Times New Roman" w:hint="eastAsia"/>
                <w:color w:val="000000"/>
                <w:kern w:val="0"/>
                <w:sz w:val="20"/>
                <w:szCs w:val="20"/>
                <w:lang w:eastAsia="en-US"/>
              </w:rPr>
              <w:t>(</w:t>
            </w:r>
            <w:r>
              <w:rPr>
                <w:rFonts w:ascii="Times New Roman" w:eastAsia="等线" w:hAnsi="Times New Roman" w:cs="Times New Roman"/>
                <w:color w:val="000000"/>
                <w:kern w:val="0"/>
                <w:sz w:val="20"/>
                <w:szCs w:val="20"/>
                <w:lang w:eastAsia="en-US"/>
              </w:rPr>
              <w:t>%</w:t>
            </w:r>
            <w:r>
              <w:rPr>
                <w:rFonts w:ascii="Times New Roman" w:eastAsia="等线" w:hAnsi="Times New Roman" w:cs="Times New Roman" w:hint="eastAsia"/>
                <w:color w:val="000000"/>
                <w:kern w:val="0"/>
                <w:sz w:val="20"/>
                <w:szCs w:val="20"/>
                <w:lang w:eastAsia="en-US"/>
              </w:rPr>
              <w:t>)</w:t>
            </w:r>
          </w:p>
        </w:tc>
        <w:tc>
          <w:tcPr>
            <w:tcW w:w="0" w:type="auto"/>
            <w:tcBorders>
              <w:top w:val="nil"/>
            </w:tcBorders>
            <w:vAlign w:val="center"/>
          </w:tcPr>
          <w:p w14:paraId="174934F0"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10</w:t>
            </w:r>
          </w:p>
        </w:tc>
        <w:tc>
          <w:tcPr>
            <w:tcW w:w="0" w:type="auto"/>
            <w:tcBorders>
              <w:top w:val="nil"/>
            </w:tcBorders>
            <w:vAlign w:val="center"/>
          </w:tcPr>
          <w:p w14:paraId="6E808F2F"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10</w:t>
            </w:r>
          </w:p>
        </w:tc>
        <w:tc>
          <w:tcPr>
            <w:tcW w:w="0" w:type="auto"/>
            <w:tcBorders>
              <w:top w:val="nil"/>
            </w:tcBorders>
            <w:vAlign w:val="center"/>
          </w:tcPr>
          <w:p w14:paraId="55020086"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60</w:t>
            </w:r>
          </w:p>
        </w:tc>
        <w:tc>
          <w:tcPr>
            <w:tcW w:w="0" w:type="auto"/>
            <w:tcBorders>
              <w:top w:val="nil"/>
            </w:tcBorders>
            <w:vAlign w:val="center"/>
          </w:tcPr>
          <w:p w14:paraId="48DAF7A9"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60</w:t>
            </w:r>
          </w:p>
        </w:tc>
        <w:tc>
          <w:tcPr>
            <w:tcW w:w="0" w:type="auto"/>
            <w:tcBorders>
              <w:top w:val="nil"/>
            </w:tcBorders>
            <w:vAlign w:val="center"/>
          </w:tcPr>
          <w:p w14:paraId="135BE637"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95</w:t>
            </w:r>
          </w:p>
        </w:tc>
        <w:tc>
          <w:tcPr>
            <w:tcW w:w="0" w:type="auto"/>
            <w:tcBorders>
              <w:top w:val="nil"/>
            </w:tcBorders>
            <w:vAlign w:val="center"/>
          </w:tcPr>
          <w:p w14:paraId="479B7AF6"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95</w:t>
            </w:r>
          </w:p>
        </w:tc>
        <w:tc>
          <w:tcPr>
            <w:tcW w:w="0" w:type="auto"/>
            <w:tcBorders>
              <w:top w:val="nil"/>
            </w:tcBorders>
            <w:vAlign w:val="center"/>
          </w:tcPr>
          <w:p w14:paraId="32C904F0"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10</w:t>
            </w:r>
          </w:p>
        </w:tc>
        <w:tc>
          <w:tcPr>
            <w:tcW w:w="0" w:type="auto"/>
            <w:tcBorders>
              <w:top w:val="nil"/>
            </w:tcBorders>
            <w:vAlign w:val="center"/>
          </w:tcPr>
          <w:p w14:paraId="64CF2F4C" w14:textId="77777777" w:rsidR="00C04266" w:rsidRDefault="00000000">
            <w:pPr>
              <w:tabs>
                <w:tab w:val="left" w:pos="6600"/>
              </w:tabs>
              <w:spacing w:line="360" w:lineRule="auto"/>
              <w:jc w:val="center"/>
              <w:rPr>
                <w:rFonts w:ascii="Times New Roman" w:eastAsia="等线" w:hAnsi="Times New Roman" w:cs="Times New Roman"/>
                <w:color w:val="000000"/>
                <w:kern w:val="0"/>
                <w:sz w:val="20"/>
                <w:szCs w:val="20"/>
                <w:lang w:eastAsia="en-US"/>
              </w:rPr>
            </w:pPr>
            <w:r>
              <w:rPr>
                <w:rFonts w:ascii="Times New Roman" w:eastAsia="等线" w:hAnsi="Times New Roman" w:cs="Times New Roman"/>
                <w:color w:val="000000"/>
                <w:kern w:val="0"/>
                <w:sz w:val="20"/>
                <w:szCs w:val="20"/>
                <w:lang w:eastAsia="en-US"/>
              </w:rPr>
              <w:t>10</w:t>
            </w:r>
          </w:p>
        </w:tc>
      </w:tr>
    </w:tbl>
    <w:p w14:paraId="39FCF614" w14:textId="77777777" w:rsidR="00C04266" w:rsidRDefault="00C04266">
      <w:pPr>
        <w:spacing w:line="480" w:lineRule="auto"/>
        <w:jc w:val="center"/>
        <w:rPr>
          <w:rFonts w:ascii="Times New Roman" w:eastAsia="宋体" w:hAnsi="Times New Roman" w:cs="Times New Roman"/>
          <w:b/>
          <w:bCs/>
          <w:szCs w:val="21"/>
        </w:rPr>
      </w:pPr>
    </w:p>
    <w:p w14:paraId="38793203" w14:textId="77777777" w:rsidR="00C04266" w:rsidRDefault="00000000">
      <w:pPr>
        <w:spacing w:line="480" w:lineRule="auto"/>
        <w:jc w:val="center"/>
        <w:rPr>
          <w:rFonts w:ascii="Times New Roman" w:eastAsia="宋体" w:hAnsi="Times New Roman" w:cs="Times New Roman"/>
          <w:b/>
          <w:bCs/>
          <w:sz w:val="24"/>
        </w:rPr>
      </w:pPr>
      <w:r>
        <w:rPr>
          <w:rFonts w:ascii="Times New Roman" w:eastAsia="宋体" w:hAnsi="Times New Roman" w:cs="Times New Roman"/>
          <w:b/>
          <w:bCs/>
          <w:sz w:val="24"/>
        </w:rPr>
        <w:t>Table 2 Parameters of the multiple reaction monitoring (MRM) mode</w:t>
      </w:r>
    </w:p>
    <w:tbl>
      <w:tblPr>
        <w:tblStyle w:val="ad"/>
        <w:tblW w:w="925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690"/>
        <w:gridCol w:w="1814"/>
        <w:gridCol w:w="1385"/>
        <w:gridCol w:w="888"/>
        <w:gridCol w:w="3480"/>
      </w:tblGrid>
      <w:tr w:rsidR="00C04266" w14:paraId="79742465" w14:textId="77777777">
        <w:trPr>
          <w:trHeight w:val="1120"/>
          <w:jc w:val="center"/>
        </w:trPr>
        <w:tc>
          <w:tcPr>
            <w:tcW w:w="0" w:type="auto"/>
            <w:tcBorders>
              <w:tl2br w:val="nil"/>
              <w:tr2bl w:val="nil"/>
            </w:tcBorders>
            <w:vAlign w:val="center"/>
          </w:tcPr>
          <w:p w14:paraId="1C806147" w14:textId="77777777" w:rsidR="00C04266" w:rsidRDefault="00000000">
            <w:pPr>
              <w:jc w:val="center"/>
              <w:rPr>
                <w:rFonts w:ascii="Times New Roman" w:eastAsia="Times New Roman" w:hAnsi="Times New Roman" w:cs="Times New Roman"/>
                <w:kern w:val="0"/>
                <w:sz w:val="20"/>
                <w:szCs w:val="20"/>
                <w:lang w:eastAsia="en-US"/>
              </w:rPr>
            </w:pPr>
            <w:r>
              <w:rPr>
                <w:rFonts w:ascii="Times New Roman" w:eastAsia="宋体" w:hAnsi="Times New Roman" w:cs="Times New Roman"/>
                <w:kern w:val="0"/>
                <w:sz w:val="20"/>
                <w:szCs w:val="20"/>
                <w:lang w:eastAsia="en-US"/>
              </w:rPr>
              <w:t>Chemical Name</w:t>
            </w:r>
          </w:p>
        </w:tc>
        <w:tc>
          <w:tcPr>
            <w:tcW w:w="0" w:type="auto"/>
            <w:tcBorders>
              <w:tl2br w:val="nil"/>
              <w:tr2bl w:val="nil"/>
            </w:tcBorders>
            <w:vAlign w:val="center"/>
          </w:tcPr>
          <w:p w14:paraId="04209F83"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MRM</w:t>
            </w:r>
            <w:r>
              <w:rPr>
                <w:rFonts w:ascii="Times New Roman" w:hAnsi="Times New Roman" w:cs="Times New Roman" w:hint="eastAsia"/>
                <w:kern w:val="0"/>
                <w:sz w:val="20"/>
                <w:szCs w:val="20"/>
                <w:lang w:eastAsia="en-US"/>
              </w:rPr>
              <w:t xml:space="preserve"> (precursor</w:t>
            </w:r>
          </w:p>
          <w:p w14:paraId="72941956"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hint="eastAsia"/>
                <w:kern w:val="0"/>
                <w:sz w:val="20"/>
                <w:szCs w:val="20"/>
                <w:lang w:eastAsia="en-US"/>
              </w:rPr>
              <w:t>ion/fragment ion)</w:t>
            </w:r>
          </w:p>
        </w:tc>
        <w:tc>
          <w:tcPr>
            <w:tcW w:w="0" w:type="auto"/>
            <w:tcBorders>
              <w:tl2br w:val="nil"/>
              <w:tr2bl w:val="nil"/>
            </w:tcBorders>
            <w:vAlign w:val="center"/>
          </w:tcPr>
          <w:p w14:paraId="369CF3A6" w14:textId="77777777" w:rsidR="00C04266" w:rsidRDefault="00000000">
            <w:pPr>
              <w:jc w:val="center"/>
              <w:rPr>
                <w:rFonts w:ascii="Times New Roman" w:eastAsia="Times New Roman" w:hAnsi="Times New Roman" w:cs="Times New Roman"/>
                <w:kern w:val="0"/>
                <w:sz w:val="20"/>
                <w:szCs w:val="20"/>
                <w:lang w:eastAsia="en-US"/>
              </w:rPr>
            </w:pPr>
            <w:proofErr w:type="spellStart"/>
            <w:r>
              <w:rPr>
                <w:rFonts w:ascii="Times New Roman" w:eastAsia="Times New Roman" w:hAnsi="Times New Roman" w:cs="Times New Roman"/>
                <w:kern w:val="0"/>
                <w:sz w:val="20"/>
                <w:szCs w:val="20"/>
                <w:lang w:eastAsia="en-US"/>
              </w:rPr>
              <w:t>Declustering</w:t>
            </w:r>
            <w:proofErr w:type="spellEnd"/>
          </w:p>
          <w:p w14:paraId="3E3C0770" w14:textId="77777777" w:rsidR="00C04266" w:rsidRDefault="00000000">
            <w:pPr>
              <w:jc w:val="center"/>
              <w:rPr>
                <w:rFonts w:ascii="Times New Roman" w:eastAsia="Times New Roman" w:hAnsi="Times New Roman" w:cs="Times New Roman"/>
                <w:kern w:val="0"/>
                <w:sz w:val="20"/>
                <w:szCs w:val="20"/>
                <w:lang w:eastAsia="en-US"/>
              </w:rPr>
            </w:pPr>
            <w:r>
              <w:rPr>
                <w:rFonts w:ascii="Times New Roman" w:eastAsia="Times New Roman" w:hAnsi="Times New Roman" w:cs="Times New Roman"/>
                <w:kern w:val="0"/>
                <w:sz w:val="20"/>
                <w:szCs w:val="20"/>
                <w:lang w:eastAsia="en-US"/>
              </w:rPr>
              <w:t>Potential (v)</w:t>
            </w:r>
          </w:p>
        </w:tc>
        <w:tc>
          <w:tcPr>
            <w:tcW w:w="0" w:type="auto"/>
            <w:tcBorders>
              <w:tl2br w:val="nil"/>
              <w:tr2bl w:val="nil"/>
            </w:tcBorders>
            <w:vAlign w:val="center"/>
          </w:tcPr>
          <w:p w14:paraId="1FF62F41"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Impact</w:t>
            </w:r>
          </w:p>
          <w:p w14:paraId="427F82BE"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Energy</w:t>
            </w:r>
          </w:p>
          <w:p w14:paraId="30C77A5B"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(v)</w:t>
            </w:r>
          </w:p>
        </w:tc>
        <w:tc>
          <w:tcPr>
            <w:tcW w:w="0" w:type="auto"/>
            <w:tcBorders>
              <w:tl2br w:val="nil"/>
              <w:tr2bl w:val="nil"/>
            </w:tcBorders>
            <w:vAlign w:val="center"/>
          </w:tcPr>
          <w:p w14:paraId="6FADCBE6"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Origin</w:t>
            </w:r>
            <w:r>
              <w:rPr>
                <w:rFonts w:ascii="Times New Roman" w:hAnsi="Times New Roman" w:cs="Times New Roman" w:hint="eastAsia"/>
                <w:kern w:val="0"/>
                <w:sz w:val="20"/>
                <w:szCs w:val="20"/>
                <w:lang w:eastAsia="en-US"/>
              </w:rPr>
              <w:t xml:space="preserve"> and product number</w:t>
            </w:r>
          </w:p>
        </w:tc>
      </w:tr>
      <w:tr w:rsidR="00C04266" w14:paraId="4F578879" w14:textId="77777777">
        <w:trPr>
          <w:trHeight w:val="394"/>
          <w:jc w:val="center"/>
        </w:trPr>
        <w:tc>
          <w:tcPr>
            <w:tcW w:w="0" w:type="auto"/>
            <w:tcBorders>
              <w:tl2br w:val="nil"/>
              <w:tr2bl w:val="nil"/>
            </w:tcBorders>
            <w:vAlign w:val="center"/>
          </w:tcPr>
          <w:p w14:paraId="77A541FB" w14:textId="77777777" w:rsidR="00C04266" w:rsidRDefault="00000000">
            <w:pPr>
              <w:jc w:val="center"/>
              <w:rPr>
                <w:rFonts w:ascii="Times New Roman" w:eastAsia="Times New Roman" w:hAnsi="Times New Roman" w:cs="Times New Roman"/>
                <w:kern w:val="0"/>
                <w:sz w:val="20"/>
                <w:szCs w:val="20"/>
                <w:lang w:eastAsia="en-US"/>
              </w:rPr>
            </w:pPr>
            <w:proofErr w:type="spellStart"/>
            <w:r>
              <w:rPr>
                <w:rFonts w:ascii="Times New Roman" w:eastAsia="宋体" w:hAnsi="Times New Roman" w:cs="Times New Roman" w:hint="eastAsia"/>
                <w:kern w:val="0"/>
                <w:sz w:val="20"/>
                <w:szCs w:val="20"/>
                <w:lang w:eastAsia="en-US"/>
              </w:rPr>
              <w:t>Creatiine</w:t>
            </w:r>
            <w:proofErr w:type="spellEnd"/>
          </w:p>
        </w:tc>
        <w:tc>
          <w:tcPr>
            <w:tcW w:w="0" w:type="auto"/>
            <w:tcBorders>
              <w:tl2br w:val="nil"/>
              <w:tr2bl w:val="nil"/>
            </w:tcBorders>
            <w:vAlign w:val="center"/>
          </w:tcPr>
          <w:p w14:paraId="19E12DCD"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132.1/90.1</w:t>
            </w:r>
          </w:p>
        </w:tc>
        <w:tc>
          <w:tcPr>
            <w:tcW w:w="0" w:type="auto"/>
            <w:tcBorders>
              <w:tl2br w:val="nil"/>
              <w:tr2bl w:val="nil"/>
            </w:tcBorders>
            <w:vAlign w:val="center"/>
          </w:tcPr>
          <w:p w14:paraId="6EA6CF70"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30</w:t>
            </w:r>
          </w:p>
        </w:tc>
        <w:tc>
          <w:tcPr>
            <w:tcW w:w="0" w:type="auto"/>
            <w:tcBorders>
              <w:tl2br w:val="nil"/>
              <w:tr2bl w:val="nil"/>
            </w:tcBorders>
            <w:vAlign w:val="center"/>
          </w:tcPr>
          <w:p w14:paraId="1070DDD9"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25</w:t>
            </w:r>
          </w:p>
        </w:tc>
        <w:tc>
          <w:tcPr>
            <w:tcW w:w="0" w:type="auto"/>
            <w:tcBorders>
              <w:tl2br w:val="nil"/>
              <w:tr2bl w:val="nil"/>
            </w:tcBorders>
            <w:vAlign w:val="center"/>
          </w:tcPr>
          <w:p w14:paraId="54FB7F82"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Aladdin, Shanghai, China</w:t>
            </w:r>
            <w:r>
              <w:rPr>
                <w:rFonts w:ascii="Times New Roman" w:hAnsi="Times New Roman" w:cs="Times New Roman" w:hint="eastAsia"/>
                <w:kern w:val="0"/>
                <w:sz w:val="20"/>
                <w:szCs w:val="20"/>
                <w:lang w:eastAsia="en-US"/>
              </w:rPr>
              <w:t xml:space="preserve"> 105933</w:t>
            </w:r>
          </w:p>
        </w:tc>
      </w:tr>
      <w:tr w:rsidR="00C04266" w14:paraId="22C75DA0" w14:textId="77777777">
        <w:trPr>
          <w:trHeight w:val="622"/>
          <w:jc w:val="center"/>
        </w:trPr>
        <w:tc>
          <w:tcPr>
            <w:tcW w:w="0" w:type="auto"/>
            <w:tcBorders>
              <w:tl2br w:val="nil"/>
              <w:tr2bl w:val="nil"/>
            </w:tcBorders>
            <w:vAlign w:val="center"/>
          </w:tcPr>
          <w:p w14:paraId="6C1B7986" w14:textId="77777777" w:rsidR="00C04266" w:rsidRDefault="00000000">
            <w:pPr>
              <w:jc w:val="center"/>
              <w:rPr>
                <w:rFonts w:ascii="Times New Roman" w:eastAsia="宋体" w:hAnsi="Times New Roman" w:cs="Times New Roman"/>
                <w:kern w:val="0"/>
                <w:sz w:val="20"/>
                <w:szCs w:val="20"/>
                <w:lang w:eastAsia="en-US"/>
              </w:rPr>
            </w:pPr>
            <w:r>
              <w:rPr>
                <w:rFonts w:ascii="Times New Roman" w:eastAsia="宋体" w:hAnsi="Times New Roman" w:cs="Times New Roman" w:hint="eastAsia"/>
                <w:kern w:val="0"/>
                <w:sz w:val="20"/>
                <w:szCs w:val="20"/>
                <w:lang w:eastAsia="en-US"/>
              </w:rPr>
              <w:t>M</w:t>
            </w:r>
            <w:r>
              <w:rPr>
                <w:rFonts w:ascii="Times New Roman" w:eastAsia="宋体" w:hAnsi="Times New Roman" w:cs="Times New Roman"/>
                <w:kern w:val="0"/>
                <w:sz w:val="20"/>
                <w:szCs w:val="20"/>
                <w:lang w:eastAsia="en-US"/>
              </w:rPr>
              <w:t>elatonin-D4</w:t>
            </w:r>
          </w:p>
        </w:tc>
        <w:tc>
          <w:tcPr>
            <w:tcW w:w="0" w:type="auto"/>
            <w:tcBorders>
              <w:tl2br w:val="nil"/>
              <w:tr2bl w:val="nil"/>
            </w:tcBorders>
            <w:vAlign w:val="center"/>
          </w:tcPr>
          <w:p w14:paraId="7511F546"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237.1/178.1</w:t>
            </w:r>
          </w:p>
        </w:tc>
        <w:tc>
          <w:tcPr>
            <w:tcW w:w="0" w:type="auto"/>
            <w:tcBorders>
              <w:tl2br w:val="nil"/>
              <w:tr2bl w:val="nil"/>
            </w:tcBorders>
            <w:vAlign w:val="center"/>
          </w:tcPr>
          <w:p w14:paraId="4CFB7856"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35</w:t>
            </w:r>
          </w:p>
        </w:tc>
        <w:tc>
          <w:tcPr>
            <w:tcW w:w="0" w:type="auto"/>
            <w:tcBorders>
              <w:tl2br w:val="nil"/>
              <w:tr2bl w:val="nil"/>
            </w:tcBorders>
            <w:vAlign w:val="center"/>
          </w:tcPr>
          <w:p w14:paraId="66446976"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25</w:t>
            </w:r>
          </w:p>
        </w:tc>
        <w:tc>
          <w:tcPr>
            <w:tcW w:w="0" w:type="auto"/>
            <w:tcBorders>
              <w:tl2br w:val="nil"/>
              <w:tr2bl w:val="nil"/>
            </w:tcBorders>
            <w:vAlign w:val="center"/>
          </w:tcPr>
          <w:p w14:paraId="698EB51F" w14:textId="77777777" w:rsidR="00C04266" w:rsidRDefault="00000000">
            <w:pPr>
              <w:jc w:val="center"/>
              <w:rPr>
                <w:rFonts w:ascii="Times New Roman" w:hAnsi="Times New Roman" w:cs="Times New Roman"/>
                <w:kern w:val="0"/>
                <w:sz w:val="20"/>
                <w:szCs w:val="20"/>
                <w:lang w:eastAsia="en-US"/>
              </w:rPr>
            </w:pPr>
            <w:r>
              <w:rPr>
                <w:rFonts w:ascii="Times New Roman" w:hAnsi="Times New Roman" w:cs="Times New Roman"/>
                <w:kern w:val="0"/>
                <w:sz w:val="20"/>
                <w:szCs w:val="20"/>
                <w:lang w:eastAsia="en-US"/>
              </w:rPr>
              <w:t>Aladdin, Shanghai, China</w:t>
            </w:r>
            <w:r>
              <w:rPr>
                <w:rFonts w:ascii="Times New Roman" w:hAnsi="Times New Roman" w:cs="Times New Roman" w:hint="eastAsia"/>
                <w:kern w:val="0"/>
                <w:sz w:val="20"/>
                <w:szCs w:val="20"/>
                <w:lang w:eastAsia="en-US"/>
              </w:rPr>
              <w:t xml:space="preserve"> M304327</w:t>
            </w:r>
          </w:p>
        </w:tc>
      </w:tr>
    </w:tbl>
    <w:p w14:paraId="555F8429" w14:textId="77777777" w:rsidR="00C04266" w:rsidRDefault="00C04266">
      <w:pPr>
        <w:spacing w:line="480" w:lineRule="auto"/>
        <w:jc w:val="center"/>
        <w:rPr>
          <w:rFonts w:ascii="Times New Roman" w:eastAsia="宋体" w:hAnsi="Times New Roman" w:cs="Times New Roman"/>
          <w:b/>
          <w:bCs/>
          <w:szCs w:val="21"/>
        </w:rPr>
      </w:pPr>
    </w:p>
    <w:p w14:paraId="4C5E0C35" w14:textId="77777777" w:rsidR="00C04266" w:rsidRDefault="00000000">
      <w:pPr>
        <w:spacing w:line="480" w:lineRule="auto"/>
        <w:rPr>
          <w:rFonts w:ascii="Times New Roman" w:eastAsia="宋体" w:hAnsi="Times New Roman" w:cs="Times New Roman"/>
          <w:b/>
          <w:bCs/>
          <w:sz w:val="24"/>
        </w:rPr>
      </w:pPr>
      <w:r>
        <w:rPr>
          <w:rFonts w:ascii="Times New Roman" w:eastAsia="宋体" w:hAnsi="Times New Roman" w:cs="Times New Roman" w:hint="eastAsia"/>
          <w:b/>
          <w:bCs/>
          <w:sz w:val="24"/>
        </w:rPr>
        <w:t>A</w:t>
      </w:r>
      <w:r>
        <w:rPr>
          <w:rFonts w:ascii="Times New Roman" w:eastAsia="宋体" w:hAnsi="Times New Roman" w:cs="Times New Roman"/>
          <w:b/>
          <w:bCs/>
          <w:sz w:val="24"/>
        </w:rPr>
        <w:t>nalysis</w:t>
      </w:r>
      <w:r>
        <w:rPr>
          <w:rFonts w:ascii="Times New Roman" w:eastAsia="宋体" w:hAnsi="Times New Roman" w:cs="Times New Roman" w:hint="eastAsia"/>
          <w:b/>
          <w:bCs/>
          <w:sz w:val="24"/>
        </w:rPr>
        <w:t xml:space="preserve"> of g</w:t>
      </w:r>
      <w:r>
        <w:rPr>
          <w:rFonts w:ascii="Times New Roman" w:eastAsia="宋体" w:hAnsi="Times New Roman" w:cs="Times New Roman"/>
          <w:b/>
          <w:bCs/>
          <w:sz w:val="24"/>
        </w:rPr>
        <w:t xml:space="preserve">ut microbiota </w:t>
      </w:r>
    </w:p>
    <w:p w14:paraId="4F073BFF" w14:textId="77777777" w:rsidR="00C04266" w:rsidRDefault="00000000">
      <w:pPr>
        <w:rPr>
          <w:rFonts w:ascii="Times New Roman" w:eastAsia="宋体" w:hAnsi="Times New Roman" w:cs="Times New Roman"/>
          <w:sz w:val="24"/>
        </w:rPr>
      </w:pPr>
      <w:r>
        <w:rPr>
          <w:rFonts w:ascii="Times New Roman" w:eastAsia="宋体" w:hAnsi="Times New Roman" w:cs="Times New Roman" w:hint="eastAsia"/>
          <w:sz w:val="24"/>
        </w:rPr>
        <w:t>I</w:t>
      </w:r>
      <w:r>
        <w:rPr>
          <w:rFonts w:ascii="Times New Roman" w:eastAsia="宋体" w:hAnsi="Times New Roman" w:cs="Times New Roman"/>
          <w:sz w:val="24"/>
        </w:rPr>
        <w:t xml:space="preserve">ntestinal contents were collected from each of the 12 fish in each tank and mixed for 16S rRNA sequencing. Microbial community genomic DNA was extracted using </w:t>
      </w:r>
      <w:r>
        <w:rPr>
          <w:rFonts w:ascii="Times New Roman" w:eastAsia="宋体" w:hAnsi="Times New Roman" w:cs="Times New Roman" w:hint="eastAsia"/>
          <w:sz w:val="24"/>
        </w:rPr>
        <w:t xml:space="preserve">the </w:t>
      </w:r>
      <w:r>
        <w:rPr>
          <w:rFonts w:ascii="Times New Roman" w:eastAsia="宋体" w:hAnsi="Times New Roman" w:cs="Times New Roman"/>
          <w:sz w:val="24"/>
        </w:rPr>
        <w:t xml:space="preserve">cetyltrimethylammonium Ammonium Bromide (CTAB) method. The DNA extract was checked on 1% agarose gel, and DNA concentration and purity were determined with </w:t>
      </w:r>
      <w:proofErr w:type="spellStart"/>
      <w:r>
        <w:rPr>
          <w:rFonts w:ascii="Times New Roman" w:eastAsia="宋体" w:hAnsi="Times New Roman" w:cs="Times New Roman"/>
          <w:sz w:val="24"/>
        </w:rPr>
        <w:t>NanoDrop</w:t>
      </w:r>
      <w:proofErr w:type="spellEnd"/>
      <w:r>
        <w:rPr>
          <w:rFonts w:ascii="Times New Roman" w:eastAsia="宋体" w:hAnsi="Times New Roman" w:cs="Times New Roman"/>
          <w:sz w:val="24"/>
        </w:rPr>
        <w:t xml:space="preserve"> 2000 UV-vis spectrophotometer (</w:t>
      </w:r>
      <w:proofErr w:type="spellStart"/>
      <w:r>
        <w:rPr>
          <w:rFonts w:ascii="Times New Roman" w:eastAsia="宋体" w:hAnsi="Times New Roman" w:cs="Times New Roman"/>
          <w:sz w:val="24"/>
        </w:rPr>
        <w:t>Thermo</w:t>
      </w:r>
      <w:proofErr w:type="spellEnd"/>
      <w:r>
        <w:rPr>
          <w:rFonts w:ascii="Times New Roman" w:eastAsia="宋体" w:hAnsi="Times New Roman" w:cs="Times New Roman"/>
          <w:sz w:val="24"/>
        </w:rPr>
        <w:t xml:space="preserve"> Scientific, Wilmington, USA). The hypervariable region V3-V4 of the bacterial 16S rRNA gene was amplified with primer pairs 338F (5'-ACTCCTACGGGAGGCAGCAG-3') and 806R (5'-GGACTACHVGGGTWTCTAAT-3') by an ABI </w:t>
      </w:r>
      <w:proofErr w:type="spellStart"/>
      <w:r>
        <w:rPr>
          <w:rFonts w:ascii="Times New Roman" w:eastAsia="宋体" w:hAnsi="Times New Roman" w:cs="Times New Roman"/>
          <w:sz w:val="24"/>
        </w:rPr>
        <w:t>GeneAmp</w:t>
      </w:r>
      <w:proofErr w:type="spellEnd"/>
      <w:r>
        <w:rPr>
          <w:rFonts w:ascii="Times New Roman" w:eastAsia="宋体" w:hAnsi="Times New Roman" w:cs="Times New Roman"/>
          <w:sz w:val="24"/>
        </w:rPr>
        <w:t xml:space="preserve">® 9700 PCR thermocycler (ABI, CA, USA). The PCR amplification of the 16S rRNA gene was performed as follows: initial denaturation at 95℃ for 3min, followed by 27 cycles of denaturing at 95℃ for 30s, annealing at 55℃ for 30s and extension at 72℃for 45s, and single extension at 72℃ for 10min, and end at 4℃. Purified amplicons were pooled in equimolar and paired-end sequenced on an Illumina </w:t>
      </w:r>
      <w:proofErr w:type="spellStart"/>
      <w:r>
        <w:rPr>
          <w:rFonts w:ascii="Times New Roman" w:eastAsia="宋体" w:hAnsi="Times New Roman" w:cs="Times New Roman"/>
          <w:sz w:val="24"/>
        </w:rPr>
        <w:t>MiSeq</w:t>
      </w:r>
      <w:proofErr w:type="spellEnd"/>
      <w:r>
        <w:rPr>
          <w:rFonts w:ascii="Times New Roman" w:eastAsia="宋体" w:hAnsi="Times New Roman" w:cs="Times New Roman"/>
          <w:sz w:val="24"/>
        </w:rPr>
        <w:t xml:space="preserve"> PE300 platform/</w:t>
      </w:r>
      <w:proofErr w:type="spellStart"/>
      <w:r>
        <w:rPr>
          <w:rFonts w:ascii="Times New Roman" w:eastAsia="宋体" w:hAnsi="Times New Roman" w:cs="Times New Roman"/>
          <w:sz w:val="24"/>
        </w:rPr>
        <w:t>NovaSeq</w:t>
      </w:r>
      <w:proofErr w:type="spellEnd"/>
      <w:r>
        <w:rPr>
          <w:rFonts w:ascii="Times New Roman" w:eastAsia="宋体" w:hAnsi="Times New Roman" w:cs="Times New Roman"/>
          <w:sz w:val="24"/>
        </w:rPr>
        <w:t xml:space="preserve"> PE250 platform (Illumina, San Diego, USA) according to the standard protocols by </w:t>
      </w:r>
      <w:proofErr w:type="spellStart"/>
      <w:r>
        <w:rPr>
          <w:rFonts w:ascii="Times New Roman" w:eastAsia="宋体" w:hAnsi="Times New Roman" w:cs="Times New Roman"/>
          <w:sz w:val="24"/>
        </w:rPr>
        <w:t>Majorbio</w:t>
      </w:r>
      <w:proofErr w:type="spellEnd"/>
      <w:r>
        <w:rPr>
          <w:rFonts w:ascii="Times New Roman" w:eastAsia="宋体" w:hAnsi="Times New Roman" w:cs="Times New Roman"/>
          <w:sz w:val="24"/>
        </w:rPr>
        <w:t xml:space="preserve"> Bio-Pharm Technology Co. Ltd. (Shanghai, China). The raw 16S rRNA gene sequencing reads were demultiplexed, quality-filtered by </w:t>
      </w:r>
      <w:proofErr w:type="spellStart"/>
      <w:r>
        <w:rPr>
          <w:rFonts w:ascii="Times New Roman" w:eastAsia="宋体" w:hAnsi="Times New Roman" w:cs="Times New Roman"/>
          <w:sz w:val="24"/>
        </w:rPr>
        <w:t>fastp</w:t>
      </w:r>
      <w:proofErr w:type="spellEnd"/>
      <w:r>
        <w:rPr>
          <w:rFonts w:ascii="Times New Roman" w:eastAsia="宋体" w:hAnsi="Times New Roman" w:cs="Times New Roman"/>
          <w:sz w:val="24"/>
        </w:rPr>
        <w:t xml:space="preserve"> version 0.20.0 and merged by FLASH version 1.2.7 with the following criteria: (</w:t>
      </w:r>
      <w:proofErr w:type="spellStart"/>
      <w:r>
        <w:rPr>
          <w:rFonts w:ascii="Times New Roman" w:eastAsia="宋体" w:hAnsi="Times New Roman" w:cs="Times New Roman"/>
          <w:sz w:val="24"/>
        </w:rPr>
        <w:t>i</w:t>
      </w:r>
      <w:proofErr w:type="spellEnd"/>
      <w:r>
        <w:rPr>
          <w:rFonts w:ascii="Times New Roman" w:eastAsia="宋体" w:hAnsi="Times New Roman" w:cs="Times New Roman"/>
          <w:sz w:val="24"/>
        </w:rPr>
        <w:t xml:space="preserve">) the 300bp reads were truncated at any site receiving an average quality score of &lt;20 over a 50bp sliding window, and the truncated reads shorter than 50bp were discarded, reads containing ambiguous characters were also discarded; (ii) only overlapping sequences longer than 10bp were assembled according to their </w:t>
      </w:r>
      <w:r>
        <w:rPr>
          <w:rFonts w:ascii="Times New Roman" w:eastAsia="宋体" w:hAnsi="Times New Roman" w:cs="Times New Roman"/>
          <w:sz w:val="24"/>
        </w:rPr>
        <w:lastRenderedPageBreak/>
        <w:t xml:space="preserve">overlapped sequence. The maximum mismatch ratio of the overlap region is 0.2. Reads that could not be assembled were discarded; (iii) Samples were distinguished according to the barcode and primers, and the sequence direction was adjusted, exact barcode matching, 2 nucleotide </w:t>
      </w:r>
      <w:proofErr w:type="gramStart"/>
      <w:r>
        <w:rPr>
          <w:rFonts w:ascii="Times New Roman" w:eastAsia="宋体" w:hAnsi="Times New Roman" w:cs="Times New Roman"/>
          <w:sz w:val="24"/>
        </w:rPr>
        <w:t>mismatch</w:t>
      </w:r>
      <w:proofErr w:type="gramEnd"/>
      <w:r>
        <w:rPr>
          <w:rFonts w:ascii="Times New Roman" w:eastAsia="宋体" w:hAnsi="Times New Roman" w:cs="Times New Roman"/>
          <w:sz w:val="24"/>
        </w:rPr>
        <w:t xml:space="preserve"> in primer matching. Operational taxonomic units (OTUs) with a 97% similarity cutoff value were clustered using UPARSE version 7.1, and chimeric sequences were identified and removed. The taxonomy of each OTU representative sequence was analyzed by RDP Classifier version 2.2 against the 16S rRNA database (</w:t>
      </w:r>
      <w:proofErr w:type="spellStart"/>
      <w:r>
        <w:rPr>
          <w:rFonts w:ascii="Times New Roman" w:eastAsia="宋体" w:hAnsi="Times New Roman" w:cs="Times New Roman"/>
          <w:sz w:val="24"/>
        </w:rPr>
        <w:t>eg.</w:t>
      </w:r>
      <w:proofErr w:type="spellEnd"/>
      <w:r>
        <w:rPr>
          <w:rFonts w:ascii="Times New Roman" w:eastAsia="宋体" w:hAnsi="Times New Roman" w:cs="Times New Roman"/>
          <w:sz w:val="24"/>
        </w:rPr>
        <w:t xml:space="preserve"> Silva v138) using a confidence threshold of 0.7. </w:t>
      </w:r>
    </w:p>
    <w:sectPr w:rsidR="00C042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dvTT5235d5a9">
    <w:altName w:val="Times New Roman"/>
    <w:charset w:val="00"/>
    <w:family w:val="roman"/>
    <w:pitch w:val="default"/>
    <w:sig w:usb0="00000000" w:usb1="0000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sTA1NDQyNzc1NDFX0lEKTi0uzszPAykwrAUAMvs+2iwAAAA="/>
    <w:docVar w:name="commondata" w:val="eyJoZGlkIjoiZGY5ZDAzZmZjZTc4ZWVlNDhlOTllZmQ4YmU4NzMwNGIifQ=="/>
  </w:docVars>
  <w:rsids>
    <w:rsidRoot w:val="005F4BE3"/>
    <w:rsid w:val="00595159"/>
    <w:rsid w:val="005F4BE3"/>
    <w:rsid w:val="00752F81"/>
    <w:rsid w:val="00C04266"/>
    <w:rsid w:val="06311D66"/>
    <w:rsid w:val="06823015"/>
    <w:rsid w:val="085000F4"/>
    <w:rsid w:val="0A400A90"/>
    <w:rsid w:val="0C6D4DA9"/>
    <w:rsid w:val="0D092086"/>
    <w:rsid w:val="12B10DB0"/>
    <w:rsid w:val="1571672E"/>
    <w:rsid w:val="15E739C4"/>
    <w:rsid w:val="1AAA257B"/>
    <w:rsid w:val="1C5A1168"/>
    <w:rsid w:val="1CDF6673"/>
    <w:rsid w:val="1F792DAF"/>
    <w:rsid w:val="23F23130"/>
    <w:rsid w:val="2A4E37AA"/>
    <w:rsid w:val="2AA44AD0"/>
    <w:rsid w:val="38A06391"/>
    <w:rsid w:val="39BF540B"/>
    <w:rsid w:val="3A3C3C4A"/>
    <w:rsid w:val="3FE7270C"/>
    <w:rsid w:val="41672F06"/>
    <w:rsid w:val="4BA168A5"/>
    <w:rsid w:val="4BCE0964"/>
    <w:rsid w:val="50C229F1"/>
    <w:rsid w:val="63C416EC"/>
    <w:rsid w:val="6BF57FEE"/>
    <w:rsid w:val="6C695752"/>
    <w:rsid w:val="71CF1988"/>
    <w:rsid w:val="783355E4"/>
    <w:rsid w:val="7C1F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45E36"/>
  <w15:docId w15:val="{780C0913-4197-4BC5-B248-5CD2391B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Balloon Text"/>
    <w:basedOn w:val="a"/>
    <w:link w:val="a6"/>
    <w:qFormat/>
    <w:rPr>
      <w:rFonts w:ascii="Tahoma" w:hAnsi="Tahoma" w:cs="Tahoma"/>
      <w:sz w:val="16"/>
      <w:szCs w:val="16"/>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Title"/>
    <w:basedOn w:val="a"/>
    <w:next w:val="a"/>
    <w:link w:val="aa"/>
    <w:qFormat/>
    <w:pPr>
      <w:suppressLineNumbers/>
      <w:spacing w:before="240" w:after="360"/>
      <w:jc w:val="center"/>
    </w:pPr>
    <w:rPr>
      <w:rFonts w:cs="Times New Roman"/>
      <w:b/>
      <w:sz w:val="32"/>
      <w:szCs w:val="32"/>
    </w:rPr>
  </w:style>
  <w:style w:type="paragraph" w:styleId="ab">
    <w:name w:val="annotation subject"/>
    <w:basedOn w:val="a3"/>
    <w:next w:val="a3"/>
    <w:link w:val="ac"/>
    <w:qFormat/>
    <w:rPr>
      <w:b/>
      <w:bCs/>
    </w:rPr>
  </w:style>
  <w:style w:type="table" w:styleId="ad">
    <w:name w:val="Table Grid"/>
    <w:basedOn w:val="a1"/>
    <w:uiPriority w:val="99"/>
    <w:qFormat/>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qFormat/>
    <w:rPr>
      <w:sz w:val="21"/>
      <w:szCs w:val="21"/>
    </w:rPr>
  </w:style>
  <w:style w:type="paragraph" w:styleId="af">
    <w:name w:val="No Spacing"/>
    <w:uiPriority w:val="1"/>
    <w:qFormat/>
    <w:rPr>
      <w:rFonts w:ascii="Angsana New" w:eastAsiaTheme="minorEastAsia" w:hAnsi="Angsana New" w:cs="AdvTT5235d5a9"/>
      <w:sz w:val="22"/>
      <w:szCs w:val="28"/>
      <w:lang w:bidi="th-TH"/>
    </w:rPr>
  </w:style>
  <w:style w:type="character" w:customStyle="1" w:styleId="a4">
    <w:name w:val="批注文字 字符"/>
    <w:basedOn w:val="a0"/>
    <w:link w:val="a3"/>
    <w:qFormat/>
    <w:rPr>
      <w:rFonts w:asciiTheme="minorHAnsi" w:eastAsiaTheme="minorEastAsia" w:hAnsiTheme="minorHAnsi" w:cstheme="minorBidi"/>
      <w:kern w:val="2"/>
      <w:lang w:val="en-US"/>
    </w:rPr>
  </w:style>
  <w:style w:type="character" w:customStyle="1" w:styleId="ac">
    <w:name w:val="批注主题 字符"/>
    <w:basedOn w:val="a4"/>
    <w:link w:val="ab"/>
    <w:qFormat/>
    <w:rPr>
      <w:rFonts w:asciiTheme="minorHAnsi" w:eastAsiaTheme="minorEastAsia" w:hAnsiTheme="minorHAnsi" w:cstheme="minorBidi"/>
      <w:b/>
      <w:bCs/>
      <w:kern w:val="2"/>
      <w:lang w:val="en-US"/>
    </w:rPr>
  </w:style>
  <w:style w:type="character" w:customStyle="1" w:styleId="a6">
    <w:name w:val="批注框文本 字符"/>
    <w:basedOn w:val="a0"/>
    <w:link w:val="a5"/>
    <w:qFormat/>
    <w:rPr>
      <w:rFonts w:ascii="Tahoma" w:eastAsiaTheme="minorEastAsia" w:hAnsi="Tahoma" w:cs="Tahoma"/>
      <w:kern w:val="2"/>
      <w:sz w:val="16"/>
      <w:szCs w:val="16"/>
      <w:lang w:val="en-US"/>
    </w:rPr>
  </w:style>
  <w:style w:type="paragraph" w:customStyle="1" w:styleId="SupplementaryMaterial">
    <w:name w:val="Supplementary Material"/>
    <w:basedOn w:val="a9"/>
    <w:next w:val="a9"/>
    <w:qFormat/>
    <w:pPr>
      <w:spacing w:after="120"/>
    </w:pPr>
    <w:rPr>
      <w:i/>
    </w:rPr>
  </w:style>
  <w:style w:type="character" w:styleId="af0">
    <w:name w:val="Hyperlink"/>
    <w:basedOn w:val="a0"/>
    <w:uiPriority w:val="99"/>
    <w:unhideWhenUsed/>
    <w:qFormat/>
    <w:rsid w:val="00595159"/>
    <w:rPr>
      <w:color w:val="0000FF"/>
      <w:u w:val="single"/>
    </w:rPr>
  </w:style>
  <w:style w:type="character" w:customStyle="1" w:styleId="aa">
    <w:name w:val="标题 字符"/>
    <w:basedOn w:val="a0"/>
    <w:link w:val="a9"/>
    <w:qFormat/>
    <w:rsid w:val="00595159"/>
    <w:rPr>
      <w:rFonts w:asciiTheme="minorHAnsi" w:eastAsiaTheme="minorEastAsia" w:hAnsiTheme="minorHAnsi"/>
      <w:b/>
      <w:kern w:val="2"/>
      <w:sz w:val="32"/>
      <w:szCs w:val="32"/>
    </w:rPr>
  </w:style>
  <w:style w:type="paragraph" w:customStyle="1" w:styleId="AuthorList">
    <w:name w:val="Author List"/>
    <w:basedOn w:val="af1"/>
    <w:next w:val="a"/>
    <w:uiPriority w:val="1"/>
    <w:qFormat/>
    <w:rsid w:val="00595159"/>
    <w:pPr>
      <w:widowControl/>
      <w:spacing w:after="0" w:line="240" w:lineRule="auto"/>
      <w:jc w:val="left"/>
      <w:outlineLvl w:val="9"/>
    </w:pPr>
    <w:rPr>
      <w:rFonts w:ascii="Times New Roman" w:eastAsiaTheme="minorHAnsi" w:hAnsi="Times New Roman" w:cs="Times New Roman"/>
      <w:bCs w:val="0"/>
      <w:kern w:val="0"/>
      <w:sz w:val="24"/>
      <w:szCs w:val="24"/>
      <w:lang w:eastAsia="en-US"/>
    </w:rPr>
  </w:style>
  <w:style w:type="paragraph" w:styleId="af1">
    <w:name w:val="Subtitle"/>
    <w:basedOn w:val="a"/>
    <w:next w:val="a"/>
    <w:link w:val="af2"/>
    <w:qFormat/>
    <w:rsid w:val="00595159"/>
    <w:pPr>
      <w:spacing w:before="240" w:after="60" w:line="312" w:lineRule="auto"/>
      <w:jc w:val="center"/>
      <w:outlineLvl w:val="1"/>
    </w:pPr>
    <w:rPr>
      <w:b/>
      <w:bCs/>
      <w:kern w:val="28"/>
      <w:sz w:val="32"/>
      <w:szCs w:val="32"/>
    </w:rPr>
  </w:style>
  <w:style w:type="character" w:customStyle="1" w:styleId="af2">
    <w:name w:val="副标题 字符"/>
    <w:basedOn w:val="a0"/>
    <w:link w:val="af1"/>
    <w:rsid w:val="00595159"/>
    <w:rPr>
      <w:rFonts w:asciiTheme="minorHAnsi" w:eastAsiaTheme="minorEastAsia" w:hAnsiTheme="minorHAnsi" w:cstheme="min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776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haoyuhua2005@mail.hza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1337</Words>
  <Characters>7626</Characters>
  <Application>Microsoft Office Word</Application>
  <DocSecurity>0</DocSecurity>
  <Lines>63</Lines>
  <Paragraphs>17</Paragraphs>
  <ScaleCrop>false</ScaleCrop>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hua yizhuo</cp:lastModifiedBy>
  <cp:revision>3</cp:revision>
  <dcterms:created xsi:type="dcterms:W3CDTF">2022-01-04T05:31:00Z</dcterms:created>
  <dcterms:modified xsi:type="dcterms:W3CDTF">2022-11-02T09:16:00Z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3C682DE36FE443FE9CDD1373DD80F6AF</vt:lpwstr>
  </property>
</Properties>
</file>