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16F" w:rsidRPr="006017FA" w:rsidRDefault="0001516F" w:rsidP="0001516F">
      <w:pPr>
        <w:pStyle w:val="NoSpacing"/>
        <w:spacing w:after="1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Supplemental </w:t>
      </w:r>
      <w:r w:rsidRPr="00601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legends</w:t>
      </w:r>
    </w:p>
    <w:p w:rsidR="0001516F" w:rsidRPr="00EE127C" w:rsidRDefault="0001516F" w:rsidP="0001516F">
      <w:pPr>
        <w:pStyle w:val="NoSpacing"/>
        <w:spacing w:after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516F" w:rsidRPr="00BC27F9" w:rsidRDefault="0001516F" w:rsidP="0001516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Hlk54868741"/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>1.</w:t>
      </w:r>
      <w:bookmarkEnd w:id="0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01516F">
        <w:rPr>
          <w:rFonts w:ascii="Times New Roman" w:hAnsi="Times New Roman" w:cs="Times New Roman"/>
          <w:sz w:val="24"/>
          <w:szCs w:val="24"/>
        </w:rPr>
        <w:t xml:space="preserve">ATR inhibitors induce apoptosis in drug-resistant multiple myeloma cells. (A) Bortezomib-resistant PS-R cells were exposed (24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) to 3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 or 30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 bortezomib (BTZ), followed by flow cytometric analysis to monitor the percentage of apoptotic (7-AAD</w:t>
      </w:r>
      <w:r w:rsidRPr="0001516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1516F">
        <w:rPr>
          <w:rFonts w:ascii="Times New Roman" w:hAnsi="Times New Roman" w:cs="Times New Roman"/>
          <w:sz w:val="24"/>
          <w:szCs w:val="24"/>
        </w:rPr>
        <w:t xml:space="preserve">) cells. Values represent the means ± S.D. for three experiments performed in triplicate. ***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0.001. (B-C) PS-R cells were incubated with the indicated concentrations of Bay1895344 or M1774 for 24 hours, after which </w:t>
      </w:r>
      <w:r w:rsidRPr="0001516F">
        <w:rPr>
          <w:rFonts w:ascii="Times New Roman" w:hAnsi="Times New Roman" w:cs="Times New Roman"/>
          <w:sz w:val="24"/>
          <w:szCs w:val="24"/>
        </w:rPr>
        <w:sym w:font="Symbol" w:char="F067"/>
      </w:r>
      <w:r w:rsidRPr="0001516F">
        <w:rPr>
          <w:rFonts w:ascii="Times New Roman" w:hAnsi="Times New Roman" w:cs="Times New Roman"/>
          <w:sz w:val="24"/>
          <w:szCs w:val="24"/>
        </w:rPr>
        <w:t>H2A.X and cleavage of caspase-3, or cleavage of PARP were monitored by immunoblotting analysis. β-actin was assayed to ensure equivalent loading and transfer. Results are representative of 3 separate experiments.</w:t>
      </w:r>
    </w:p>
    <w:p w:rsidR="0001516F" w:rsidRPr="00371C2D" w:rsidRDefault="0001516F" w:rsidP="000151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S2</w:t>
      </w: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01516F">
        <w:rPr>
          <w:rFonts w:ascii="Times New Roman" w:hAnsi="Times New Roman" w:cs="Times New Roman"/>
          <w:sz w:val="24"/>
          <w:szCs w:val="24"/>
        </w:rPr>
        <w:t>ATR inhibitors block tyrosine phosphorylation of STAT3 (p-Y705) and inhibit STAT3 signaling pathway in MM cells. (A-B) Western blot analysis of p-Y705 STAT3, p-S727 STAT3, total STAT3 and the STAT3 downstream targets MCL-1, BCL-X</w:t>
      </w:r>
      <w:r w:rsidRPr="0001516F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01516F">
        <w:rPr>
          <w:rFonts w:ascii="Times New Roman" w:hAnsi="Times New Roman" w:cs="Times New Roman"/>
          <w:sz w:val="24"/>
          <w:szCs w:val="24"/>
        </w:rPr>
        <w:t>, c-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, in PSR cells treated with indicated concentrations of Bay1895344 and M1774 for 24 hours. </w:t>
      </w:r>
      <w:r w:rsidRPr="0001516F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01516F">
        <w:rPr>
          <w:rFonts w:ascii="Times New Roman" w:hAnsi="Times New Roman" w:cs="Times New Roman"/>
          <w:sz w:val="24"/>
          <w:szCs w:val="24"/>
        </w:rPr>
        <w:t xml:space="preserve">-tubulin, β-actin </w:t>
      </w:r>
      <w:r w:rsidRPr="0001516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1516F">
        <w:rPr>
          <w:rFonts w:ascii="Times New Roman" w:hAnsi="Times New Roman" w:cs="Times New Roman"/>
          <w:sz w:val="24"/>
          <w:szCs w:val="24"/>
        </w:rPr>
        <w:t xml:space="preserve">or GAPDH controls were assayed to ensure equivalent loading and transfer. (C-D) OPM2 cells were pretreated with patient-derived stromal cell-conditioned medium (PDCM, 6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>). WB analysis of p- or total-STAT3, and c-MYC was performed in OPM2 cells exposed to Bay1895344 or M1774 for 24 hours. Images were quantified by densitometry and analyzed using ImageJ software.</w:t>
      </w: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S3</w:t>
      </w: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01516F">
        <w:rPr>
          <w:rFonts w:ascii="Times New Roman" w:hAnsi="Times New Roman" w:cs="Times New Roman"/>
          <w:sz w:val="24"/>
          <w:szCs w:val="24"/>
        </w:rPr>
        <w:t xml:space="preserve">Chk1 knockdown disrupts STAT3 signaling. (A) U266 cells were transfected with a lentivirus harboring Chk1 shRNA, and two clones were obtained (KD01 and KD02) in addition to empty vector controls (EV). Cells were exposed (40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>) to the indicated concentrations of ATR inhibitors, followed by flow cytometry to monitor the percentage of apoptotic (7-AAD</w:t>
      </w:r>
      <w:r w:rsidRPr="0001516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1516F">
        <w:rPr>
          <w:rFonts w:ascii="Times New Roman" w:hAnsi="Times New Roman" w:cs="Times New Roman"/>
          <w:sz w:val="24"/>
          <w:szCs w:val="24"/>
        </w:rPr>
        <w:t xml:space="preserve">) cells. Values represent the means ± S.D. for three experiments performed in triplicate. 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0.05; **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0.01; ***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0.001. (B) Western blot analysis of Chk1, cleaved-Caspase-3, and </w:t>
      </w:r>
      <w:r w:rsidRPr="0001516F">
        <w:rPr>
          <w:rFonts w:ascii="Times New Roman" w:hAnsi="Times New Roman" w:cs="Times New Roman"/>
          <w:sz w:val="24"/>
          <w:szCs w:val="24"/>
        </w:rPr>
        <w:sym w:font="Symbol" w:char="F067"/>
      </w:r>
      <w:r w:rsidRPr="0001516F">
        <w:rPr>
          <w:rFonts w:ascii="Times New Roman" w:hAnsi="Times New Roman" w:cs="Times New Roman"/>
          <w:sz w:val="24"/>
          <w:szCs w:val="24"/>
        </w:rPr>
        <w:t>H2A.X was performed. β-actin controls were assayed to ensure equivalent loading and transfer. Dotted lines indicate where bands were cut and spliced for presentation; bands were run on the same gels and membranes. Images were quantified by densitometry and analyzed by using ImageJ software.</w:t>
      </w: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S4</w:t>
      </w: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01516F">
        <w:rPr>
          <w:rFonts w:ascii="Times New Roman" w:hAnsi="Times New Roman" w:cs="Times New Roman"/>
          <w:b/>
          <w:bCs/>
          <w:sz w:val="24"/>
          <w:szCs w:val="24"/>
        </w:rPr>
        <w:t>Down-regulation of the STAT3 targets MCL-1 and BCL-X</w:t>
      </w:r>
      <w:r w:rsidRPr="0001516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L</w:t>
      </w:r>
      <w:r w:rsidRPr="0001516F">
        <w:rPr>
          <w:rFonts w:ascii="Times New Roman" w:hAnsi="Times New Roman" w:cs="Times New Roman"/>
          <w:b/>
          <w:bCs/>
          <w:sz w:val="24"/>
          <w:szCs w:val="24"/>
        </w:rPr>
        <w:t xml:space="preserve"> by ATR inhibition plays a functional role in ATR inhibitor lethality. </w:t>
      </w:r>
      <w:r w:rsidRPr="0001516F">
        <w:rPr>
          <w:rFonts w:ascii="Times New Roman" w:hAnsi="Times New Roman" w:cs="Times New Roman"/>
          <w:sz w:val="24"/>
          <w:szCs w:val="24"/>
        </w:rPr>
        <w:t xml:space="preserve">(A-B) U266 cells were transfected with MCL-1, overexpressing constructs, after which they were exposed (48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) to indicated concentrations of BAY, followed by the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CellTiter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-Glo® Luminescent Cell Viability Assay to monitor cell viability. (B) Western blot analysis of MCL-1, cleaved-Caspase-3, cleaved-PARP, and </w:t>
      </w:r>
      <w:r w:rsidRPr="0001516F">
        <w:rPr>
          <w:rFonts w:ascii="Times New Roman" w:hAnsi="Times New Roman" w:cs="Times New Roman"/>
          <w:sz w:val="24"/>
          <w:szCs w:val="24"/>
        </w:rPr>
        <w:sym w:font="Symbol" w:char="F067"/>
      </w:r>
      <w:r w:rsidRPr="0001516F">
        <w:rPr>
          <w:rFonts w:ascii="Times New Roman" w:hAnsi="Times New Roman" w:cs="Times New Roman"/>
          <w:sz w:val="24"/>
          <w:szCs w:val="24"/>
        </w:rPr>
        <w:t>H2A.X was performed in empty-vector and MCL-1-overexpressing cells. β-actin controls were assayed to ensure equivalent loading and transfer. (C-D) U266 cells were infected with a lentivirus harboring BCL-X</w:t>
      </w:r>
      <w:r w:rsidRPr="0001516F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01516F">
        <w:rPr>
          <w:rFonts w:ascii="Times New Roman" w:hAnsi="Times New Roman" w:cs="Times New Roman"/>
          <w:sz w:val="24"/>
          <w:szCs w:val="24"/>
        </w:rPr>
        <w:t xml:space="preserve">. (C) Cells were exposed (48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 xml:space="preserve">) to indicated concentrations of BAY, followed by the </w:t>
      </w:r>
      <w:proofErr w:type="spellStart"/>
      <w:r w:rsidRPr="0001516F">
        <w:rPr>
          <w:rFonts w:ascii="Times New Roman" w:hAnsi="Times New Roman" w:cs="Times New Roman"/>
          <w:sz w:val="24"/>
          <w:szCs w:val="24"/>
        </w:rPr>
        <w:t>CellTiter</w:t>
      </w:r>
      <w:proofErr w:type="spellEnd"/>
      <w:r w:rsidRPr="0001516F">
        <w:rPr>
          <w:rFonts w:ascii="Times New Roman" w:hAnsi="Times New Roman" w:cs="Times New Roman"/>
          <w:sz w:val="24"/>
          <w:szCs w:val="24"/>
        </w:rPr>
        <w:t>-Glo® Luminescent Cell Viability Assay to monitor cell viability. (D) Western blot analysis of BCL-X</w:t>
      </w:r>
      <w:r w:rsidRPr="0001516F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01516F">
        <w:rPr>
          <w:rFonts w:ascii="Times New Roman" w:hAnsi="Times New Roman" w:cs="Times New Roman"/>
          <w:sz w:val="24"/>
          <w:szCs w:val="24"/>
        </w:rPr>
        <w:t xml:space="preserve">, cleaved-Caspase-3, cleaved-PARP, and </w:t>
      </w:r>
      <w:r w:rsidRPr="0001516F">
        <w:rPr>
          <w:rFonts w:ascii="Times New Roman" w:hAnsi="Times New Roman" w:cs="Times New Roman"/>
          <w:sz w:val="24"/>
          <w:szCs w:val="24"/>
        </w:rPr>
        <w:sym w:font="Symbol" w:char="F067"/>
      </w:r>
      <w:r w:rsidRPr="0001516F">
        <w:rPr>
          <w:rFonts w:ascii="Times New Roman" w:hAnsi="Times New Roman" w:cs="Times New Roman"/>
          <w:sz w:val="24"/>
          <w:szCs w:val="24"/>
        </w:rPr>
        <w:t xml:space="preserve">H2A.X was performed. β-actin controls were assayed to ensure equivalent loading and transfer. Values represent the means ± S.D. </w:t>
      </w:r>
      <w:r w:rsidRPr="0001516F">
        <w:rPr>
          <w:rFonts w:ascii="Times New Roman" w:hAnsi="Times New Roman" w:cs="Times New Roman"/>
          <w:sz w:val="24"/>
          <w:szCs w:val="24"/>
        </w:rPr>
        <w:lastRenderedPageBreak/>
        <w:t xml:space="preserve">for three experiments performed in triplicate. 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0.05; ** = </w:t>
      </w:r>
      <w:r w:rsidRPr="0001516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01516F">
        <w:rPr>
          <w:rFonts w:ascii="Times New Roman" w:hAnsi="Times New Roman" w:cs="Times New Roman"/>
          <w:sz w:val="24"/>
          <w:szCs w:val="24"/>
        </w:rPr>
        <w:t xml:space="preserve"> &lt; 0.01 for values for empty-vector controls versus cells ectopically expressing MCL-1 or BCL-X</w:t>
      </w:r>
      <w:r w:rsidRPr="0001516F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01516F">
        <w:rPr>
          <w:rFonts w:ascii="Times New Roman" w:hAnsi="Times New Roman" w:cs="Times New Roman"/>
          <w:sz w:val="24"/>
          <w:szCs w:val="24"/>
        </w:rPr>
        <w:t>.</w:t>
      </w:r>
    </w:p>
    <w:p w:rsidR="0001516F" w:rsidRDefault="0001516F" w:rsidP="00015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2E6E" w:rsidRDefault="0001516F" w:rsidP="00482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S5</w:t>
      </w:r>
      <w:r w:rsidRPr="00EE127C">
        <w:rPr>
          <w:rFonts w:ascii="Times New Roman" w:hAnsi="Times New Roman" w:cs="Times New Roman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482E6E" w:rsidRPr="0001516F">
        <w:rPr>
          <w:rFonts w:ascii="Times New Roman" w:hAnsi="Times New Roman" w:cs="Times New Roman"/>
          <w:sz w:val="24"/>
          <w:szCs w:val="24"/>
        </w:rPr>
        <w:t>ATR inhibitor decreas</w:t>
      </w:r>
      <w:r w:rsidR="00482E6E">
        <w:rPr>
          <w:rFonts w:ascii="Times New Roman" w:hAnsi="Times New Roman" w:cs="Times New Roman"/>
          <w:sz w:val="24"/>
          <w:szCs w:val="24"/>
        </w:rPr>
        <w:t>es</w:t>
      </w:r>
      <w:r w:rsidR="00482E6E" w:rsidRPr="0001516F">
        <w:rPr>
          <w:rFonts w:ascii="Times New Roman" w:hAnsi="Times New Roman" w:cs="Times New Roman"/>
          <w:sz w:val="24"/>
          <w:szCs w:val="24"/>
        </w:rPr>
        <w:t xml:space="preserve"> p-Y705 STAT3 expression in primary human CD138</w:t>
      </w:r>
      <w:r w:rsidR="00482E6E" w:rsidRPr="0001516F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="00482E6E" w:rsidRPr="0001516F">
        <w:rPr>
          <w:rFonts w:ascii="Times New Roman" w:hAnsi="Times New Roman" w:cs="Times New Roman"/>
          <w:sz w:val="24"/>
          <w:szCs w:val="24"/>
        </w:rPr>
        <w:t xml:space="preserve">MM cells </w:t>
      </w:r>
      <w:r w:rsidR="00482E6E" w:rsidRPr="0001516F">
        <w:rPr>
          <w:rFonts w:ascii="Times New Roman" w:hAnsi="Times New Roman" w:cs="Times New Roman"/>
          <w:i/>
          <w:iCs/>
          <w:sz w:val="24"/>
          <w:szCs w:val="24"/>
        </w:rPr>
        <w:t>ex-vivo</w:t>
      </w:r>
      <w:r w:rsidR="00482E6E" w:rsidRPr="0001516F">
        <w:rPr>
          <w:rFonts w:ascii="Times New Roman" w:hAnsi="Times New Roman" w:cs="Times New Roman"/>
          <w:sz w:val="24"/>
          <w:szCs w:val="24"/>
        </w:rPr>
        <w:t xml:space="preserve">. Isolated primary MM cells from two MM patients were treated with Bay1895344 1 µM for 24 </w:t>
      </w:r>
      <w:proofErr w:type="spellStart"/>
      <w:r w:rsidR="00482E6E" w:rsidRPr="0001516F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="00482E6E" w:rsidRPr="0001516F">
        <w:rPr>
          <w:rFonts w:ascii="Times New Roman" w:hAnsi="Times New Roman" w:cs="Times New Roman"/>
          <w:sz w:val="24"/>
          <w:szCs w:val="24"/>
        </w:rPr>
        <w:t xml:space="preserve">, and subsequently stained with antibodies to p-Y705, S737, CD138, and DAPI, after which they were visualized by </w:t>
      </w:r>
      <w:proofErr w:type="spellStart"/>
      <w:r w:rsidR="00482E6E" w:rsidRPr="0001516F">
        <w:rPr>
          <w:rFonts w:ascii="Times New Roman" w:hAnsi="Times New Roman" w:cs="Times New Roman"/>
          <w:sz w:val="24"/>
          <w:szCs w:val="24"/>
        </w:rPr>
        <w:t>ImageStream</w:t>
      </w:r>
      <w:proofErr w:type="spellEnd"/>
      <w:r w:rsidR="00482E6E" w:rsidRPr="0001516F">
        <w:rPr>
          <w:rFonts w:ascii="Times New Roman" w:hAnsi="Times New Roman" w:cs="Times New Roman"/>
          <w:sz w:val="24"/>
          <w:szCs w:val="24"/>
        </w:rPr>
        <w:t>. Results for representative cells are shown. (BF = brightfield).</w:t>
      </w:r>
    </w:p>
    <w:p w:rsidR="00A70052" w:rsidRDefault="00A70052" w:rsidP="00482E6E">
      <w:pPr>
        <w:spacing w:after="0"/>
        <w:jc w:val="both"/>
      </w:pPr>
      <w:bookmarkStart w:id="1" w:name="_GoBack"/>
      <w:bookmarkEnd w:id="1"/>
    </w:p>
    <w:sectPr w:rsidR="00A700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6F"/>
    <w:rsid w:val="0001516F"/>
    <w:rsid w:val="00482E6E"/>
    <w:rsid w:val="00A7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AF18E6-76F4-42D0-844C-6814EB45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16F"/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1516F"/>
    <w:pPr>
      <w:spacing w:after="0" w:line="240" w:lineRule="auto"/>
    </w:pPr>
    <w:rPr>
      <w:rFonts w:eastAsia="SimSun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1516F"/>
    <w:rPr>
      <w:rFonts w:eastAsia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3290</Characters>
  <Application>Microsoft Office Word</Application>
  <DocSecurity>0</DocSecurity>
  <Lines>27</Lines>
  <Paragraphs>7</Paragraphs>
  <ScaleCrop>false</ScaleCrop>
  <Company>Virginia Commonwealth University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</dc:creator>
  <cp:keywords/>
  <dc:description/>
  <cp:lastModifiedBy>Lin Li</cp:lastModifiedBy>
  <cp:revision>2</cp:revision>
  <dcterms:created xsi:type="dcterms:W3CDTF">2022-10-20T19:57:00Z</dcterms:created>
  <dcterms:modified xsi:type="dcterms:W3CDTF">2022-10-24T15:39:00Z</dcterms:modified>
</cp:coreProperties>
</file>