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AA4C8" w14:textId="68257E54" w:rsidR="002A480E" w:rsidRDefault="002A480E" w:rsidP="00201F47">
      <w:pPr>
        <w:spacing w:line="360" w:lineRule="auto"/>
        <w:jc w:val="center"/>
        <w:rPr>
          <w:b/>
          <w:bCs/>
        </w:rPr>
      </w:pPr>
      <w:r>
        <w:rPr>
          <w:b/>
          <w:bCs/>
        </w:rPr>
        <w:t>Supplemental Material</w:t>
      </w:r>
    </w:p>
    <w:p w14:paraId="2F870591" w14:textId="77777777" w:rsidR="002A480E" w:rsidRDefault="002A480E" w:rsidP="00201F47">
      <w:pPr>
        <w:spacing w:line="360" w:lineRule="auto"/>
        <w:rPr>
          <w:b/>
          <w:bCs/>
        </w:rPr>
      </w:pPr>
    </w:p>
    <w:p w14:paraId="56B85855" w14:textId="5EB75300" w:rsidR="00D70A70" w:rsidRDefault="00D70A70" w:rsidP="00201F47">
      <w:pPr>
        <w:spacing w:line="360" w:lineRule="auto"/>
        <w:rPr>
          <w:b/>
          <w:bCs/>
          <w:lang w:val="es-ES"/>
        </w:rPr>
      </w:pPr>
      <w:r w:rsidRPr="00D70A70">
        <w:rPr>
          <w:b/>
          <w:bCs/>
        </w:rPr>
        <w:t>Proposed title:</w:t>
      </w:r>
      <w:r w:rsidRPr="00D70A70">
        <w:t xml:space="preserve"> </w:t>
      </w:r>
      <w:bookmarkStart w:id="0" w:name="_Hlk112329605"/>
      <w:r w:rsidRPr="00D70A70">
        <w:rPr>
          <w:b/>
          <w:bCs/>
        </w:rPr>
        <w:t>Rationale for the selection of dual primary endpoints in prevention studies of cognitively unimpaired individuals at genetic risk for developing symptoms of Alzheimer’s disease</w:t>
      </w:r>
      <w:bookmarkEnd w:id="0"/>
      <w:r>
        <w:rPr>
          <w:b/>
          <w:bCs/>
          <w:lang w:val="es-ES"/>
        </w:rPr>
        <w:t xml:space="preserve"> </w:t>
      </w:r>
    </w:p>
    <w:p w14:paraId="373249BC" w14:textId="295C5868" w:rsidR="00701C71" w:rsidRDefault="00701C71" w:rsidP="00201F47">
      <w:pPr>
        <w:spacing w:line="360" w:lineRule="auto"/>
        <w:rPr>
          <w:b/>
          <w:bCs/>
          <w:lang w:val="es-ES"/>
        </w:rPr>
      </w:pPr>
      <w:r>
        <w:rPr>
          <w:b/>
          <w:bCs/>
          <w:lang w:val="es-ES"/>
        </w:rPr>
        <w:t xml:space="preserve">Authors: </w:t>
      </w:r>
      <w:r>
        <w:rPr>
          <w:lang w:val="es-ES"/>
        </w:rPr>
        <w:t>Angelika Caputo, Amy Racine, Ines Paule, Pierre N. Tariot, Jessica B. Langbaum, Neva Coello, Marie-Emmanuelle Riviere, J. Michael Ryan, Cristina Lopez Lopez, and Ana Graf</w:t>
      </w:r>
    </w:p>
    <w:p w14:paraId="2F2535A0" w14:textId="77777777" w:rsidR="00466E4B" w:rsidRPr="00E92C4F" w:rsidRDefault="00466E4B" w:rsidP="00201F47">
      <w:pPr>
        <w:spacing w:line="360" w:lineRule="auto"/>
        <w:rPr>
          <w:u w:val="single"/>
          <w:lang w:val="es-ES"/>
        </w:rPr>
      </w:pPr>
    </w:p>
    <w:p w14:paraId="4D193EF1" w14:textId="1E44B61C" w:rsidR="00701C71" w:rsidRDefault="00701C71" w:rsidP="00201F47">
      <w:pPr>
        <w:spacing w:line="360" w:lineRule="auto"/>
        <w:rPr>
          <w:u w:val="single"/>
        </w:rPr>
      </w:pPr>
      <w:r>
        <w:rPr>
          <w:u w:val="single"/>
        </w:rPr>
        <w:t>Further details on APCC longitudinal model</w:t>
      </w:r>
    </w:p>
    <w:p w14:paraId="0B1C9073" w14:textId="324BFFD4" w:rsidR="00466E4B" w:rsidRPr="00466E4B" w:rsidRDefault="00466E4B" w:rsidP="00201F47">
      <w:pPr>
        <w:spacing w:line="360" w:lineRule="auto"/>
      </w:pPr>
      <w:r w:rsidRPr="00466E4B">
        <w:t xml:space="preserve">Both APCC models were </w:t>
      </w:r>
      <w:r>
        <w:t>fit with NONMEM version 7.3.0</w:t>
      </w:r>
    </w:p>
    <w:p w14:paraId="4A07F5AA" w14:textId="0DFF93BE" w:rsidR="00701C71" w:rsidRPr="00E8351A" w:rsidRDefault="00701C71" w:rsidP="00201F47">
      <w:pPr>
        <w:pStyle w:val="ListParagraph"/>
        <w:numPr>
          <w:ilvl w:val="0"/>
          <w:numId w:val="5"/>
        </w:numPr>
        <w:spacing w:line="360" w:lineRule="auto"/>
      </w:pPr>
      <w:r w:rsidRPr="00E8351A">
        <w:t xml:space="preserve">The APCC model for </w:t>
      </w:r>
      <w:r w:rsidR="00A04360">
        <w:t>P</w:t>
      </w:r>
      <w:r w:rsidRPr="00E8351A">
        <w:t>rogressors</w:t>
      </w:r>
      <w:r>
        <w:t xml:space="preserve"> is mathematically described as follows: </w:t>
      </w:r>
    </w:p>
    <w:p w14:paraId="2E684AC8" w14:textId="77777777" w:rsidR="00701C71" w:rsidRPr="00E8351A" w:rsidRDefault="00701C71" w:rsidP="00201F47">
      <w:pPr>
        <w:spacing w:line="360" w:lineRule="auto"/>
        <w:ind w:left="360"/>
        <w:rPr>
          <w:rFonts w:eastAsiaTheme="minorEastAsia"/>
          <w:iCs/>
          <w:lang w:val="en-GB"/>
        </w:rPr>
      </w:pPr>
      <m:oMath>
        <m:r>
          <w:rPr>
            <w:rFonts w:ascii="Cambria Math" w:hAnsi="Cambria Math"/>
            <w:lang w:val="it-IT"/>
          </w:rPr>
          <m:t>logit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lang w:val="it-IT"/>
                  </w:rPr>
                </m:ctrlPr>
              </m:sSubPr>
              <m:e>
                <m:r>
                  <w:rPr>
                    <w:rFonts w:ascii="Cambria Math" w:hAnsi="Cambria Math"/>
                    <w:lang w:val="it-IT"/>
                  </w:rPr>
                  <m:t>APCC</m:t>
                </m:r>
              </m:e>
              <m:sub>
                <m:r>
                  <w:rPr>
                    <w:rFonts w:ascii="Cambria Math" w:hAnsi="Cambria Math"/>
                    <w:lang w:val="it-IT"/>
                  </w:rPr>
                  <m:t>it</m:t>
                </m:r>
              </m:sub>
            </m:sSub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logitBSL</m:t>
            </m:r>
          </m:e>
          <m:sub>
            <m:r>
              <w:rPr>
                <w:rFonts w:ascii="Cambria Math" w:hAnsi="Cambria Math"/>
                <w:lang w:val="en-GB"/>
              </w:rPr>
              <m:t>i</m:t>
            </m:r>
          </m:sub>
        </m:sSub>
        <m:r>
          <w:rPr>
            <w:rFonts w:ascii="Cambria Math" w:hAnsi="Cambria Math"/>
            <w:lang w:val="en-GB"/>
          </w:rPr>
          <m:t>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rate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i</m:t>
                </m:r>
              </m:sub>
            </m:sSub>
            <m:r>
              <w:rPr>
                <w:rFonts w:ascii="Cambria Math" w:hAnsi="Cambria Math"/>
                <w:lang w:val="en-GB"/>
              </w:rPr>
              <m:t> </m:t>
            </m:r>
          </m:num>
          <m:den>
            <m:r>
              <w:rPr>
                <w:rFonts w:ascii="Cambria Math" w:hAnsi="Cambria Math"/>
                <w:lang w:val="en-GB"/>
              </w:rPr>
              <m:t>1000</m:t>
            </m:r>
          </m:den>
        </m:f>
        <m:r>
          <w:rPr>
            <w:rFonts w:ascii="Cambria Math" w:hAnsi="Cambria Math"/>
            <w:lang w:val="en-GB"/>
          </w:rPr>
          <m:t>∙tim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  <w:lang w:val="en-GB"/>
              </w:rPr>
              <m:t>e</m:t>
            </m:r>
          </m:e>
          <m:sup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θ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3</m:t>
                </m:r>
              </m:sub>
            </m:sSub>
          </m:sup>
        </m:sSup>
        <m:r>
          <w:rPr>
            <w:rFonts w:ascii="Cambria Math" w:hAnsi="Cambria Math"/>
            <w:lang w:val="en-GB"/>
          </w:rPr>
          <m:t>+</m:t>
        </m:r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ϵ</m:t>
            </m:r>
          </m:e>
          <m:sub>
            <m:r>
              <w:rPr>
                <w:rFonts w:ascii="Cambria Math" w:hAnsi="Cambria Math"/>
                <w:lang w:val="en-GB"/>
              </w:rPr>
              <m:t>it</m:t>
            </m:r>
          </m:sub>
        </m:sSub>
      </m:oMath>
      <w:r w:rsidRPr="00E8351A">
        <w:rPr>
          <w:rFonts w:eastAsiaTheme="minorEastAsia"/>
          <w:iCs/>
          <w:lang w:val="en-GB"/>
        </w:rPr>
        <w:t xml:space="preserve"> </w:t>
      </w:r>
      <w:r w:rsidRPr="00E8351A">
        <w:rPr>
          <w:rFonts w:eastAsiaTheme="minorEastAsia"/>
          <w:iCs/>
          <w:lang w:val="en-GB"/>
        </w:rPr>
        <w:tab/>
      </w:r>
      <w:r w:rsidRPr="00E8351A">
        <w:rPr>
          <w:rFonts w:eastAsiaTheme="minorEastAsia"/>
          <w:iCs/>
          <w:lang w:val="en-GB"/>
        </w:rPr>
        <w:tab/>
      </w:r>
      <w:r w:rsidRPr="00E8351A">
        <w:rPr>
          <w:rFonts w:eastAsiaTheme="minorEastAsia"/>
          <w:iCs/>
          <w:lang w:val="en-GB"/>
        </w:rPr>
        <w:tab/>
      </w:r>
    </w:p>
    <w:p w14:paraId="7209B431" w14:textId="77777777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logitBSL</m:t>
            </m:r>
          </m:e>
          <m:sub>
            <m:r>
              <w:rPr>
                <w:rFonts w:ascii="Cambria Math" w:hAnsi="Cambria Math"/>
                <w:lang w:val="en-GB"/>
              </w:rPr>
              <m:t>i</m:t>
            </m:r>
          </m:sub>
        </m:sSub>
        <m:r>
          <w:rPr>
            <w:rFonts w:ascii="Cambria Math" w:hAnsi="Cambria Math"/>
            <w:lang w:val="en-GB"/>
          </w:rPr>
          <m:t>=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θ</m:t>
            </m:r>
          </m:e>
          <m:sub>
            <m:r>
              <w:rPr>
                <w:rFonts w:ascii="Cambria Math" w:hAnsi="Cambria Math"/>
                <w:lang w:val="en-GB"/>
              </w:rPr>
              <m:t>1</m:t>
            </m:r>
          </m:sub>
        </m:sSub>
        <m:r>
          <w:rPr>
            <w:rFonts w:ascii="Cambria Math" w:hAnsi="Cambria Math"/>
            <w:lang w:val="en-GB"/>
          </w:rPr>
          <m:t>+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θ</m:t>
            </m:r>
          </m:e>
          <m:sub>
            <m:r>
              <w:rPr>
                <w:rFonts w:ascii="Cambria Math" w:hAnsi="Cambria Math"/>
                <w:lang w:val="en-GB"/>
              </w:rPr>
              <m:t>4</m:t>
            </m:r>
          </m:sub>
        </m:sSub>
        <m:r>
          <w:rPr>
            <w:rFonts w:ascii="Cambria Math" w:hAnsi="Cambria Math"/>
          </w:rPr>
          <m:t>∙</m:t>
        </m:r>
        <m:d>
          <m:dPr>
            <m:ctrlPr>
              <w:rPr>
                <w:rFonts w:ascii="Cambria Math" w:hAnsi="Cambria Math"/>
                <w:i/>
                <w:iCs/>
              </w:rPr>
            </m:ctrlPr>
          </m:dPr>
          <m:e>
            <m:r>
              <w:rPr>
                <w:rFonts w:ascii="Cambria Math" w:hAnsi="Cambria Math"/>
                <w:lang w:val="en-GB"/>
              </w:rPr>
              <m:t>logit</m:t>
            </m:r>
            <m:d>
              <m:dPr>
                <m:ctrlPr>
                  <w:rPr>
                    <w:rFonts w:ascii="Cambria Math" w:hAnsi="Cambria Math"/>
                    <w:i/>
                    <w:iCs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APCC0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lang w:val="en-GB"/>
                      </w:rPr>
                      <m:t>100</m:t>
                    </m:r>
                  </m:den>
                </m:f>
              </m:e>
            </m:d>
            <m:r>
              <w:rPr>
                <w:rFonts w:ascii="Cambria Math" w:hAnsi="Cambria Math"/>
                <w:lang w:val="en-GB"/>
              </w:rPr>
              <m:t>-logit</m:t>
            </m:r>
            <m:d>
              <m:dPr>
                <m:ctrlPr>
                  <w:rPr>
                    <w:rFonts w:ascii="Cambria Math" w:hAnsi="Cambria Math"/>
                    <w:i/>
                    <w:iCs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GB"/>
                      </w:rPr>
                      <m:t>62</m:t>
                    </m:r>
                  </m:num>
                  <m:den>
                    <m:r>
                      <w:rPr>
                        <w:rFonts w:ascii="Cambria Math" w:hAnsi="Cambria Math"/>
                        <w:lang w:val="en-GB"/>
                      </w:rPr>
                      <m:t>100</m:t>
                    </m:r>
                  </m:den>
                </m:f>
              </m:e>
            </m:d>
          </m:e>
        </m:d>
        <m:r>
          <w:rPr>
            <w:rFonts w:ascii="Cambria Math" w:hAnsi="Cambria Math"/>
            <w:lang w:val="en-GB"/>
          </w:rPr>
          <m:t>+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η</m:t>
            </m:r>
          </m:e>
          <m:sub>
            <m:r>
              <w:rPr>
                <w:rFonts w:ascii="Cambria Math" w:hAnsi="Cambria Math"/>
                <w:lang w:val="en-GB"/>
              </w:rPr>
              <m:t>1i</m:t>
            </m:r>
          </m:sub>
        </m:sSub>
      </m:oMath>
      <w:r w:rsidR="00701C71" w:rsidRPr="00E8351A">
        <w:rPr>
          <w:rFonts w:eastAsiaTheme="minorEastAsia"/>
          <w:iCs/>
        </w:rPr>
        <w:t xml:space="preserve"> </w:t>
      </w:r>
    </w:p>
    <w:p w14:paraId="7952BE53" w14:textId="7E039DED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  <w:lang w:val="en-GB"/>
        </w:rPr>
      </w:pP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rate</m:t>
            </m:r>
          </m:e>
          <m:sub>
            <m:r>
              <w:rPr>
                <w:rFonts w:ascii="Cambria Math" w:hAnsi="Cambria Math"/>
                <w:lang w:val="en-GB"/>
              </w:rPr>
              <m:t>i</m:t>
            </m:r>
          </m:sub>
        </m:sSub>
        <m:r>
          <w:rPr>
            <w:rFonts w:ascii="Cambria Math" w:hAnsi="Cambria Math"/>
            <w:lang w:val="en-GB"/>
          </w:rPr>
          <m:t>=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θ</m:t>
            </m:r>
          </m:e>
          <m:sub>
            <m:r>
              <w:rPr>
                <w:rFonts w:ascii="Cambria Math" w:hAnsi="Cambria Math"/>
                <w:lang w:val="en-GB"/>
              </w:rPr>
              <m:t>2</m:t>
            </m:r>
          </m:sub>
        </m:sSub>
        <m:r>
          <w:rPr>
            <w:rFonts w:ascii="Cambria Math" w:hAnsi="Cambria Math"/>
          </w:rPr>
          <m:t>∙</m:t>
        </m:r>
        <m:sSubSup>
          <m:sSubSupPr>
            <m:ctrlPr>
              <w:rPr>
                <w:rFonts w:ascii="Cambria Math" w:hAnsi="Cambria Math"/>
                <w:i/>
                <w:iCs/>
              </w:rPr>
            </m:ctrlPr>
          </m:sSubSupPr>
          <m:e>
            <m:r>
              <w:rPr>
                <w:rFonts w:ascii="Cambria Math" w:hAnsi="Cambria Math"/>
              </w:rPr>
              <m:t>θ</m:t>
            </m:r>
          </m:e>
          <m:sub>
            <m:r>
              <w:rPr>
                <w:rFonts w:ascii="Cambria Math" w:hAnsi="Cambria Math"/>
              </w:rPr>
              <m:t>5</m:t>
            </m:r>
          </m:sub>
          <m:sup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APOE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sup>
        </m:sSubSup>
        <m:r>
          <w:rPr>
            <w:rFonts w:ascii="Cambria Math" w:hAnsi="Cambria Math"/>
          </w:rPr>
          <m:t>∙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iCs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Educ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lang w:val="en-GB"/>
                      </w:rPr>
                      <m:t>16</m:t>
                    </m:r>
                  </m:den>
                </m:f>
              </m:e>
            </m:d>
          </m:e>
          <m:sup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θ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6</m:t>
                </m:r>
              </m:sub>
            </m:sSub>
          </m:sup>
        </m:sSup>
        <m:r>
          <w:rPr>
            <w:rFonts w:ascii="Cambria Math" w:hAnsi="Cambria Math"/>
          </w:rPr>
          <m:t>∙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iCs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APCC0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lang w:val="en-GB"/>
                      </w:rPr>
                      <m:t>62</m:t>
                    </m:r>
                  </m:den>
                </m:f>
              </m:e>
            </m:d>
          </m:e>
          <m:sup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θ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7</m:t>
                </m:r>
              </m:sub>
            </m:sSub>
          </m:sup>
        </m:sSup>
        <m:r>
          <w:rPr>
            <w:rFonts w:ascii="Cambria Math" w:hAnsi="Cambria Math"/>
            <w:lang w:val="en-GB"/>
          </w:rPr>
          <m:t>∙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  <w:lang w:val="en-GB"/>
              </w:rPr>
              <m:t>e</m:t>
            </m:r>
          </m:e>
          <m:sup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η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2i</m:t>
                </m:r>
              </m:sub>
            </m:sSub>
          </m:sup>
        </m:sSup>
      </m:oMath>
      <w:r w:rsidR="00701C71" w:rsidRPr="00E8351A">
        <w:rPr>
          <w:lang w:val="en-GB"/>
        </w:rPr>
        <w:t xml:space="preserve"> </w:t>
      </w:r>
    </w:p>
    <w:p w14:paraId="138DEF17" w14:textId="77777777" w:rsidR="00D70A70" w:rsidRDefault="00D70A70" w:rsidP="00201F47">
      <w:pPr>
        <w:spacing w:line="360" w:lineRule="auto"/>
        <w:ind w:left="360"/>
        <w:rPr>
          <w:rFonts w:eastAsiaTheme="minorEastAsia"/>
          <w:lang w:val="en-GB"/>
        </w:rPr>
      </w:pPr>
    </w:p>
    <w:p w14:paraId="158A06A4" w14:textId="18616879" w:rsidR="00D70A70" w:rsidRDefault="00D70A70" w:rsidP="00201F47">
      <w:pPr>
        <w:spacing w:line="360" w:lineRule="auto"/>
        <w:ind w:left="360"/>
        <w:rPr>
          <w:rFonts w:eastAsiaTheme="minorEastAsia"/>
          <w:iCs/>
          <w:lang w:val="en-GB"/>
        </w:rPr>
      </w:pPr>
      <m:oMath>
        <m:r>
          <w:rPr>
            <w:rFonts w:ascii="Cambria Math" w:eastAsiaTheme="minorEastAsia" w:hAnsi="Cambria Math"/>
            <w:lang w:val="en-GB"/>
          </w:rPr>
          <m:t>time</m:t>
        </m:r>
      </m:oMath>
      <w:r w:rsidRPr="00E8351A">
        <w:rPr>
          <w:rFonts w:eastAsiaTheme="minorEastAsia"/>
          <w:iCs/>
          <w:lang w:val="en-GB"/>
        </w:rPr>
        <w:t xml:space="preserve"> is defined as</w:t>
      </w:r>
      <w:r w:rsidRPr="00E8351A">
        <w:t xml:space="preserve"> </w:t>
      </w:r>
      <w:r>
        <w:t>the number of years,</w:t>
      </w:r>
      <w:r w:rsidRPr="00E8351A">
        <w:t xml:space="preserve"> counting from 12 years before the</w:t>
      </w:r>
      <w:r>
        <w:t xml:space="preserve"> </w:t>
      </w:r>
      <w:r w:rsidRPr="00E8351A">
        <w:t xml:space="preserve">first </w:t>
      </w:r>
      <w:r w:rsidRPr="00D70A70">
        <w:t>event (MCI or dementia)</w:t>
      </w:r>
      <w:r>
        <w:rPr>
          <w:rFonts w:eastAsiaTheme="minorEastAsia"/>
          <w:iCs/>
          <w:lang w:val="en-GB"/>
        </w:rPr>
        <w:t>;</w:t>
      </w:r>
    </w:p>
    <w:p w14:paraId="30708EA4" w14:textId="26F83E14" w:rsidR="00305A58" w:rsidRPr="00E8351A" w:rsidRDefault="00305A58" w:rsidP="00201F47">
      <w:pPr>
        <w:spacing w:line="360" w:lineRule="auto"/>
        <w:ind w:left="360"/>
        <w:rPr>
          <w:rFonts w:eastAsiaTheme="minorEastAsia"/>
          <w:iCs/>
          <w:lang w:val="en-GB"/>
        </w:rPr>
      </w:pPr>
      <w:r w:rsidRPr="00305A58">
        <w:rPr>
          <w:rFonts w:eastAsiaTheme="minorEastAsia"/>
          <w:i/>
        </w:rPr>
        <w:t xml:space="preserve">i </w:t>
      </w:r>
      <w:r>
        <w:rPr>
          <w:rFonts w:eastAsiaTheme="minorEastAsia"/>
          <w:iCs/>
        </w:rPr>
        <w:t>denotes the individual and</w:t>
      </w:r>
      <w:r w:rsidRPr="00305A58">
        <w:rPr>
          <w:rFonts w:eastAsiaTheme="minorEastAsia"/>
          <w:i/>
        </w:rPr>
        <w:t xml:space="preserve"> t</w:t>
      </w:r>
      <w:r>
        <w:rPr>
          <w:rFonts w:eastAsiaTheme="minorEastAsia"/>
          <w:iCs/>
        </w:rPr>
        <w:t xml:space="preserve"> indexes the time of observation;</w:t>
      </w:r>
    </w:p>
    <w:p w14:paraId="50E27916" w14:textId="11651606" w:rsidR="00701C71" w:rsidRPr="00E8351A" w:rsidRDefault="00701C71" w:rsidP="00201F47">
      <w:pPr>
        <w:spacing w:line="360" w:lineRule="auto"/>
        <w:ind w:left="360"/>
        <w:rPr>
          <w:rFonts w:eastAsiaTheme="minorEastAsia"/>
          <w:iCs/>
          <w:lang w:val="en-GB"/>
        </w:rPr>
      </w:pPr>
      <m:oMath>
        <m:r>
          <w:rPr>
            <w:rFonts w:ascii="Cambria Math" w:hAnsi="Cambria Math"/>
          </w:rPr>
          <m:t xml:space="preserve">APCCO </m:t>
        </m:r>
      </m:oMath>
      <w:r w:rsidRPr="00E8351A">
        <w:rPr>
          <w:rFonts w:eastAsiaTheme="minorEastAsia"/>
          <w:iCs/>
        </w:rPr>
        <w:t>is the observed APCC score at baseline</w:t>
      </w:r>
      <w:r w:rsidR="00AA5673">
        <w:rPr>
          <w:rFonts w:eastAsiaTheme="minorEastAsia"/>
          <w:iCs/>
        </w:rPr>
        <w:t>;</w:t>
      </w:r>
    </w:p>
    <w:p w14:paraId="1B4C19A3" w14:textId="593A76D9" w:rsidR="00701C71" w:rsidRPr="004475A7" w:rsidRDefault="00701C71" w:rsidP="00201F47">
      <w:pPr>
        <w:spacing w:line="360" w:lineRule="auto"/>
        <w:ind w:left="360"/>
        <w:rPr>
          <w:rFonts w:eastAsiaTheme="minorEastAsia"/>
          <w:iCs/>
        </w:rPr>
      </w:pPr>
      <m:oMath>
        <m:r>
          <w:rPr>
            <w:rFonts w:ascii="Cambria Math" w:hAnsi="Cambria Math"/>
          </w:rPr>
          <m:t xml:space="preserve">APOE </m:t>
        </m:r>
      </m:oMath>
      <w:r w:rsidRPr="00E8351A">
        <w:rPr>
          <w:rFonts w:eastAsiaTheme="minorEastAsia"/>
          <w:iCs/>
        </w:rPr>
        <w:t xml:space="preserve">is an indicator of </w:t>
      </w:r>
      <w:r w:rsidRPr="004475A7">
        <w:rPr>
          <w:rFonts w:eastAsiaTheme="minorEastAsia"/>
          <w:iCs/>
        </w:rPr>
        <w:t xml:space="preserve">being </w:t>
      </w:r>
      <w:r w:rsidR="00BE110C" w:rsidRPr="004475A7">
        <w:rPr>
          <w:rFonts w:eastAsiaTheme="minorEastAsia"/>
          <w:iCs/>
        </w:rPr>
        <w:t xml:space="preserve">an </w:t>
      </w:r>
      <w:r w:rsidRPr="004475A7">
        <w:rPr>
          <w:rFonts w:eastAsiaTheme="minorEastAsia"/>
          <w:i/>
        </w:rPr>
        <w:t>A</w:t>
      </w:r>
      <w:r w:rsidR="007710C2" w:rsidRPr="004475A7">
        <w:rPr>
          <w:rFonts w:eastAsiaTheme="minorEastAsia"/>
          <w:i/>
        </w:rPr>
        <w:t>PO</w:t>
      </w:r>
      <w:r w:rsidRPr="004475A7">
        <w:rPr>
          <w:rFonts w:eastAsiaTheme="minorEastAsia"/>
          <w:i/>
        </w:rPr>
        <w:t>E4</w:t>
      </w:r>
      <w:r w:rsidRPr="004475A7">
        <w:rPr>
          <w:rFonts w:eastAsiaTheme="minorEastAsia"/>
          <w:iCs/>
        </w:rPr>
        <w:t xml:space="preserve"> carrier (1 for carriers, 0 for non-carriers</w:t>
      </w:r>
      <w:r w:rsidR="00AA5673" w:rsidRPr="004475A7">
        <w:rPr>
          <w:rFonts w:eastAsiaTheme="minorEastAsia"/>
          <w:iCs/>
        </w:rPr>
        <w:t>);</w:t>
      </w:r>
    </w:p>
    <w:p w14:paraId="5180311F" w14:textId="5F84FEC8" w:rsidR="00701C71" w:rsidRPr="00C60D5E" w:rsidRDefault="00C60D5E" w:rsidP="00201F47">
      <w:pPr>
        <w:spacing w:line="360" w:lineRule="auto"/>
        <w:ind w:left="360"/>
        <w:rPr>
          <w:rFonts w:eastAsiaTheme="minorEastAsia"/>
          <w:iCs/>
        </w:rPr>
      </w:pPr>
      <m:oMath>
        <m:r>
          <w:rPr>
            <w:rFonts w:ascii="Cambria Math" w:hAnsi="Cambria Math"/>
          </w:rPr>
          <m:t>Educ</m:t>
        </m:r>
      </m:oMath>
      <w:r w:rsidR="00701C71" w:rsidRPr="00C60D5E">
        <w:rPr>
          <w:rFonts w:eastAsiaTheme="minorEastAsia"/>
          <w:i/>
        </w:rPr>
        <w:t xml:space="preserve"> </w:t>
      </w:r>
      <w:r w:rsidR="00701C71" w:rsidRPr="00C60D5E">
        <w:rPr>
          <w:rFonts w:eastAsiaTheme="minorEastAsia"/>
          <w:iCs/>
        </w:rPr>
        <w:t>is</w:t>
      </w:r>
      <w:r w:rsidR="005D3FBC" w:rsidRPr="00C60D5E">
        <w:rPr>
          <w:rFonts w:eastAsiaTheme="minorEastAsia"/>
          <w:iCs/>
        </w:rPr>
        <w:t xml:space="preserve"> the duration of education (in years)</w:t>
      </w:r>
      <w:r w:rsidR="00AA5673" w:rsidRPr="00C60D5E">
        <w:rPr>
          <w:rFonts w:eastAsiaTheme="minorEastAsia"/>
          <w:iCs/>
        </w:rPr>
        <w:t>;</w:t>
      </w:r>
    </w:p>
    <w:p w14:paraId="378FDE62" w14:textId="0A3A8A57" w:rsidR="00C60D5E" w:rsidRPr="00E8351A" w:rsidRDefault="00C60D5E" w:rsidP="00201F47">
      <w:pPr>
        <w:spacing w:line="360" w:lineRule="auto"/>
        <w:ind w:left="360"/>
        <w:rPr>
          <w:rFonts w:eastAsiaTheme="minorEastAsia"/>
          <w:iCs/>
        </w:rPr>
      </w:pPr>
      <w:r w:rsidRPr="00C60D5E">
        <w:rPr>
          <w:rFonts w:eastAsiaTheme="minorEastAsia"/>
          <w:i/>
        </w:rPr>
        <w:t xml:space="preserve">rate i </w:t>
      </w:r>
      <w:r w:rsidRPr="00C60D5E">
        <w:rPr>
          <w:rFonts w:eastAsiaTheme="minorEastAsia"/>
          <w:iCs/>
        </w:rPr>
        <w:t>is the rate of decline of an individual</w:t>
      </w:r>
      <w:r w:rsidR="00305A58">
        <w:rPr>
          <w:rFonts w:eastAsiaTheme="minorEastAsia"/>
          <w:iCs/>
        </w:rPr>
        <w:t>;</w:t>
      </w:r>
    </w:p>
    <w:p w14:paraId="3DE940DD" w14:textId="487606FD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1</m:t>
            </m:r>
          </m:sub>
        </m:sSub>
      </m:oMath>
      <w:r w:rsidR="00701C71" w:rsidRPr="00E8351A">
        <w:rPr>
          <w:rFonts w:eastAsiaTheme="minorEastAsia"/>
          <w:iCs/>
        </w:rPr>
        <w:t xml:space="preserve"> is an estimate of </w:t>
      </w:r>
      <w:r w:rsidR="00C84168">
        <w:rPr>
          <w:rFonts w:eastAsiaTheme="minorEastAsia"/>
          <w:iCs/>
        </w:rPr>
        <w:t xml:space="preserve">the </w:t>
      </w:r>
      <w:r w:rsidR="00701C71" w:rsidRPr="00E8351A">
        <w:rPr>
          <w:rFonts w:eastAsiaTheme="minorEastAsia"/>
          <w:iCs/>
        </w:rPr>
        <w:t>APCC score 12 years before the first diagnosis (on</w:t>
      </w:r>
      <w:r w:rsidR="00BE110C">
        <w:rPr>
          <w:rFonts w:eastAsiaTheme="minorEastAsia"/>
          <w:iCs/>
        </w:rPr>
        <w:t xml:space="preserve"> a</w:t>
      </w:r>
      <w:r w:rsidR="00701C71" w:rsidRPr="00E8351A">
        <w:rPr>
          <w:rFonts w:eastAsiaTheme="minorEastAsia"/>
          <w:iCs/>
        </w:rPr>
        <w:t xml:space="preserve"> logit scale) of a typical </w:t>
      </w:r>
      <w:r w:rsidR="006967C8">
        <w:rPr>
          <w:rFonts w:eastAsiaTheme="minorEastAsia"/>
          <w:iCs/>
        </w:rPr>
        <w:t>P</w:t>
      </w:r>
      <w:r w:rsidR="00701C71" w:rsidRPr="00E8351A">
        <w:rPr>
          <w:rFonts w:eastAsiaTheme="minorEastAsia"/>
          <w:iCs/>
        </w:rPr>
        <w:t xml:space="preserve">rogressor, with </w:t>
      </w:r>
      <w:r w:rsidR="00C84168">
        <w:rPr>
          <w:rFonts w:eastAsiaTheme="minorEastAsia"/>
          <w:iCs/>
        </w:rPr>
        <w:t xml:space="preserve">the </w:t>
      </w:r>
      <w:r w:rsidR="00701C71" w:rsidRPr="00E8351A">
        <w:rPr>
          <w:rFonts w:eastAsiaTheme="minorEastAsia"/>
          <w:iCs/>
        </w:rPr>
        <w:t>observed APCC at baseline equal to 62 (</w:t>
      </w:r>
      <w:r w:rsidR="00C60D5E" w:rsidRPr="00C60D5E">
        <w:rPr>
          <w:rFonts w:eastAsiaTheme="minorEastAsia"/>
          <w:iCs/>
        </w:rPr>
        <w:t xml:space="preserve">median of Progressors in </w:t>
      </w:r>
      <w:r w:rsidR="00C60D5E">
        <w:rPr>
          <w:rFonts w:eastAsiaTheme="minorEastAsia"/>
          <w:iCs/>
        </w:rPr>
        <w:t xml:space="preserve">the </w:t>
      </w:r>
      <w:r w:rsidR="00C60D5E" w:rsidRPr="00C60D5E">
        <w:rPr>
          <w:rFonts w:eastAsiaTheme="minorEastAsia"/>
          <w:iCs/>
        </w:rPr>
        <w:t>Rush cohort</w:t>
      </w:r>
      <w:r w:rsidR="00C60D5E">
        <w:rPr>
          <w:rFonts w:eastAsiaTheme="minorEastAsia"/>
          <w:iCs/>
        </w:rPr>
        <w:t>s</w:t>
      </w:r>
      <w:r w:rsidR="00701C71" w:rsidRPr="00E8351A">
        <w:rPr>
          <w:rFonts w:eastAsiaTheme="minorEastAsia"/>
          <w:iCs/>
        </w:rPr>
        <w:t>),</w:t>
      </w:r>
      <w:r w:rsidR="00701C71">
        <w:rPr>
          <w:rFonts w:eastAsiaTheme="minorEastAsia"/>
          <w:iCs/>
        </w:rPr>
        <w:t xml:space="preserve"> estimated as 0.581</w:t>
      </w:r>
      <w:r w:rsidR="00AA5673">
        <w:rPr>
          <w:rFonts w:eastAsiaTheme="minorEastAsia"/>
          <w:iCs/>
        </w:rPr>
        <w:t>;</w:t>
      </w:r>
    </w:p>
    <w:p w14:paraId="386A2684" w14:textId="56D39D43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2</m:t>
            </m:r>
          </m:sub>
        </m:sSub>
      </m:oMath>
      <w:r w:rsidR="00701C71" w:rsidRPr="00E8351A">
        <w:rPr>
          <w:rFonts w:eastAsiaTheme="minorEastAsia"/>
          <w:iCs/>
        </w:rPr>
        <w:t xml:space="preserve"> is the rate of decline in APCC of a typical </w:t>
      </w:r>
      <w:r w:rsidR="006967C8">
        <w:rPr>
          <w:rFonts w:eastAsiaTheme="minorEastAsia"/>
          <w:iCs/>
        </w:rPr>
        <w:t>P</w:t>
      </w:r>
      <w:r w:rsidR="00701C71" w:rsidRPr="00E8351A">
        <w:rPr>
          <w:rFonts w:eastAsiaTheme="minorEastAsia"/>
          <w:iCs/>
        </w:rPr>
        <w:t>rogressor,</w:t>
      </w:r>
      <w:r w:rsidR="00C84168">
        <w:rPr>
          <w:rFonts w:eastAsiaTheme="minorEastAsia"/>
          <w:iCs/>
        </w:rPr>
        <w:t xml:space="preserve"> a</w:t>
      </w:r>
      <w:r w:rsidR="00701C71" w:rsidRPr="00E8351A">
        <w:rPr>
          <w:rFonts w:eastAsiaTheme="minorEastAsia"/>
          <w:iCs/>
        </w:rPr>
        <w:t xml:space="preserve"> non-carrier of </w:t>
      </w:r>
      <w:r w:rsidR="00701C71" w:rsidRPr="006967C8">
        <w:rPr>
          <w:rFonts w:eastAsiaTheme="minorEastAsia"/>
          <w:i/>
        </w:rPr>
        <w:t>A</w:t>
      </w:r>
      <w:r w:rsidR="006967C8" w:rsidRPr="006967C8">
        <w:rPr>
          <w:rFonts w:eastAsiaTheme="minorEastAsia"/>
          <w:i/>
        </w:rPr>
        <w:t>PO</w:t>
      </w:r>
      <w:r w:rsidR="00701C71" w:rsidRPr="006967C8">
        <w:rPr>
          <w:rFonts w:eastAsiaTheme="minorEastAsia"/>
          <w:i/>
        </w:rPr>
        <w:t>E4</w:t>
      </w:r>
      <w:r w:rsidR="00701C71" w:rsidRPr="00E8351A">
        <w:rPr>
          <w:rFonts w:eastAsiaTheme="minorEastAsia"/>
          <w:iCs/>
        </w:rPr>
        <w:t xml:space="preserve">, with 16 years of education and </w:t>
      </w:r>
      <w:r w:rsidR="00C84168">
        <w:rPr>
          <w:rFonts w:eastAsiaTheme="minorEastAsia"/>
          <w:iCs/>
        </w:rPr>
        <w:t xml:space="preserve">a </w:t>
      </w:r>
      <w:r w:rsidR="00701C71" w:rsidRPr="00E8351A">
        <w:rPr>
          <w:rFonts w:eastAsiaTheme="minorEastAsia"/>
          <w:iCs/>
        </w:rPr>
        <w:t>baseline APCC equal to 62,</w:t>
      </w:r>
      <w:r w:rsidR="00701C71">
        <w:rPr>
          <w:rFonts w:eastAsiaTheme="minorEastAsia"/>
          <w:iCs/>
        </w:rPr>
        <w:t xml:space="preserve"> estimated as 0.0148</w:t>
      </w:r>
      <w:r w:rsidR="00AA5673">
        <w:rPr>
          <w:rFonts w:eastAsiaTheme="minorEastAsia"/>
          <w:iCs/>
        </w:rPr>
        <w:t>;</w:t>
      </w:r>
    </w:p>
    <w:p w14:paraId="5B5473B0" w14:textId="6FBA2B0B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3</m:t>
            </m:r>
          </m:sub>
        </m:sSub>
      </m:oMath>
      <w:r w:rsidR="00701C71" w:rsidRPr="00701C71">
        <w:rPr>
          <w:rFonts w:eastAsiaTheme="minorEastAsia"/>
          <w:iCs/>
        </w:rPr>
        <w:t xml:space="preserve"> is the exponent for the effect of time, f</w:t>
      </w:r>
      <w:r w:rsidR="00701C71">
        <w:rPr>
          <w:rFonts w:eastAsiaTheme="minorEastAsia"/>
          <w:iCs/>
        </w:rPr>
        <w:t>ixed to 4 (because of</w:t>
      </w:r>
      <w:r w:rsidR="00C84168">
        <w:rPr>
          <w:rFonts w:eastAsiaTheme="minorEastAsia"/>
          <w:iCs/>
        </w:rPr>
        <w:t xml:space="preserve"> a</w:t>
      </w:r>
      <w:r w:rsidR="00701C71">
        <w:rPr>
          <w:rFonts w:eastAsiaTheme="minorEastAsia"/>
          <w:iCs/>
        </w:rPr>
        <w:t xml:space="preserve"> lack of information in </w:t>
      </w:r>
      <w:r w:rsidR="00C84168">
        <w:rPr>
          <w:rFonts w:eastAsiaTheme="minorEastAsia"/>
          <w:iCs/>
        </w:rPr>
        <w:t xml:space="preserve">the </w:t>
      </w:r>
      <w:r w:rsidR="00701C71">
        <w:rPr>
          <w:rFonts w:eastAsiaTheme="minorEastAsia"/>
          <w:iCs/>
        </w:rPr>
        <w:t>data)</w:t>
      </w:r>
      <w:r w:rsidR="00AA5673">
        <w:rPr>
          <w:rFonts w:eastAsiaTheme="minorEastAsia"/>
          <w:iCs/>
        </w:rPr>
        <w:t>;</w:t>
      </w:r>
    </w:p>
    <w:p w14:paraId="51E709B1" w14:textId="3821B4CB" w:rsidR="00701C71" w:rsidRPr="007B418B" w:rsidRDefault="00EC4807" w:rsidP="00201F47">
      <w:pPr>
        <w:spacing w:line="360" w:lineRule="auto"/>
        <w:ind w:left="360"/>
        <w:rPr>
          <w:rFonts w:eastAsiaTheme="minorEastAsia"/>
          <w:i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4</m:t>
            </m:r>
          </m:sub>
        </m:sSub>
      </m:oMath>
      <w:r w:rsidR="00701C71" w:rsidRPr="00E8351A">
        <w:rPr>
          <w:rFonts w:eastAsiaTheme="minorEastAsia"/>
          <w:iCs/>
        </w:rPr>
        <w:t xml:space="preserve"> is the covariate effect of baseline APCC on the APCC 12 years prior to the first </w:t>
      </w:r>
      <w:r w:rsidR="00ED6CCB">
        <w:rPr>
          <w:rFonts w:eastAsiaTheme="minorEastAsia"/>
          <w:iCs/>
        </w:rPr>
        <w:t>event</w:t>
      </w:r>
      <w:r w:rsidR="00701C71" w:rsidRPr="00E8351A">
        <w:rPr>
          <w:rFonts w:eastAsiaTheme="minorEastAsia"/>
          <w:iCs/>
        </w:rPr>
        <w:t>,</w:t>
      </w:r>
      <w:r w:rsidR="00701C71">
        <w:rPr>
          <w:rFonts w:eastAsiaTheme="minorEastAsia"/>
          <w:iCs/>
        </w:rPr>
        <w:t xml:space="preserve"> estimated as 0.814</w:t>
      </w:r>
      <w:r w:rsidR="00AA5673">
        <w:rPr>
          <w:rFonts w:eastAsiaTheme="minorEastAsia"/>
          <w:iCs/>
        </w:rPr>
        <w:t>;</w:t>
      </w:r>
    </w:p>
    <w:p w14:paraId="276BB494" w14:textId="2187DD1D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5</m:t>
            </m:r>
          </m:sub>
        </m:sSub>
      </m:oMath>
      <w:r w:rsidR="00701C71" w:rsidRPr="00E8351A">
        <w:rPr>
          <w:rFonts w:eastAsiaTheme="minorEastAsia"/>
          <w:iCs/>
        </w:rPr>
        <w:t xml:space="preserve"> is the multiplier for the rate of decline in the </w:t>
      </w:r>
      <w:r w:rsidR="00701C71" w:rsidRPr="007B418B">
        <w:rPr>
          <w:rFonts w:eastAsiaTheme="minorEastAsia"/>
          <w:i/>
        </w:rPr>
        <w:t>A</w:t>
      </w:r>
      <w:r w:rsidR="007B418B" w:rsidRPr="007B418B">
        <w:rPr>
          <w:rFonts w:eastAsiaTheme="minorEastAsia"/>
          <w:i/>
        </w:rPr>
        <w:t>PO</w:t>
      </w:r>
      <w:r w:rsidR="00701C71" w:rsidRPr="007B418B">
        <w:rPr>
          <w:rFonts w:eastAsiaTheme="minorEastAsia"/>
          <w:i/>
        </w:rPr>
        <w:t>E4</w:t>
      </w:r>
      <w:r w:rsidR="00701C71" w:rsidRPr="00E8351A">
        <w:rPr>
          <w:rFonts w:eastAsiaTheme="minorEastAsia"/>
          <w:iCs/>
        </w:rPr>
        <w:t xml:space="preserve"> carriers,</w:t>
      </w:r>
      <w:r w:rsidR="00701C71">
        <w:rPr>
          <w:rFonts w:eastAsiaTheme="minorEastAsia"/>
          <w:iCs/>
        </w:rPr>
        <w:t xml:space="preserve"> estimated as 1.11</w:t>
      </w:r>
      <w:r w:rsidR="00AA5673">
        <w:rPr>
          <w:rFonts w:eastAsiaTheme="minorEastAsia"/>
          <w:iCs/>
        </w:rPr>
        <w:t>;</w:t>
      </w:r>
    </w:p>
    <w:p w14:paraId="69FB4D1B" w14:textId="364DB625" w:rsidR="00701C71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6</m:t>
            </m:r>
          </m:sub>
        </m:sSub>
      </m:oMath>
      <w:r w:rsidR="00701C71" w:rsidRPr="00E8351A">
        <w:rPr>
          <w:rFonts w:eastAsiaTheme="minorEastAsia"/>
          <w:iCs/>
        </w:rPr>
        <w:t xml:space="preserve"> is the covariate effect of </w:t>
      </w:r>
      <w:r w:rsidR="008A7112">
        <w:rPr>
          <w:rFonts w:eastAsiaTheme="minorEastAsia"/>
          <w:iCs/>
        </w:rPr>
        <w:t xml:space="preserve">the years of </w:t>
      </w:r>
      <w:r w:rsidR="00701C71" w:rsidRPr="00E8351A">
        <w:rPr>
          <w:rFonts w:eastAsiaTheme="minorEastAsia"/>
          <w:iCs/>
        </w:rPr>
        <w:t>education on the rate of decline,</w:t>
      </w:r>
      <w:r w:rsidR="00701C71">
        <w:rPr>
          <w:rFonts w:eastAsiaTheme="minorEastAsia"/>
          <w:iCs/>
        </w:rPr>
        <w:t xml:space="preserve"> estimated as </w:t>
      </w:r>
      <w:r w:rsidR="008A7112">
        <w:rPr>
          <w:rFonts w:eastAsiaTheme="minorEastAsia"/>
          <w:iCs/>
        </w:rPr>
        <w:t>−</w:t>
      </w:r>
      <w:r w:rsidR="00701C71">
        <w:rPr>
          <w:rFonts w:eastAsiaTheme="minorEastAsia"/>
          <w:iCs/>
        </w:rPr>
        <w:t>0.918</w:t>
      </w:r>
      <w:r w:rsidR="00AA5673">
        <w:rPr>
          <w:rFonts w:eastAsiaTheme="minorEastAsia"/>
          <w:iCs/>
        </w:rPr>
        <w:t>;</w:t>
      </w:r>
    </w:p>
    <w:p w14:paraId="587BF11B" w14:textId="5E517C03" w:rsidR="00701C71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7</m:t>
            </m:r>
          </m:sub>
        </m:sSub>
      </m:oMath>
      <w:r w:rsidR="00701C71">
        <w:rPr>
          <w:rFonts w:eastAsiaTheme="minorEastAsia"/>
          <w:iCs/>
        </w:rPr>
        <w:t xml:space="preserve"> is the covariate effect of baseline APCC on the rate of decline, estimated as 2.62</w:t>
      </w:r>
      <w:r w:rsidR="00AA5673">
        <w:rPr>
          <w:rFonts w:eastAsiaTheme="minorEastAsia"/>
          <w:iCs/>
        </w:rPr>
        <w:t>;</w:t>
      </w:r>
    </w:p>
    <w:p w14:paraId="68C9FF9D" w14:textId="3F761B01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η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1</m:t>
            </m:r>
          </m:sub>
        </m:sSub>
      </m:oMath>
      <w:r w:rsidR="00701C71" w:rsidRPr="00E8351A">
        <w:rPr>
          <w:rFonts w:eastAsiaTheme="minorEastAsia"/>
          <w:iCs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η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2</m:t>
            </m:r>
          </m:sub>
        </m:sSub>
      </m:oMath>
      <w:r w:rsidR="00701C71" w:rsidRPr="00E8351A">
        <w:rPr>
          <w:rFonts w:eastAsiaTheme="minorEastAsia"/>
          <w:iCs/>
        </w:rPr>
        <w:t xml:space="preserve"> are independently normally distributed subject-specific random effects for APCC 12 years prior to the first </w:t>
      </w:r>
      <w:r w:rsidR="00F53A52">
        <w:rPr>
          <w:rFonts w:eastAsiaTheme="minorEastAsia"/>
          <w:iCs/>
        </w:rPr>
        <w:t>event</w:t>
      </w:r>
      <w:r w:rsidR="00F53A52" w:rsidRPr="00E8351A">
        <w:rPr>
          <w:rFonts w:eastAsiaTheme="minorEastAsia"/>
          <w:iCs/>
        </w:rPr>
        <w:t xml:space="preserve"> </w:t>
      </w:r>
      <w:r w:rsidR="00701C71" w:rsidRPr="00E8351A">
        <w:rPr>
          <w:rFonts w:eastAsiaTheme="minorEastAsia"/>
          <w:iCs/>
        </w:rPr>
        <w:t xml:space="preserve">and for </w:t>
      </w:r>
      <w:r w:rsidR="008A7112">
        <w:rPr>
          <w:rFonts w:eastAsiaTheme="minorEastAsia"/>
          <w:iCs/>
        </w:rPr>
        <w:t xml:space="preserve">the </w:t>
      </w:r>
      <w:r w:rsidR="00701C71" w:rsidRPr="00E8351A">
        <w:rPr>
          <w:rFonts w:eastAsiaTheme="minorEastAsia"/>
          <w:iCs/>
        </w:rPr>
        <w:t xml:space="preserve">rate of APCC change, respectively, with </w:t>
      </w:r>
      <w:r w:rsidR="00D70A70">
        <w:rPr>
          <w:rFonts w:eastAsiaTheme="minorEastAsia"/>
          <w:iCs/>
        </w:rPr>
        <w:t>zero</w:t>
      </w:r>
      <w:r w:rsidR="00D70A70" w:rsidRPr="00E8351A">
        <w:rPr>
          <w:rFonts w:eastAsiaTheme="minorEastAsia"/>
          <w:iCs/>
        </w:rPr>
        <w:t xml:space="preserve"> </w:t>
      </w:r>
      <w:r w:rsidR="00701C71" w:rsidRPr="00E8351A">
        <w:rPr>
          <w:rFonts w:eastAsiaTheme="minorEastAsia"/>
          <w:iCs/>
        </w:rPr>
        <w:t>mean and standard deviations,</w:t>
      </w:r>
      <w:r w:rsidR="00701C71">
        <w:rPr>
          <w:rFonts w:eastAsiaTheme="minorEastAsia"/>
          <w:iCs/>
        </w:rPr>
        <w:t xml:space="preserve"> estimated as 0.117 and 0.693</w:t>
      </w:r>
      <w:r w:rsidR="00AA5673">
        <w:rPr>
          <w:rFonts w:eastAsiaTheme="minorEastAsia"/>
          <w:iCs/>
        </w:rPr>
        <w:t>;</w:t>
      </w:r>
    </w:p>
    <w:p w14:paraId="28601F13" w14:textId="062D3E70" w:rsidR="00701C71" w:rsidRDefault="00701C71" w:rsidP="00201F47">
      <w:pPr>
        <w:spacing w:line="360" w:lineRule="auto"/>
        <w:ind w:left="360"/>
        <w:rPr>
          <w:rFonts w:eastAsiaTheme="minorEastAsia"/>
          <w:iCs/>
        </w:rPr>
      </w:pPr>
      <m:oMath>
        <m:r>
          <w:rPr>
            <w:rFonts w:ascii="Cambria Math" w:hAnsi="Cambria Math"/>
            <w:lang w:val="en-GB"/>
          </w:rPr>
          <m:t>ϵ</m:t>
        </m:r>
      </m:oMath>
      <w:r w:rsidRPr="00E8351A">
        <w:rPr>
          <w:rFonts w:eastAsiaTheme="minorEastAsia"/>
          <w:lang w:val="en-GB"/>
        </w:rPr>
        <w:t xml:space="preserve"> is a normally distributed random effect of the residual variability, with </w:t>
      </w:r>
      <w:r w:rsidR="00D70A70">
        <w:rPr>
          <w:rFonts w:eastAsiaTheme="minorEastAsia"/>
          <w:lang w:val="en-GB"/>
        </w:rPr>
        <w:t>zero</w:t>
      </w:r>
      <w:r w:rsidR="00D70A70" w:rsidRPr="00E8351A">
        <w:rPr>
          <w:rFonts w:eastAsiaTheme="minorEastAsia"/>
          <w:lang w:val="en-GB"/>
        </w:rPr>
        <w:t xml:space="preserve"> </w:t>
      </w:r>
      <w:r w:rsidRPr="00E8351A">
        <w:rPr>
          <w:rFonts w:eastAsiaTheme="minorEastAsia"/>
          <w:lang w:val="en-GB"/>
        </w:rPr>
        <w:t xml:space="preserve">mean and </w:t>
      </w:r>
      <w:r w:rsidRPr="00E8351A">
        <w:rPr>
          <w:rFonts w:eastAsiaTheme="minorEastAsia"/>
          <w:iCs/>
        </w:rPr>
        <w:t>standard deviation</w:t>
      </w:r>
      <w:r w:rsidR="008A7112">
        <w:rPr>
          <w:rFonts w:eastAsiaTheme="minorEastAsia"/>
          <w:iCs/>
        </w:rPr>
        <w:t>,</w:t>
      </w:r>
      <w:r>
        <w:rPr>
          <w:rFonts w:eastAsiaTheme="minorEastAsia"/>
          <w:iCs/>
        </w:rPr>
        <w:t xml:space="preserve"> estimated as 0.227</w:t>
      </w:r>
      <w:r w:rsidR="008A7112">
        <w:rPr>
          <w:rFonts w:eastAsiaTheme="minorEastAsia"/>
          <w:iCs/>
        </w:rPr>
        <w:t>.</w:t>
      </w:r>
    </w:p>
    <w:p w14:paraId="7ED27DE5" w14:textId="77777777" w:rsidR="00A04360" w:rsidRPr="00E8351A" w:rsidRDefault="00A04360" w:rsidP="00201F47">
      <w:pPr>
        <w:spacing w:line="360" w:lineRule="auto"/>
        <w:ind w:left="360"/>
        <w:rPr>
          <w:rFonts w:eastAsiaTheme="minorEastAsia"/>
          <w:iCs/>
        </w:rPr>
      </w:pPr>
    </w:p>
    <w:p w14:paraId="0E0C1E10" w14:textId="0953E79D" w:rsidR="00701C71" w:rsidRPr="00A04360" w:rsidRDefault="00701C71" w:rsidP="00201F47">
      <w:pPr>
        <w:pStyle w:val="ListParagraph"/>
        <w:numPr>
          <w:ilvl w:val="0"/>
          <w:numId w:val="5"/>
        </w:numPr>
        <w:spacing w:line="360" w:lineRule="auto"/>
        <w:rPr>
          <w:rFonts w:eastAsiaTheme="minorEastAsia"/>
          <w:iCs/>
        </w:rPr>
      </w:pPr>
      <w:r w:rsidRPr="00A04360">
        <w:rPr>
          <w:rFonts w:eastAsiaTheme="minorEastAsia"/>
          <w:iCs/>
        </w:rPr>
        <w:t xml:space="preserve">The APCC model for </w:t>
      </w:r>
      <w:r w:rsidR="00A04360" w:rsidRPr="00A04360">
        <w:rPr>
          <w:rFonts w:eastAsiaTheme="minorEastAsia"/>
          <w:iCs/>
        </w:rPr>
        <w:t>N</w:t>
      </w:r>
      <w:r w:rsidRPr="00A04360">
        <w:rPr>
          <w:rFonts w:eastAsiaTheme="minorEastAsia"/>
          <w:iCs/>
        </w:rPr>
        <w:t>on-progressors is mathematically described as follows:</w:t>
      </w:r>
    </w:p>
    <w:p w14:paraId="01EA0895" w14:textId="77777777" w:rsidR="00701C71" w:rsidRPr="00E8351A" w:rsidRDefault="00701C71" w:rsidP="00201F47">
      <w:pPr>
        <w:spacing w:line="360" w:lineRule="auto"/>
        <w:ind w:left="360"/>
        <w:rPr>
          <w:rFonts w:eastAsiaTheme="minorEastAsia"/>
          <w:iCs/>
          <w:lang w:val="it-IT"/>
        </w:rPr>
      </w:pPr>
      <m:oMath>
        <m:r>
          <w:rPr>
            <w:rFonts w:ascii="Cambria Math" w:eastAsiaTheme="minorEastAsia" w:hAnsi="Cambria Math"/>
            <w:lang w:val="en-GB"/>
          </w:rPr>
          <m:t>logit</m:t>
        </m:r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GB"/>
                  </w:rPr>
                  <m:t>APCC</m:t>
                </m:r>
              </m:e>
              <m:sub>
                <m:r>
                  <w:rPr>
                    <w:rFonts w:ascii="Cambria Math" w:eastAsiaTheme="minorEastAsia" w:hAnsi="Cambria Math"/>
                    <w:lang w:val="en-GB"/>
                  </w:rPr>
                  <m:t>it</m:t>
                </m:r>
              </m:sub>
            </m:sSub>
          </m:e>
        </m:d>
        <m:r>
          <w:rPr>
            <w:rFonts w:ascii="Cambria Math" w:eastAsiaTheme="minorEastAsia" w:hAnsi="Cambria Math"/>
            <w:lang w:val="it-IT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logit</m:t>
            </m:r>
            <m:r>
              <w:rPr>
                <w:rFonts w:ascii="Cambria Math" w:eastAsiaTheme="minorEastAsia" w:hAnsi="Cambria Math"/>
              </w:rPr>
              <m:t>BSL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i</m:t>
            </m:r>
          </m:sub>
        </m:sSub>
        <m:r>
          <w:rPr>
            <w:rFonts w:ascii="Cambria Math" w:eastAsiaTheme="minorEastAsia" w:hAnsi="Cambria Math"/>
            <w:lang w:val="it-IT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GB"/>
                  </w:rPr>
                  <m:t>rate</m:t>
                </m:r>
              </m:e>
              <m:sub>
                <m:r>
                  <w:rPr>
                    <w:rFonts w:ascii="Cambria Math" w:eastAsiaTheme="minorEastAsia" w:hAnsi="Cambria Math"/>
                    <w:lang w:val="en-GB"/>
                  </w:rPr>
                  <m:t>i</m:t>
                </m:r>
              </m:sub>
            </m:sSub>
          </m:num>
          <m:den>
            <m:r>
              <w:rPr>
                <w:rFonts w:ascii="Cambria Math" w:eastAsiaTheme="minorEastAsia" w:hAnsi="Cambria Math"/>
                <w:lang w:val="it-IT"/>
              </w:rPr>
              <m:t>1000</m:t>
            </m:r>
          </m:den>
        </m:f>
        <m:r>
          <w:rPr>
            <w:rFonts w:ascii="Cambria Math" w:eastAsiaTheme="minorEastAsia" w:hAnsi="Cambria Math"/>
            <w:lang w:val="en-GB"/>
          </w:rPr>
          <m:t>∙time</m:t>
        </m:r>
        <m:r>
          <w:rPr>
            <w:rFonts w:ascii="Cambria Math" w:eastAsiaTheme="minorEastAsia" w:hAnsi="Cambria Math"/>
            <w:lang w:val="it-IT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ϵ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it</m:t>
            </m:r>
          </m:sub>
        </m:sSub>
        <m:r>
          <w:rPr>
            <w:rFonts w:ascii="Cambria Math" w:eastAsiaTheme="minorEastAsia" w:hAnsi="Cambria Math"/>
            <w:lang w:val="it-IT"/>
          </w:rPr>
          <m:t> </m:t>
        </m:r>
      </m:oMath>
      <w:r w:rsidRPr="00E8351A">
        <w:rPr>
          <w:rFonts w:eastAsiaTheme="minorEastAsia"/>
          <w:iCs/>
          <w:lang w:val="it-IT"/>
        </w:rPr>
        <w:t xml:space="preserve"> </w:t>
      </w:r>
    </w:p>
    <w:p w14:paraId="0A57FB86" w14:textId="1BDCFE56" w:rsidR="00701C71" w:rsidRDefault="00EC4807" w:rsidP="00201F47">
      <w:pPr>
        <w:spacing w:line="360" w:lineRule="auto"/>
        <w:ind w:left="360"/>
        <w:rPr>
          <w:rFonts w:eastAsiaTheme="minorEastAsia"/>
          <w:iCs/>
          <w:lang w:val="it-IT"/>
        </w:rPr>
      </w:pP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logitBSL</m:t>
            </m:r>
          </m:e>
          <m:sub>
            <m:r>
              <w:rPr>
                <w:rFonts w:ascii="Cambria Math" w:hAnsi="Cambria Math"/>
                <w:lang w:val="en-GB"/>
              </w:rPr>
              <m:t>i</m:t>
            </m:r>
          </m:sub>
        </m:sSub>
        <m:r>
          <w:rPr>
            <w:rFonts w:ascii="Cambria Math" w:hAnsi="Cambria Math"/>
            <w:lang w:val="it-IT"/>
          </w:rPr>
          <m:t>=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θ</m:t>
            </m:r>
          </m:e>
          <m:sub>
            <m:r>
              <w:rPr>
                <w:rFonts w:ascii="Cambria Math" w:hAnsi="Cambria Math"/>
                <w:lang w:val="it-IT"/>
              </w:rPr>
              <m:t>11</m:t>
            </m:r>
          </m:sub>
        </m:sSub>
        <m:r>
          <w:rPr>
            <w:rFonts w:ascii="Cambria Math" w:hAnsi="Cambria Math"/>
            <w:lang w:val="it-IT"/>
          </w:rPr>
          <m:t>+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θ</m:t>
            </m:r>
          </m:e>
          <m:sub>
            <m:r>
              <w:rPr>
                <w:rFonts w:ascii="Cambria Math" w:hAnsi="Cambria Math"/>
                <w:lang w:val="it-IT"/>
              </w:rPr>
              <m:t>13</m:t>
            </m:r>
          </m:sub>
        </m:sSub>
        <m:r>
          <w:rPr>
            <w:rFonts w:ascii="Cambria Math" w:hAnsi="Cambria Math"/>
            <w:lang w:val="it-IT"/>
          </w:rPr>
          <m:t>∙</m:t>
        </m:r>
        <m:d>
          <m:dPr>
            <m:ctrlPr>
              <w:rPr>
                <w:rFonts w:ascii="Cambria Math" w:hAnsi="Cambria Math"/>
                <w:i/>
                <w:iCs/>
              </w:rPr>
            </m:ctrlPr>
          </m:dPr>
          <m:e>
            <m:r>
              <w:rPr>
                <w:rFonts w:ascii="Cambria Math" w:hAnsi="Cambria Math"/>
                <w:lang w:val="en-GB"/>
              </w:rPr>
              <m:t>Educ</m:t>
            </m:r>
            <m:r>
              <w:rPr>
                <w:rFonts w:ascii="Cambria Math" w:hAnsi="Cambria Math"/>
                <w:lang w:val="it-IT"/>
              </w:rPr>
              <m:t>-16</m:t>
            </m:r>
          </m:e>
        </m:d>
        <m:r>
          <w:rPr>
            <w:rFonts w:ascii="Cambria Math" w:hAnsi="Cambria Math"/>
            <w:lang w:val="it-IT"/>
          </w:rPr>
          <m:t>+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θ</m:t>
            </m:r>
          </m:e>
          <m:sub>
            <m:r>
              <w:rPr>
                <w:rFonts w:ascii="Cambria Math" w:hAnsi="Cambria Math"/>
                <w:lang w:val="it-IT"/>
              </w:rPr>
              <m:t>14</m:t>
            </m:r>
          </m:sub>
        </m:sSub>
        <m:r>
          <w:rPr>
            <w:rFonts w:ascii="Cambria Math" w:hAnsi="Cambria Math"/>
            <w:lang w:val="it-IT"/>
          </w:rPr>
          <m:t>∙</m:t>
        </m:r>
        <m:d>
          <m:dPr>
            <m:ctrlPr>
              <w:rPr>
                <w:rFonts w:ascii="Cambria Math" w:hAnsi="Cambria Math"/>
                <w:i/>
                <w:iCs/>
              </w:rPr>
            </m:ctrlPr>
          </m:dPr>
          <m:e>
            <m:r>
              <w:rPr>
                <w:rFonts w:ascii="Cambria Math" w:hAnsi="Cambria Math"/>
                <w:lang w:val="en-GB"/>
              </w:rPr>
              <m:t>Age</m:t>
            </m:r>
            <m:r>
              <w:rPr>
                <w:rFonts w:ascii="Cambria Math" w:hAnsi="Cambria Math"/>
                <w:lang w:val="it-IT"/>
              </w:rPr>
              <m:t>-74</m:t>
            </m:r>
          </m:e>
        </m:d>
        <m:r>
          <w:rPr>
            <w:rFonts w:ascii="Cambria Math" w:hAnsi="Cambria Math"/>
            <w:lang w:val="it-IT"/>
          </w:rPr>
          <m:t>+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η</m:t>
            </m:r>
          </m:e>
          <m:sub>
            <m:r>
              <w:rPr>
                <w:rFonts w:ascii="Cambria Math" w:hAnsi="Cambria Math"/>
                <w:lang w:val="it-IT"/>
              </w:rPr>
              <m:t>3</m:t>
            </m:r>
            <m:r>
              <w:rPr>
                <w:rFonts w:ascii="Cambria Math" w:hAnsi="Cambria Math"/>
                <w:lang w:val="en-GB"/>
              </w:rPr>
              <m:t>i</m:t>
            </m:r>
          </m:sub>
        </m:sSub>
      </m:oMath>
      <w:r w:rsidR="00701C71" w:rsidRPr="00311F9F">
        <w:rPr>
          <w:rFonts w:eastAsiaTheme="minorEastAsia"/>
          <w:iCs/>
          <w:lang w:val="it-IT"/>
        </w:rPr>
        <w:t xml:space="preserve"> </w:t>
      </w:r>
    </w:p>
    <w:p w14:paraId="6C58EA6B" w14:textId="10C10F47" w:rsidR="00701C71" w:rsidRPr="00311F9F" w:rsidRDefault="00EC4807" w:rsidP="00201F47">
      <w:pPr>
        <w:spacing w:line="360" w:lineRule="auto"/>
        <w:ind w:left="360"/>
        <w:rPr>
          <w:rFonts w:eastAsiaTheme="minorEastAsia"/>
          <w:iCs/>
          <w:lang w:val="it-IT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GB"/>
                </w:rPr>
              </m:ctrlPr>
            </m:sSubPr>
            <m:e>
              <m:r>
                <w:rPr>
                  <w:rFonts w:ascii="Cambria Math" w:hAnsi="Cambria Math"/>
                  <w:lang w:val="en-GB"/>
                </w:rPr>
                <m:t>rate</m:t>
              </m:r>
            </m:e>
            <m:sub>
              <m:r>
                <w:rPr>
                  <w:rFonts w:ascii="Cambria Math" w:hAnsi="Cambria Math"/>
                  <w:lang w:val="en-GB"/>
                </w:rPr>
                <m:t>i</m:t>
              </m:r>
            </m:sub>
          </m:sSub>
          <m:r>
            <w:rPr>
              <w:rFonts w:ascii="Cambria Math" w:hAnsi="Cambria Math"/>
              <w:lang w:val="it-IT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  <w:lang w:val="en-GB"/>
                </w:rPr>
                <m:t>θ</m:t>
              </m:r>
            </m:e>
            <m:sub>
              <m:r>
                <w:rPr>
                  <w:rFonts w:ascii="Cambria Math" w:hAnsi="Cambria Math"/>
                  <w:lang w:val="it-IT"/>
                </w:rPr>
                <m:t>12</m:t>
              </m:r>
            </m:sub>
          </m:sSub>
          <m:r>
            <w:rPr>
              <w:rFonts w:ascii="Cambria Math" w:hAnsi="Cambria Math"/>
              <w:lang w:val="it-IT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  <w:lang w:val="en-GB"/>
                </w:rPr>
                <m:t>θ</m:t>
              </m:r>
            </m:e>
            <m:sub>
              <m:r>
                <w:rPr>
                  <w:rFonts w:ascii="Cambria Math" w:hAnsi="Cambria Math"/>
                  <w:lang w:val="it-IT"/>
                </w:rPr>
                <m:t>15</m:t>
              </m:r>
            </m:sub>
          </m:sSub>
          <m:r>
            <w:rPr>
              <w:rFonts w:ascii="Cambria Math" w:hAnsi="Cambria Math"/>
              <w:lang w:val="it-IT"/>
            </w:rPr>
            <m:t>∙</m:t>
          </m:r>
          <m:r>
            <w:rPr>
              <w:rFonts w:ascii="Cambria Math" w:hAnsi="Cambria Math"/>
            </w:rPr>
            <m:t>APOE</m:t>
          </m:r>
          <m:r>
            <w:rPr>
              <w:rFonts w:ascii="Cambria Math" w:hAnsi="Cambria Math"/>
              <w:lang w:val="it-IT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  <w:lang w:val="en-GB"/>
                </w:rPr>
                <m:t>θ</m:t>
              </m:r>
            </m:e>
            <m:sub>
              <m:r>
                <w:rPr>
                  <w:rFonts w:ascii="Cambria Math" w:hAnsi="Cambria Math"/>
                  <w:lang w:val="it-IT"/>
                </w:rPr>
                <m:t>16</m:t>
              </m:r>
            </m:sub>
          </m:sSub>
          <m:r>
            <w:rPr>
              <w:rFonts w:ascii="Cambria Math" w:hAnsi="Cambria Math"/>
              <w:lang w:val="it-IT"/>
            </w:rPr>
            <m:t>∙</m:t>
          </m:r>
          <m:d>
            <m:dPr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r>
                <w:rPr>
                  <w:rFonts w:ascii="Cambria Math" w:hAnsi="Cambria Math"/>
                  <w:lang w:val="en-GB"/>
                </w:rPr>
                <m:t>Age</m:t>
              </m:r>
              <m:r>
                <w:rPr>
                  <w:rFonts w:ascii="Cambria Math" w:hAnsi="Cambria Math"/>
                  <w:lang w:val="it-IT"/>
                </w:rPr>
                <m:t>-74</m:t>
              </m:r>
            </m:e>
          </m:d>
          <m:r>
            <w:rPr>
              <w:rFonts w:ascii="Cambria Math" w:hAnsi="Cambria Math"/>
              <w:lang w:val="it-IT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  <w:lang w:val="en-GB"/>
                </w:rPr>
                <m:t>η</m:t>
              </m:r>
            </m:e>
            <m:sub>
              <m:r>
                <w:rPr>
                  <w:rFonts w:ascii="Cambria Math" w:hAnsi="Cambria Math"/>
                  <w:lang w:val="it-IT"/>
                </w:rPr>
                <m:t>4</m:t>
              </m:r>
              <m:r>
                <w:rPr>
                  <w:rFonts w:ascii="Cambria Math" w:hAnsi="Cambria Math"/>
                  <w:lang w:val="en-GB"/>
                </w:rPr>
                <m:t xml:space="preserve">i  </m:t>
              </m:r>
            </m:sub>
          </m:sSub>
        </m:oMath>
      </m:oMathPara>
    </w:p>
    <w:p w14:paraId="2A25F82F" w14:textId="1813771B" w:rsidR="00701C71" w:rsidRPr="00E8351A" w:rsidRDefault="00701C71" w:rsidP="00201F47">
      <w:pPr>
        <w:spacing w:line="360" w:lineRule="auto"/>
        <w:ind w:left="360"/>
      </w:pPr>
      <m:oMath>
        <m:r>
          <w:rPr>
            <w:rFonts w:ascii="Cambria Math" w:eastAsiaTheme="minorEastAsia" w:hAnsi="Cambria Math"/>
            <w:lang w:val="en-GB"/>
          </w:rPr>
          <m:t>time</m:t>
        </m:r>
      </m:oMath>
      <w:r w:rsidRPr="00E8351A">
        <w:rPr>
          <w:rFonts w:eastAsiaTheme="minorEastAsia"/>
          <w:iCs/>
          <w:lang w:val="en-GB"/>
        </w:rPr>
        <w:t xml:space="preserve"> is defined </w:t>
      </w:r>
      <w:r w:rsidRPr="00A40069">
        <w:rPr>
          <w:rFonts w:eastAsiaTheme="minorEastAsia"/>
          <w:iCs/>
          <w:lang w:val="en-GB"/>
        </w:rPr>
        <w:t>as</w:t>
      </w:r>
      <w:r w:rsidRPr="00A40069">
        <w:t xml:space="preserve"> </w:t>
      </w:r>
      <w:r w:rsidR="00A40069">
        <w:rPr>
          <w:rFonts w:eastAsiaTheme="minorEastAsia"/>
          <w:iCs/>
          <w:lang w:val="en-GB"/>
        </w:rPr>
        <w:t xml:space="preserve">the number of </w:t>
      </w:r>
      <w:r w:rsidRPr="00A40069">
        <w:t>years, counting</w:t>
      </w:r>
      <w:r w:rsidRPr="00E8351A">
        <w:t xml:space="preserve"> from </w:t>
      </w:r>
      <w:r w:rsidR="00C91181">
        <w:t xml:space="preserve">the </w:t>
      </w:r>
      <w:r w:rsidRPr="00E8351A">
        <w:t xml:space="preserve">start of </w:t>
      </w:r>
      <w:r w:rsidR="00D8405F">
        <w:t xml:space="preserve">the </w:t>
      </w:r>
      <w:r w:rsidRPr="00E8351A">
        <w:t>observation</w:t>
      </w:r>
      <w:r w:rsidR="00AA5673">
        <w:t>;</w:t>
      </w:r>
    </w:p>
    <w:p w14:paraId="0DAEEE3B" w14:textId="37663582" w:rsidR="00701C71" w:rsidRPr="00E8351A" w:rsidRDefault="00701C71" w:rsidP="00201F47">
      <w:pPr>
        <w:spacing w:line="360" w:lineRule="auto"/>
        <w:ind w:left="360"/>
        <w:rPr>
          <w:rFonts w:eastAsiaTheme="minorEastAsia"/>
          <w:iCs/>
        </w:rPr>
      </w:pPr>
      <m:oMath>
        <m:r>
          <w:rPr>
            <w:rFonts w:ascii="Cambria Math" w:hAnsi="Cambria Math"/>
          </w:rPr>
          <m:t xml:space="preserve">ApoE </m:t>
        </m:r>
      </m:oMath>
      <w:r w:rsidRPr="00E8351A">
        <w:rPr>
          <w:rFonts w:eastAsiaTheme="minorEastAsia"/>
          <w:iCs/>
        </w:rPr>
        <w:t xml:space="preserve">is an indicator of being </w:t>
      </w:r>
      <w:r w:rsidR="00C91181">
        <w:rPr>
          <w:rFonts w:eastAsiaTheme="minorEastAsia"/>
          <w:iCs/>
        </w:rPr>
        <w:t xml:space="preserve">an </w:t>
      </w:r>
      <w:r w:rsidRPr="004475A7">
        <w:rPr>
          <w:rFonts w:eastAsiaTheme="minorEastAsia"/>
          <w:i/>
        </w:rPr>
        <w:t>A</w:t>
      </w:r>
      <w:r w:rsidR="004475A7" w:rsidRPr="004475A7">
        <w:rPr>
          <w:rFonts w:eastAsiaTheme="minorEastAsia"/>
          <w:i/>
        </w:rPr>
        <w:t>PO</w:t>
      </w:r>
      <w:r w:rsidRPr="004475A7">
        <w:rPr>
          <w:rFonts w:eastAsiaTheme="minorEastAsia"/>
          <w:i/>
        </w:rPr>
        <w:t>E4</w:t>
      </w:r>
      <w:r w:rsidRPr="00E8351A">
        <w:rPr>
          <w:rFonts w:eastAsiaTheme="minorEastAsia"/>
          <w:iCs/>
        </w:rPr>
        <w:t xml:space="preserve"> carrier (1 for carriers, 0 for non-carriers</w:t>
      </w:r>
      <w:r w:rsidR="00AA5673" w:rsidRPr="00E8351A">
        <w:rPr>
          <w:rFonts w:eastAsiaTheme="minorEastAsia"/>
          <w:iCs/>
        </w:rPr>
        <w:t>)</w:t>
      </w:r>
      <w:r w:rsidR="00AA5673">
        <w:rPr>
          <w:rFonts w:eastAsiaTheme="minorEastAsia"/>
          <w:iCs/>
        </w:rPr>
        <w:t>;</w:t>
      </w:r>
    </w:p>
    <w:p w14:paraId="0AF60808" w14:textId="3E144E82" w:rsidR="00701C71" w:rsidRPr="00E8351A" w:rsidRDefault="00701C71" w:rsidP="00201F47">
      <w:pPr>
        <w:spacing w:line="360" w:lineRule="auto"/>
        <w:ind w:left="360"/>
        <w:rPr>
          <w:rFonts w:eastAsiaTheme="minorEastAsia"/>
          <w:iCs/>
        </w:rPr>
      </w:pPr>
      <m:oMath>
        <m:r>
          <w:rPr>
            <w:rFonts w:ascii="Cambria Math" w:hAnsi="Cambria Math"/>
          </w:rPr>
          <m:t>Educ</m:t>
        </m:r>
      </m:oMath>
      <w:r w:rsidRPr="00E8351A">
        <w:rPr>
          <w:rFonts w:eastAsiaTheme="minorEastAsia"/>
          <w:iCs/>
        </w:rPr>
        <w:t xml:space="preserve"> is </w:t>
      </w:r>
      <w:r w:rsidR="005D3FBC">
        <w:rPr>
          <w:rFonts w:eastAsiaTheme="minorEastAsia"/>
          <w:iCs/>
        </w:rPr>
        <w:t xml:space="preserve">the </w:t>
      </w:r>
      <w:r w:rsidRPr="00E8351A">
        <w:rPr>
          <w:rFonts w:eastAsiaTheme="minorEastAsia"/>
          <w:iCs/>
        </w:rPr>
        <w:t>duration of education (in years</w:t>
      </w:r>
      <w:r w:rsidR="00AA5673" w:rsidRPr="00E8351A">
        <w:rPr>
          <w:rFonts w:eastAsiaTheme="minorEastAsia"/>
          <w:iCs/>
        </w:rPr>
        <w:t>)</w:t>
      </w:r>
      <w:r w:rsidR="00AA5673">
        <w:rPr>
          <w:rFonts w:eastAsiaTheme="minorEastAsia"/>
          <w:iCs/>
        </w:rPr>
        <w:t>;</w:t>
      </w:r>
    </w:p>
    <w:p w14:paraId="369F946E" w14:textId="0253AA11" w:rsidR="00701C71" w:rsidRPr="00E8351A" w:rsidRDefault="00701C71" w:rsidP="00201F47">
      <w:pPr>
        <w:spacing w:line="360" w:lineRule="auto"/>
        <w:ind w:left="360"/>
        <w:rPr>
          <w:rFonts w:eastAsiaTheme="minorEastAsia"/>
          <w:iCs/>
        </w:rPr>
      </w:pPr>
      <m:oMath>
        <m:r>
          <w:rPr>
            <w:rFonts w:ascii="Cambria Math" w:hAnsi="Cambria Math"/>
            <w:lang w:val="en-GB"/>
          </w:rPr>
          <m:t>Age</m:t>
        </m:r>
      </m:oMath>
      <w:r w:rsidRPr="00E8351A">
        <w:rPr>
          <w:rFonts w:eastAsiaTheme="minorEastAsia"/>
          <w:lang w:val="en-GB"/>
        </w:rPr>
        <w:t xml:space="preserve"> is </w:t>
      </w:r>
      <w:r w:rsidR="00AA5673">
        <w:rPr>
          <w:rFonts w:eastAsiaTheme="minorEastAsia"/>
          <w:lang w:val="en-GB"/>
        </w:rPr>
        <w:t xml:space="preserve">the </w:t>
      </w:r>
      <w:r w:rsidRPr="00E8351A">
        <w:rPr>
          <w:rFonts w:eastAsiaTheme="minorEastAsia"/>
          <w:lang w:val="en-GB"/>
        </w:rPr>
        <w:t>age at baseline</w:t>
      </w:r>
      <w:r w:rsidR="00AA5673">
        <w:rPr>
          <w:rFonts w:eastAsiaTheme="minorEastAsia"/>
          <w:lang w:val="en-GB"/>
        </w:rPr>
        <w:t>;</w:t>
      </w:r>
    </w:p>
    <w:p w14:paraId="230E0B6A" w14:textId="27241B73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11</m:t>
            </m:r>
          </m:sub>
        </m:sSub>
      </m:oMath>
      <w:r w:rsidR="00701C71" w:rsidRPr="00E8351A">
        <w:rPr>
          <w:rFonts w:eastAsiaTheme="minorEastAsia"/>
          <w:iCs/>
        </w:rPr>
        <w:t xml:space="preserve"> is an estimate of </w:t>
      </w:r>
      <w:r w:rsidR="00AA5673">
        <w:rPr>
          <w:rFonts w:eastAsiaTheme="minorEastAsia"/>
          <w:iCs/>
        </w:rPr>
        <w:t xml:space="preserve">the </w:t>
      </w:r>
      <w:r w:rsidR="00701C71" w:rsidRPr="00E8351A">
        <w:rPr>
          <w:rFonts w:eastAsiaTheme="minorEastAsia"/>
          <w:iCs/>
        </w:rPr>
        <w:t xml:space="preserve">APCC score at baseline (on </w:t>
      </w:r>
      <w:r w:rsidR="00AA5673">
        <w:rPr>
          <w:rFonts w:eastAsiaTheme="minorEastAsia"/>
          <w:iCs/>
        </w:rPr>
        <w:t xml:space="preserve">a </w:t>
      </w:r>
      <w:r w:rsidR="00701C71" w:rsidRPr="00E8351A">
        <w:rPr>
          <w:rFonts w:eastAsiaTheme="minorEastAsia"/>
          <w:iCs/>
        </w:rPr>
        <w:t xml:space="preserve">logit scale) of a typical </w:t>
      </w:r>
      <w:r w:rsidR="00C60D5E">
        <w:rPr>
          <w:rFonts w:eastAsiaTheme="minorEastAsia"/>
          <w:iCs/>
        </w:rPr>
        <w:t>N</w:t>
      </w:r>
      <w:r w:rsidR="00701C71" w:rsidRPr="00E8351A">
        <w:rPr>
          <w:rFonts w:eastAsiaTheme="minorEastAsia"/>
          <w:iCs/>
        </w:rPr>
        <w:t>on-</w:t>
      </w:r>
      <w:r w:rsidR="00C60D5E">
        <w:rPr>
          <w:rFonts w:eastAsiaTheme="minorEastAsia"/>
          <w:iCs/>
        </w:rPr>
        <w:t>p</w:t>
      </w:r>
      <w:r w:rsidR="00701C71" w:rsidRPr="00E8351A">
        <w:rPr>
          <w:rFonts w:eastAsiaTheme="minorEastAsia"/>
          <w:iCs/>
        </w:rPr>
        <w:t xml:space="preserve">rogressor, with 16 years of education and </w:t>
      </w:r>
      <w:r w:rsidR="00AA5673">
        <w:rPr>
          <w:rFonts w:eastAsiaTheme="minorEastAsia"/>
          <w:iCs/>
        </w:rPr>
        <w:t xml:space="preserve">an age of </w:t>
      </w:r>
      <w:r w:rsidR="00701C71" w:rsidRPr="00E8351A">
        <w:rPr>
          <w:rFonts w:eastAsiaTheme="minorEastAsia"/>
          <w:iCs/>
        </w:rPr>
        <w:t>74 years at baseline (</w:t>
      </w:r>
      <w:r w:rsidR="00C60D5E" w:rsidRPr="00C60D5E">
        <w:rPr>
          <w:rFonts w:eastAsiaTheme="minorEastAsia"/>
          <w:iCs/>
        </w:rPr>
        <w:t xml:space="preserve">median of Progressors in </w:t>
      </w:r>
      <w:r w:rsidR="00C60D5E">
        <w:rPr>
          <w:rFonts w:eastAsiaTheme="minorEastAsia"/>
          <w:iCs/>
        </w:rPr>
        <w:t xml:space="preserve">the </w:t>
      </w:r>
      <w:r w:rsidR="00C60D5E" w:rsidRPr="00C60D5E">
        <w:rPr>
          <w:rFonts w:eastAsiaTheme="minorEastAsia"/>
          <w:iCs/>
        </w:rPr>
        <w:t>Rush cohort</w:t>
      </w:r>
      <w:r w:rsidR="00C60D5E">
        <w:rPr>
          <w:rFonts w:eastAsiaTheme="minorEastAsia"/>
          <w:iCs/>
        </w:rPr>
        <w:t>s</w:t>
      </w:r>
      <w:r w:rsidR="00701C71" w:rsidRPr="00E8351A">
        <w:rPr>
          <w:rFonts w:eastAsiaTheme="minorEastAsia"/>
          <w:iCs/>
        </w:rPr>
        <w:t>),</w:t>
      </w:r>
      <w:r w:rsidR="00701C71">
        <w:rPr>
          <w:rFonts w:eastAsiaTheme="minorEastAsia"/>
          <w:iCs/>
        </w:rPr>
        <w:t xml:space="preserve"> estimated as 0.69</w:t>
      </w:r>
      <w:r w:rsidR="00AA5673">
        <w:rPr>
          <w:rFonts w:eastAsiaTheme="minorEastAsia"/>
          <w:iCs/>
        </w:rPr>
        <w:t>;</w:t>
      </w:r>
    </w:p>
    <w:p w14:paraId="6CD8B7F9" w14:textId="20E278B7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12</m:t>
            </m:r>
          </m:sub>
        </m:sSub>
      </m:oMath>
      <w:r w:rsidR="00701C71" w:rsidRPr="00E8351A">
        <w:rPr>
          <w:rFonts w:eastAsiaTheme="minorEastAsia"/>
          <w:iCs/>
        </w:rPr>
        <w:t xml:space="preserve"> is the rate of change in APCC of a typical </w:t>
      </w:r>
      <w:r w:rsidR="004475A7">
        <w:rPr>
          <w:rFonts w:eastAsiaTheme="minorEastAsia"/>
          <w:iCs/>
        </w:rPr>
        <w:t>N</w:t>
      </w:r>
      <w:r w:rsidR="00701C71" w:rsidRPr="00E8351A">
        <w:rPr>
          <w:rFonts w:eastAsiaTheme="minorEastAsia"/>
          <w:iCs/>
        </w:rPr>
        <w:t xml:space="preserve">on-progressor, </w:t>
      </w:r>
      <w:r w:rsidR="00AA5673">
        <w:rPr>
          <w:rFonts w:eastAsiaTheme="minorEastAsia"/>
          <w:iCs/>
        </w:rPr>
        <w:t xml:space="preserve">a </w:t>
      </w:r>
      <w:r w:rsidR="00701C71" w:rsidRPr="00E8351A">
        <w:rPr>
          <w:rFonts w:eastAsiaTheme="minorEastAsia"/>
          <w:iCs/>
        </w:rPr>
        <w:t xml:space="preserve">non-carrier of </w:t>
      </w:r>
      <w:r w:rsidR="00701C71" w:rsidRPr="00C60D5E">
        <w:rPr>
          <w:rFonts w:eastAsiaTheme="minorEastAsia"/>
          <w:i/>
        </w:rPr>
        <w:t>A</w:t>
      </w:r>
      <w:r w:rsidR="004475A7" w:rsidRPr="00C60D5E">
        <w:rPr>
          <w:rFonts w:eastAsiaTheme="minorEastAsia"/>
          <w:i/>
        </w:rPr>
        <w:t>PO</w:t>
      </w:r>
      <w:r w:rsidR="00701C71" w:rsidRPr="00C60D5E">
        <w:rPr>
          <w:rFonts w:eastAsiaTheme="minorEastAsia"/>
          <w:i/>
        </w:rPr>
        <w:t>E4</w:t>
      </w:r>
      <w:r w:rsidR="00701C71" w:rsidRPr="00E8351A">
        <w:rPr>
          <w:rFonts w:eastAsiaTheme="minorEastAsia"/>
          <w:iCs/>
        </w:rPr>
        <w:t xml:space="preserve">, </w:t>
      </w:r>
      <w:r w:rsidR="00AA5673">
        <w:rPr>
          <w:rFonts w:eastAsiaTheme="minorEastAsia"/>
          <w:iCs/>
        </w:rPr>
        <w:t xml:space="preserve">and an age of </w:t>
      </w:r>
      <w:r w:rsidR="00701C71" w:rsidRPr="00E8351A">
        <w:rPr>
          <w:rFonts w:eastAsiaTheme="minorEastAsia"/>
          <w:iCs/>
        </w:rPr>
        <w:t>74 years at baseline</w:t>
      </w:r>
      <w:r w:rsidR="00701C71">
        <w:rPr>
          <w:rFonts w:eastAsiaTheme="minorEastAsia"/>
          <w:iCs/>
        </w:rPr>
        <w:t>, estimated as 10.4</w:t>
      </w:r>
      <w:r w:rsidR="00AA5673">
        <w:rPr>
          <w:rFonts w:eastAsiaTheme="minorEastAsia"/>
          <w:iCs/>
        </w:rPr>
        <w:t>;</w:t>
      </w:r>
    </w:p>
    <w:p w14:paraId="5116BCD3" w14:textId="2B3DBCFA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13</m:t>
            </m:r>
          </m:sub>
        </m:sSub>
      </m:oMath>
      <w:r w:rsidR="00701C71" w:rsidRPr="00E8351A">
        <w:rPr>
          <w:rFonts w:eastAsiaTheme="minorEastAsia"/>
          <w:iCs/>
        </w:rPr>
        <w:t xml:space="preserve"> is the covariate effect of education on baseline APCC,</w:t>
      </w:r>
      <w:r w:rsidR="00701C71" w:rsidRPr="00ED1ADC">
        <w:rPr>
          <w:rFonts w:eastAsiaTheme="minorEastAsia"/>
          <w:iCs/>
        </w:rPr>
        <w:t xml:space="preserve"> </w:t>
      </w:r>
      <w:r w:rsidR="00701C71">
        <w:rPr>
          <w:rFonts w:eastAsiaTheme="minorEastAsia"/>
          <w:iCs/>
        </w:rPr>
        <w:t>estimated as 0.0355</w:t>
      </w:r>
      <w:r w:rsidR="00AA5673">
        <w:rPr>
          <w:rFonts w:eastAsiaTheme="minorEastAsia"/>
          <w:iCs/>
        </w:rPr>
        <w:t>;</w:t>
      </w:r>
    </w:p>
    <w:p w14:paraId="7056BDBF" w14:textId="66C31C79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14</m:t>
            </m:r>
          </m:sub>
        </m:sSub>
      </m:oMath>
      <w:r w:rsidR="00701C71" w:rsidRPr="00E8351A">
        <w:rPr>
          <w:rFonts w:eastAsiaTheme="minorEastAsia"/>
          <w:iCs/>
        </w:rPr>
        <w:t xml:space="preserve"> is the covariate effect of baseline age on baseline APCC,</w:t>
      </w:r>
      <w:r w:rsidR="00701C71" w:rsidRPr="00ED1ADC">
        <w:rPr>
          <w:rFonts w:eastAsiaTheme="minorEastAsia"/>
          <w:iCs/>
        </w:rPr>
        <w:t xml:space="preserve"> </w:t>
      </w:r>
      <w:r w:rsidR="00701C71">
        <w:rPr>
          <w:rFonts w:eastAsiaTheme="minorEastAsia"/>
          <w:iCs/>
        </w:rPr>
        <w:t xml:space="preserve">estimated as </w:t>
      </w:r>
      <w:r w:rsidR="00AA5673">
        <w:rPr>
          <w:rFonts w:eastAsiaTheme="minorEastAsia"/>
          <w:iCs/>
        </w:rPr>
        <w:t>−</w:t>
      </w:r>
      <w:r w:rsidR="00701C71">
        <w:rPr>
          <w:rFonts w:eastAsiaTheme="minorEastAsia"/>
          <w:iCs/>
        </w:rPr>
        <w:t>0.0097</w:t>
      </w:r>
      <w:r w:rsidR="00AA5673">
        <w:rPr>
          <w:rFonts w:eastAsiaTheme="minorEastAsia"/>
          <w:iCs/>
        </w:rPr>
        <w:t>;</w:t>
      </w:r>
    </w:p>
    <w:p w14:paraId="4ABA3316" w14:textId="6B47D667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15</m:t>
            </m:r>
          </m:sub>
        </m:sSub>
      </m:oMath>
      <w:r w:rsidR="00701C71" w:rsidRPr="00E8351A">
        <w:rPr>
          <w:rFonts w:eastAsiaTheme="minorEastAsia"/>
          <w:iCs/>
        </w:rPr>
        <w:t xml:space="preserve"> is the difference in the rate of APCC change in the </w:t>
      </w:r>
      <w:r w:rsidR="00701C71" w:rsidRPr="00C60D5E">
        <w:rPr>
          <w:rFonts w:eastAsiaTheme="minorEastAsia"/>
          <w:i/>
        </w:rPr>
        <w:t>A</w:t>
      </w:r>
      <w:r w:rsidR="004475A7" w:rsidRPr="00C60D5E">
        <w:rPr>
          <w:rFonts w:eastAsiaTheme="minorEastAsia"/>
          <w:i/>
        </w:rPr>
        <w:t>PO</w:t>
      </w:r>
      <w:r w:rsidR="00701C71" w:rsidRPr="00C60D5E">
        <w:rPr>
          <w:rFonts w:eastAsiaTheme="minorEastAsia"/>
          <w:i/>
        </w:rPr>
        <w:t>E4</w:t>
      </w:r>
      <w:r w:rsidR="00701C71" w:rsidRPr="00E8351A">
        <w:rPr>
          <w:rFonts w:eastAsiaTheme="minorEastAsia"/>
          <w:iCs/>
        </w:rPr>
        <w:t xml:space="preserve"> carriers,</w:t>
      </w:r>
      <w:r w:rsidR="00701C71">
        <w:rPr>
          <w:rFonts w:eastAsiaTheme="minorEastAsia"/>
          <w:iCs/>
        </w:rPr>
        <w:t xml:space="preserve"> estimated as </w:t>
      </w:r>
      <w:r w:rsidR="00AA5673">
        <w:rPr>
          <w:rFonts w:eastAsiaTheme="minorEastAsia"/>
          <w:iCs/>
        </w:rPr>
        <w:t>−</w:t>
      </w:r>
      <w:r w:rsidR="00701C71">
        <w:rPr>
          <w:rFonts w:eastAsiaTheme="minorEastAsia"/>
          <w:iCs/>
        </w:rPr>
        <w:t>10.2</w:t>
      </w:r>
      <w:r w:rsidR="00AA5673">
        <w:rPr>
          <w:rFonts w:eastAsiaTheme="minorEastAsia"/>
          <w:iCs/>
        </w:rPr>
        <w:t>;</w:t>
      </w:r>
    </w:p>
    <w:p w14:paraId="64469FA4" w14:textId="47D566E7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16</m:t>
            </m:r>
          </m:sub>
        </m:sSub>
      </m:oMath>
      <w:r w:rsidR="00701C71" w:rsidRPr="00E8351A">
        <w:rPr>
          <w:rFonts w:eastAsiaTheme="minorEastAsia"/>
          <w:iCs/>
        </w:rPr>
        <w:t xml:space="preserve"> is the covariate effect of baseline age on the rate of APCC change,</w:t>
      </w:r>
      <w:r w:rsidR="00701C71">
        <w:rPr>
          <w:rFonts w:eastAsiaTheme="minorEastAsia"/>
          <w:iCs/>
        </w:rPr>
        <w:t xml:space="preserve"> estimated as </w:t>
      </w:r>
      <w:r w:rsidR="00AA5673">
        <w:rPr>
          <w:rFonts w:eastAsiaTheme="minorEastAsia"/>
          <w:iCs/>
        </w:rPr>
        <w:t>−</w:t>
      </w:r>
      <w:r w:rsidR="00701C71">
        <w:rPr>
          <w:rFonts w:eastAsiaTheme="minorEastAsia"/>
          <w:iCs/>
        </w:rPr>
        <w:t>1.17</w:t>
      </w:r>
      <w:r w:rsidR="00AA5673">
        <w:rPr>
          <w:rFonts w:eastAsiaTheme="minorEastAsia"/>
          <w:iCs/>
        </w:rPr>
        <w:t>;</w:t>
      </w:r>
    </w:p>
    <w:p w14:paraId="04674FD1" w14:textId="64AF0BD6" w:rsidR="00701C71" w:rsidRPr="00E8351A" w:rsidRDefault="00EC4807" w:rsidP="00201F47">
      <w:pPr>
        <w:spacing w:line="360" w:lineRule="auto"/>
        <w:ind w:left="360"/>
        <w:rPr>
          <w:rFonts w:eastAsiaTheme="minorEastAsia"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η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3</m:t>
            </m:r>
          </m:sub>
        </m:sSub>
      </m:oMath>
      <w:r w:rsidR="00701C71" w:rsidRPr="00E8351A">
        <w:rPr>
          <w:rFonts w:eastAsiaTheme="minorEastAsia"/>
          <w:iCs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η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4</m:t>
            </m:r>
          </m:sub>
        </m:sSub>
      </m:oMath>
      <w:r w:rsidR="00701C71" w:rsidRPr="00E8351A">
        <w:rPr>
          <w:rFonts w:eastAsiaTheme="minorEastAsia"/>
          <w:iCs/>
        </w:rPr>
        <w:t xml:space="preserve"> are independently normally distributed subject-specific random effects for baseline APCC and for </w:t>
      </w:r>
      <w:r w:rsidR="00AA5673">
        <w:rPr>
          <w:rFonts w:eastAsiaTheme="minorEastAsia"/>
          <w:iCs/>
        </w:rPr>
        <w:t xml:space="preserve">the </w:t>
      </w:r>
      <w:r w:rsidR="00701C71" w:rsidRPr="00E8351A">
        <w:rPr>
          <w:rFonts w:eastAsiaTheme="minorEastAsia"/>
          <w:iCs/>
        </w:rPr>
        <w:t xml:space="preserve">rate of APCC change, respectively, with </w:t>
      </w:r>
      <w:r w:rsidR="00D70A70">
        <w:rPr>
          <w:rFonts w:eastAsiaTheme="minorEastAsia"/>
          <w:iCs/>
        </w:rPr>
        <w:t>0</w:t>
      </w:r>
      <w:r w:rsidR="00AA5673" w:rsidRPr="00E8351A">
        <w:rPr>
          <w:rFonts w:eastAsiaTheme="minorEastAsia"/>
          <w:iCs/>
        </w:rPr>
        <w:t xml:space="preserve"> </w:t>
      </w:r>
      <w:r w:rsidR="00701C71" w:rsidRPr="00E8351A">
        <w:rPr>
          <w:rFonts w:eastAsiaTheme="minorEastAsia"/>
          <w:iCs/>
        </w:rPr>
        <w:t>mean and standard deviations</w:t>
      </w:r>
      <w:r w:rsidR="00AA5673">
        <w:rPr>
          <w:rFonts w:eastAsiaTheme="minorEastAsia"/>
          <w:iCs/>
        </w:rPr>
        <w:t>,</w:t>
      </w:r>
      <w:r w:rsidR="00701C71" w:rsidRPr="00A129FD">
        <w:rPr>
          <w:rFonts w:eastAsiaTheme="minorEastAsia"/>
          <w:iCs/>
        </w:rPr>
        <w:t xml:space="preserve"> </w:t>
      </w:r>
      <w:r w:rsidR="00701C71" w:rsidRPr="00E8351A">
        <w:rPr>
          <w:rFonts w:eastAsiaTheme="minorEastAsia"/>
          <w:iCs/>
        </w:rPr>
        <w:t>estimated</w:t>
      </w:r>
      <w:r w:rsidR="00701C71">
        <w:rPr>
          <w:rFonts w:eastAsiaTheme="minorEastAsia"/>
          <w:iCs/>
        </w:rPr>
        <w:t xml:space="preserve"> as 0.221 and 23.8</w:t>
      </w:r>
      <w:r w:rsidR="00AA5673">
        <w:rPr>
          <w:rFonts w:eastAsiaTheme="minorEastAsia"/>
          <w:iCs/>
        </w:rPr>
        <w:t>;</w:t>
      </w:r>
    </w:p>
    <w:p w14:paraId="0A6DB45C" w14:textId="79842FCE" w:rsidR="00701C71" w:rsidRPr="00E8351A" w:rsidRDefault="00701C71" w:rsidP="00201F47">
      <w:pPr>
        <w:spacing w:line="360" w:lineRule="auto"/>
        <w:ind w:left="360"/>
        <w:rPr>
          <w:rFonts w:eastAsiaTheme="minorEastAsia"/>
          <w:iCs/>
        </w:rPr>
      </w:pPr>
      <m:oMath>
        <m:r>
          <w:rPr>
            <w:rFonts w:ascii="Cambria Math" w:hAnsi="Cambria Math"/>
            <w:lang w:val="en-GB"/>
          </w:rPr>
          <m:t>ϵ</m:t>
        </m:r>
      </m:oMath>
      <w:r w:rsidRPr="00E8351A">
        <w:rPr>
          <w:rFonts w:eastAsiaTheme="minorEastAsia"/>
          <w:lang w:val="en-GB"/>
        </w:rPr>
        <w:t xml:space="preserve"> is a normally distributed random effect of the residual variability, with </w:t>
      </w:r>
      <w:r w:rsidR="00D70A70">
        <w:rPr>
          <w:rFonts w:eastAsiaTheme="minorEastAsia"/>
          <w:lang w:val="en-GB"/>
        </w:rPr>
        <w:t>zero</w:t>
      </w:r>
      <w:r w:rsidR="00D70A70" w:rsidRPr="00E8351A">
        <w:rPr>
          <w:rFonts w:eastAsiaTheme="minorEastAsia"/>
          <w:lang w:val="en-GB"/>
        </w:rPr>
        <w:t xml:space="preserve"> </w:t>
      </w:r>
      <w:r w:rsidRPr="00E8351A">
        <w:rPr>
          <w:rFonts w:eastAsiaTheme="minorEastAsia"/>
          <w:lang w:val="en-GB"/>
        </w:rPr>
        <w:t>mean and</w:t>
      </w:r>
      <w:r w:rsidR="00CD4C62">
        <w:rPr>
          <w:rFonts w:eastAsiaTheme="minorEastAsia"/>
          <w:lang w:val="en-GB"/>
        </w:rPr>
        <w:t xml:space="preserve"> </w:t>
      </w:r>
      <w:r w:rsidRPr="00E8351A">
        <w:rPr>
          <w:rFonts w:eastAsiaTheme="minorEastAsia"/>
          <w:iCs/>
        </w:rPr>
        <w:t>standard deviation</w:t>
      </w:r>
      <w:r w:rsidR="00D8405F">
        <w:rPr>
          <w:rFonts w:eastAsiaTheme="minorEastAsia"/>
          <w:iCs/>
        </w:rPr>
        <w:t>,</w:t>
      </w:r>
      <w:r>
        <w:rPr>
          <w:rFonts w:eastAsiaTheme="minorEastAsia"/>
          <w:iCs/>
        </w:rPr>
        <w:t xml:space="preserve"> estimated as 0.163</w:t>
      </w:r>
      <w:r w:rsidR="00D8405F">
        <w:rPr>
          <w:rFonts w:eastAsiaTheme="minorEastAsia"/>
          <w:iCs/>
        </w:rPr>
        <w:t>.</w:t>
      </w:r>
    </w:p>
    <w:p w14:paraId="2A2BB8AC" w14:textId="77777777" w:rsidR="00A40069" w:rsidRDefault="00A40069" w:rsidP="00201F47">
      <w:pPr>
        <w:spacing w:line="360" w:lineRule="auto"/>
        <w:rPr>
          <w:u w:val="single"/>
        </w:rPr>
      </w:pPr>
    </w:p>
    <w:p w14:paraId="0E8DE99C" w14:textId="62F69E81" w:rsidR="008F7845" w:rsidRDefault="00701C71" w:rsidP="00201F47">
      <w:pPr>
        <w:spacing w:line="360" w:lineRule="auto"/>
      </w:pPr>
      <w:r>
        <w:rPr>
          <w:u w:val="single"/>
        </w:rPr>
        <w:t xml:space="preserve">Further details on </w:t>
      </w:r>
      <w:r w:rsidR="00AA5673">
        <w:rPr>
          <w:u w:val="single"/>
        </w:rPr>
        <w:t>the TTE</w:t>
      </w:r>
      <w:r>
        <w:rPr>
          <w:u w:val="single"/>
        </w:rPr>
        <w:t xml:space="preserve"> model</w:t>
      </w:r>
    </w:p>
    <w:p w14:paraId="4B640FD3" w14:textId="29135255" w:rsidR="006F380D" w:rsidRPr="00A40069" w:rsidRDefault="006F380D" w:rsidP="00201F47">
      <w:pPr>
        <w:pStyle w:val="ListParagraph"/>
        <w:numPr>
          <w:ilvl w:val="0"/>
          <w:numId w:val="3"/>
        </w:numPr>
        <w:spacing w:line="360" w:lineRule="auto"/>
      </w:pPr>
      <w:r w:rsidRPr="00A40069">
        <w:t>Four candidate models were investigated and compared visually by genotype and using AIC. These were Weibull, piece-wise exponential, exponential and Gompertz. For the piece-wise model</w:t>
      </w:r>
      <w:r w:rsidR="00AA5673" w:rsidRPr="00A40069">
        <w:t>,</w:t>
      </w:r>
      <w:r w:rsidRPr="00A40069">
        <w:t xml:space="preserve"> </w:t>
      </w:r>
      <w:r w:rsidR="00AA5673" w:rsidRPr="00A40069">
        <w:t>eight</w:t>
      </w:r>
      <w:r w:rsidRPr="00A40069">
        <w:t xml:space="preserve"> pieces were considered on a time interval of 20 years. </w:t>
      </w:r>
    </w:p>
    <w:p w14:paraId="53C5E8F2" w14:textId="77777777" w:rsidR="006F380D" w:rsidRDefault="006F380D" w:rsidP="00201F47">
      <w:pPr>
        <w:pStyle w:val="ListParagraph"/>
        <w:spacing w:line="360" w:lineRule="auto"/>
      </w:pPr>
    </w:p>
    <w:p w14:paraId="2B922A09" w14:textId="525CF7C0" w:rsidR="00CD4C62" w:rsidRDefault="00CD4C62" w:rsidP="00201F47">
      <w:pPr>
        <w:pStyle w:val="ListParagraph"/>
        <w:numPr>
          <w:ilvl w:val="0"/>
          <w:numId w:val="3"/>
        </w:numPr>
        <w:spacing w:line="360" w:lineRule="auto"/>
      </w:pPr>
      <w:r>
        <w:t xml:space="preserve">The </w:t>
      </w:r>
      <w:r w:rsidR="00AA5673">
        <w:t>TTE</w:t>
      </w:r>
      <w:r>
        <w:t xml:space="preserve"> model </w:t>
      </w:r>
      <w:r w:rsidR="006F380D">
        <w:t xml:space="preserve">selected was </w:t>
      </w:r>
      <w:r>
        <w:t>a Weibull model</w:t>
      </w:r>
      <w:r w:rsidR="00D8405F">
        <w:t xml:space="preserve">, which is </w:t>
      </w:r>
      <w:r>
        <w:t>mathematically described as follows:</w:t>
      </w:r>
    </w:p>
    <w:p w14:paraId="2163787C" w14:textId="77777777" w:rsidR="00CD4C62" w:rsidRPr="003943DE" w:rsidRDefault="00CD4C62" w:rsidP="00201F47">
      <w:pPr>
        <w:pStyle w:val="Text"/>
        <w:spacing w:line="360" w:lineRule="auto"/>
        <w:rPr>
          <w:rFonts w:ascii="Arial" w:hAnsi="Arial" w:cs="Arial"/>
          <w:sz w:val="20"/>
        </w:rPr>
      </w:pPr>
      <m:oMath>
        <m:r>
          <w:rPr>
            <w:rFonts w:ascii="Cambria Math" w:hAnsi="Cambria Math" w:cs="Arial"/>
            <w:sz w:val="20"/>
            <w:lang w:val="fr-CH"/>
          </w:rPr>
          <m:t>f</m:t>
        </m:r>
        <m:d>
          <m:dPr>
            <m:ctrlPr>
              <w:rPr>
                <w:rFonts w:ascii="Cambria Math" w:hAnsi="Cambria Math" w:cs="Arial"/>
                <w:i/>
                <w:iCs/>
                <w:sz w:val="20"/>
                <w:lang w:val="fr-CH"/>
              </w:rPr>
            </m:ctrlPr>
          </m:dPr>
          <m:e>
            <m:r>
              <w:rPr>
                <w:rFonts w:ascii="Cambria Math" w:hAnsi="Cambria Math" w:cs="Arial"/>
                <w:sz w:val="20"/>
                <w:lang w:val="fr-CH"/>
              </w:rPr>
              <m:t>x</m:t>
            </m:r>
          </m:e>
        </m:d>
        <m:r>
          <w:rPr>
            <w:rFonts w:ascii="Cambria Math" w:hAnsi="Cambria Math" w:cs="Arial"/>
            <w:sz w:val="20"/>
          </w:rPr>
          <m:t>=</m:t>
        </m:r>
        <m:f>
          <m:fPr>
            <m:ctrlPr>
              <w:rPr>
                <w:rFonts w:ascii="Cambria Math" w:hAnsi="Cambria Math" w:cs="Arial"/>
                <w:i/>
                <w:iCs/>
                <w:sz w:val="20"/>
                <w:lang w:val="fr-CH"/>
              </w:rPr>
            </m:ctrlPr>
          </m:fPr>
          <m:num>
            <m:r>
              <w:rPr>
                <w:rFonts w:ascii="Cambria Math" w:hAnsi="Cambria Math" w:cs="Arial"/>
                <w:sz w:val="20"/>
                <w:lang w:val="fr-CH"/>
              </w:rPr>
              <m:t>k</m:t>
            </m:r>
          </m:num>
          <m:den>
            <m:r>
              <w:rPr>
                <w:rFonts w:ascii="Cambria Math" w:hAnsi="Cambria Math" w:cs="Arial"/>
                <w:sz w:val="20"/>
                <w:lang w:val="fr-CH"/>
              </w:rPr>
              <m:t>λ</m:t>
            </m:r>
            <m:r>
              <w:rPr>
                <w:rFonts w:ascii="Cambria Math" w:hAnsi="Cambria Math" w:cs="Arial"/>
                <w:sz w:val="20"/>
              </w:rPr>
              <m:t>'</m:t>
            </m:r>
          </m:den>
        </m:f>
        <m:r>
          <w:rPr>
            <w:rFonts w:ascii="Cambria Math" w:hAnsi="Cambria Math" w:cs="Arial"/>
            <w:sz w:val="20"/>
          </w:rPr>
          <m:t> </m:t>
        </m:r>
        <m:sSup>
          <m:sSupPr>
            <m:ctrlPr>
              <w:rPr>
                <w:rFonts w:ascii="Cambria Math" w:hAnsi="Cambria Math" w:cs="Arial"/>
                <w:i/>
                <w:iCs/>
                <w:sz w:val="20"/>
                <w:lang w:val="fr-CH"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i/>
                    <w:iCs/>
                    <w:sz w:val="20"/>
                    <w:lang w:val="fr-C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Arial"/>
                        <w:i/>
                        <w:iCs/>
                        <w:sz w:val="20"/>
                        <w:lang w:val="fr-CH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0"/>
                        <w:lang w:val="fr-CH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 w:cs="Arial"/>
                        <w:sz w:val="20"/>
                        <w:lang w:val="fr-CH"/>
                      </w:rPr>
                      <m:t>λ</m:t>
                    </m:r>
                    <m:r>
                      <w:rPr>
                        <w:rFonts w:ascii="Cambria Math" w:hAnsi="Cambria Math" w:cs="Arial"/>
                        <w:sz w:val="20"/>
                      </w:rPr>
                      <m:t>'</m:t>
                    </m:r>
                  </m:den>
                </m:f>
              </m:e>
            </m:d>
          </m:e>
          <m:sup>
            <m:r>
              <w:rPr>
                <w:rFonts w:ascii="Cambria Math" w:hAnsi="Cambria Math" w:cs="Arial"/>
                <w:sz w:val="20"/>
                <w:lang w:val="fr-CH"/>
              </w:rPr>
              <m:t>k</m:t>
            </m:r>
            <m:r>
              <w:rPr>
                <w:rFonts w:ascii="Cambria Math" w:hAnsi="Cambria Math" w:cs="Arial"/>
                <w:sz w:val="20"/>
              </w:rPr>
              <m:t>-1</m:t>
            </m:r>
          </m:sup>
        </m:sSup>
        <m:sSup>
          <m:sSupPr>
            <m:ctrlPr>
              <w:rPr>
                <w:rFonts w:ascii="Cambria Math" w:hAnsi="Cambria Math" w:cs="Arial"/>
                <w:i/>
                <w:iCs/>
                <w:sz w:val="20"/>
                <w:lang w:val="fr-CH"/>
              </w:rPr>
            </m:ctrlPr>
          </m:sSupPr>
          <m:e>
            <m:r>
              <w:rPr>
                <w:rFonts w:ascii="Cambria Math" w:hAnsi="Cambria Math" w:cs="Arial"/>
                <w:sz w:val="20"/>
                <w:lang w:val="fr-CH"/>
              </w:rPr>
              <m:t>e</m:t>
            </m:r>
          </m:e>
          <m:sup>
            <m:r>
              <w:rPr>
                <w:rFonts w:ascii="Cambria Math" w:hAnsi="Cambria Math" w:cs="Arial"/>
                <w:sz w:val="20"/>
              </w:rPr>
              <m:t>-</m:t>
            </m:r>
            <m:sSup>
              <m:sSupPr>
                <m:ctrlPr>
                  <w:rPr>
                    <w:rFonts w:ascii="Cambria Math" w:hAnsi="Cambria Math" w:cs="Arial"/>
                    <w:i/>
                    <w:iCs/>
                    <w:sz w:val="20"/>
                    <w:lang w:val="fr-CH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Arial"/>
                        <w:i/>
                        <w:iCs/>
                        <w:sz w:val="20"/>
                        <w:lang w:val="fr-CH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  <w:iCs/>
                            <w:sz w:val="20"/>
                            <w:lang w:val="fr-C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  <w:sz w:val="20"/>
                            <w:lang w:val="fr-CH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  <w:sz w:val="20"/>
                            <w:lang w:val="fr-CH"/>
                          </w:rPr>
                          <m:t>λ</m:t>
                        </m:r>
                        <m:r>
                          <w:rPr>
                            <w:rFonts w:ascii="Cambria Math" w:hAnsi="Cambria Math" w:cs="Arial"/>
                            <w:sz w:val="20"/>
                          </w:rPr>
                          <m:t>'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Arial"/>
                    <w:sz w:val="20"/>
                    <w:lang w:val="fr-CH"/>
                  </w:rPr>
                  <m:t>k</m:t>
                </m:r>
              </m:sup>
            </m:sSup>
          </m:sup>
        </m:sSup>
      </m:oMath>
      <w:r w:rsidRPr="003943DE">
        <w:rPr>
          <w:rFonts w:ascii="Arial" w:hAnsi="Arial" w:cs="Arial"/>
          <w:sz w:val="20"/>
        </w:rPr>
        <w:t xml:space="preserve"> where:</w:t>
      </w:r>
    </w:p>
    <w:p w14:paraId="0011DF07" w14:textId="77777777" w:rsidR="00CD4C62" w:rsidRPr="003943DE" w:rsidRDefault="00CD4C62" w:rsidP="00201F47">
      <w:pPr>
        <w:pStyle w:val="Text"/>
        <w:numPr>
          <w:ilvl w:val="0"/>
          <w:numId w:val="1"/>
        </w:numPr>
        <w:spacing w:line="360" w:lineRule="auto"/>
        <w:rPr>
          <w:rFonts w:ascii="Arial" w:hAnsi="Arial" w:cs="Arial"/>
          <w:sz w:val="20"/>
        </w:rPr>
      </w:pPr>
      <m:oMath>
        <m:r>
          <w:rPr>
            <w:rFonts w:ascii="Cambria Math" w:hAnsi="Cambria Math" w:cs="Arial"/>
            <w:sz w:val="20"/>
            <w:lang w:val="fr-CH"/>
          </w:rPr>
          <m:t>λ</m:t>
        </m:r>
        <m:r>
          <w:rPr>
            <w:rFonts w:ascii="Cambria Math" w:hAnsi="Cambria Math" w:cs="Arial"/>
            <w:sz w:val="20"/>
          </w:rPr>
          <m:t>=</m:t>
        </m:r>
        <m:sSup>
          <m:sSupPr>
            <m:ctrlPr>
              <w:rPr>
                <w:rFonts w:ascii="Cambria Math" w:hAnsi="Cambria Math" w:cs="Arial"/>
                <w:i/>
                <w:iCs/>
                <w:sz w:val="20"/>
              </w:rPr>
            </m:ctrlPr>
          </m:sSupPr>
          <m:e>
            <m:r>
              <w:rPr>
                <w:rFonts w:ascii="Cambria Math" w:hAnsi="Cambria Math" w:cs="Arial"/>
                <w:sz w:val="20"/>
              </w:rPr>
              <m:t>(</m:t>
            </m:r>
            <m:sSup>
              <m:sSupPr>
                <m:ctrlPr>
                  <w:rPr>
                    <w:rFonts w:ascii="Cambria Math" w:hAnsi="Cambria Math" w:cs="Arial"/>
                    <w:i/>
                    <w:iCs/>
                    <w:sz w:val="20"/>
                  </w:rPr>
                </m:ctrlPr>
              </m:sSupPr>
              <m:e>
                <m:r>
                  <w:rPr>
                    <w:rFonts w:ascii="Cambria Math" w:hAnsi="Cambria Math" w:cs="Arial"/>
                    <w:sz w:val="20"/>
                  </w:rPr>
                  <m:t>λ</m:t>
                </m:r>
              </m:e>
              <m:sup>
                <m:r>
                  <w:rPr>
                    <w:rFonts w:ascii="Cambria Math" w:hAnsi="Cambria Math" w:cs="Arial"/>
                    <w:sz w:val="20"/>
                  </w:rPr>
                  <m:t>'</m:t>
                </m:r>
              </m:sup>
            </m:sSup>
            <m:r>
              <w:rPr>
                <w:rFonts w:ascii="Cambria Math" w:hAnsi="Cambria Math" w:cs="Arial"/>
                <w:sz w:val="20"/>
              </w:rPr>
              <m:t>)</m:t>
            </m:r>
          </m:e>
          <m:sup>
            <m:r>
              <w:rPr>
                <w:rFonts w:ascii="Cambria Math" w:hAnsi="Cambria Math" w:cs="Arial"/>
                <w:sz w:val="20"/>
              </w:rPr>
              <m:t>-k</m:t>
            </m:r>
          </m:sup>
        </m:sSup>
        <m:r>
          <w:rPr>
            <w:rFonts w:ascii="Cambria Math" w:hAnsi="Cambria Math" w:cs="Arial"/>
            <w:sz w:val="20"/>
          </w:rPr>
          <m:t xml:space="preserve">, </m:t>
        </m:r>
      </m:oMath>
    </w:p>
    <w:p w14:paraId="48A5C8F0" w14:textId="7D5E5EAB" w:rsidR="00CD4C62" w:rsidRPr="003943DE" w:rsidRDefault="00CD4C62" w:rsidP="00201F47">
      <w:pPr>
        <w:pStyle w:val="Text"/>
        <w:numPr>
          <w:ilvl w:val="0"/>
          <w:numId w:val="1"/>
        </w:numPr>
        <w:spacing w:line="360" w:lineRule="auto"/>
        <w:rPr>
          <w:rFonts w:ascii="Arial" w:hAnsi="Arial" w:cs="Arial"/>
          <w:sz w:val="20"/>
        </w:rPr>
      </w:pPr>
      <m:oMath>
        <m:r>
          <w:rPr>
            <w:rFonts w:ascii="Cambria Math" w:hAnsi="Cambria Math" w:cs="Arial"/>
            <w:sz w:val="20"/>
          </w:rPr>
          <m:t>λ'=</m:t>
        </m:r>
        <m:r>
          <w:rPr>
            <w:rFonts w:ascii="Cambria Math" w:hAnsi="Cambria Math" w:cs="Arial"/>
            <w:sz w:val="20"/>
            <w:lang w:val="fr-CH"/>
          </w:rPr>
          <m:t>exp</m:t>
        </m:r>
        <m:r>
          <w:rPr>
            <w:rFonts w:ascii="Cambria Math" w:hAnsi="Cambria Math" w:cs="Arial"/>
            <w:sz w:val="20"/>
          </w:rPr>
          <m:t>⁡(</m:t>
        </m:r>
        <m:r>
          <w:rPr>
            <w:rFonts w:ascii="Cambria Math" w:hAnsi="Cambria Math" w:cs="Arial"/>
            <w:sz w:val="20"/>
            <w:lang w:val="fr-CH"/>
          </w:rPr>
          <m:t>μ</m:t>
        </m:r>
        <m:r>
          <w:rPr>
            <w:rFonts w:ascii="Cambria Math" w:hAnsi="Cambria Math" w:cs="Arial"/>
            <w:sz w:val="20"/>
          </w:rPr>
          <m:t>)=</m:t>
        </m:r>
        <w:bookmarkStart w:id="1" w:name="_Hlk116489862"/>
        <m:func>
          <m:funcPr>
            <m:ctrlPr>
              <w:rPr>
                <w:rFonts w:ascii="Cambria Math" w:hAnsi="Cambria Math" w:cs="Arial"/>
                <w:i/>
                <w:iCs/>
                <w:sz w:val="20"/>
                <w:lang w:val="fr-CH"/>
              </w:rPr>
            </m:ctrlPr>
          </m:funcPr>
          <m:fName>
            <m:r>
              <w:rPr>
                <w:rFonts w:ascii="Cambria Math" w:hAnsi="Cambria Math" w:cs="Arial"/>
                <w:sz w:val="20"/>
                <w:lang w:val="fr-CH"/>
              </w:rPr>
              <m:t>exp</m:t>
            </m:r>
          </m:fName>
          <m:e>
            <m:d>
              <m:dPr>
                <m:ctrlPr>
                  <w:rPr>
                    <w:rFonts w:ascii="Cambria Math" w:hAnsi="Cambria Math" w:cs="Arial"/>
                    <w:i/>
                    <w:iCs/>
                    <w:sz w:val="20"/>
                    <w:lang w:val="fr-CH"/>
                  </w:rPr>
                </m:ctrlPr>
              </m:dPr>
              <m:e>
                <m:r>
                  <w:rPr>
                    <w:rFonts w:ascii="Cambria Math" w:hAnsi="Cambria Math" w:cs="Arial"/>
                    <w:sz w:val="20"/>
                    <w:lang w:val="fr-CH"/>
                  </w:rPr>
                  <m:t>Xβ</m:t>
                </m:r>
              </m:e>
            </m:d>
          </m:e>
        </m:func>
      </m:oMath>
      <w:bookmarkEnd w:id="1"/>
      <w:r w:rsidRPr="003943DE">
        <w:rPr>
          <w:rFonts w:ascii="Arial" w:hAnsi="Arial" w:cs="Arial"/>
          <w:iCs/>
          <w:sz w:val="20"/>
        </w:rPr>
        <w:t xml:space="preserve">, </w:t>
      </w:r>
      <w:r w:rsidRPr="003943DE">
        <w:rPr>
          <w:rFonts w:ascii="Arial" w:hAnsi="Arial" w:cs="Arial"/>
          <w:sz w:val="20"/>
        </w:rPr>
        <w:t xml:space="preserve">where </w:t>
      </w:r>
      <m:oMath>
        <m:r>
          <w:rPr>
            <w:rFonts w:ascii="Cambria Math" w:hAnsi="Cambria Math" w:cs="Arial"/>
            <w:sz w:val="20"/>
            <w:lang w:val="fr-CH"/>
          </w:rPr>
          <m:t>β</m:t>
        </m:r>
        <m:r>
          <w:rPr>
            <w:rFonts w:ascii="Cambria Math" w:hAnsi="Cambria Math" w:cs="Arial"/>
            <w:sz w:val="20"/>
          </w:rPr>
          <m:t xml:space="preserve"> </m:t>
        </m:r>
      </m:oMath>
      <w:r w:rsidR="00466E4B" w:rsidRPr="00392519">
        <w:rPr>
          <w:rFonts w:ascii="Arial" w:hAnsi="Arial" w:cs="Arial"/>
          <w:sz w:val="20"/>
        </w:rPr>
        <w:t>represent</w:t>
      </w:r>
      <w:r w:rsidR="00ED2DC7">
        <w:rPr>
          <w:rFonts w:ascii="Arial" w:hAnsi="Arial" w:cs="Arial"/>
          <w:sz w:val="20"/>
        </w:rPr>
        <w:t>s</w:t>
      </w:r>
      <w:r w:rsidR="00466E4B" w:rsidRPr="00392519">
        <w:rPr>
          <w:rFonts w:ascii="Arial" w:hAnsi="Arial" w:cs="Arial"/>
          <w:sz w:val="20"/>
        </w:rPr>
        <w:t xml:space="preserve"> </w:t>
      </w:r>
      <w:r w:rsidR="00466E4B">
        <w:rPr>
          <w:rFonts w:ascii="Arial" w:hAnsi="Arial" w:cs="Arial"/>
          <w:sz w:val="20"/>
        </w:rPr>
        <w:t>the covariate</w:t>
      </w:r>
      <w:r w:rsidR="00ED2DC7">
        <w:rPr>
          <w:rFonts w:ascii="Arial" w:hAnsi="Arial" w:cs="Arial"/>
          <w:sz w:val="20"/>
        </w:rPr>
        <w:t>s,</w:t>
      </w:r>
      <w:r w:rsidR="00466E4B">
        <w:rPr>
          <w:rFonts w:ascii="Arial" w:hAnsi="Arial" w:cs="Arial"/>
          <w:sz w:val="20"/>
        </w:rPr>
        <w:t xml:space="preserve"> which </w:t>
      </w:r>
      <w:r w:rsidRPr="003943DE">
        <w:rPr>
          <w:rFonts w:ascii="Arial" w:hAnsi="Arial" w:cs="Arial"/>
          <w:sz w:val="20"/>
        </w:rPr>
        <w:t>are</w:t>
      </w:r>
      <w:r w:rsidR="00466E4B">
        <w:rPr>
          <w:rFonts w:ascii="Arial" w:hAnsi="Arial" w:cs="Arial"/>
          <w:sz w:val="20"/>
        </w:rPr>
        <w:t>:</w:t>
      </w:r>
      <w:r w:rsidRPr="003943DE">
        <w:rPr>
          <w:rFonts w:ascii="Arial" w:hAnsi="Arial" w:cs="Arial"/>
          <w:sz w:val="20"/>
        </w:rPr>
        <w:t xml:space="preserve"> </w:t>
      </w:r>
    </w:p>
    <w:p w14:paraId="1B1A7E47" w14:textId="0D521E48" w:rsidR="00CD4C62" w:rsidRPr="00466E4B" w:rsidRDefault="00CD4C62" w:rsidP="00201F47">
      <w:pPr>
        <w:pStyle w:val="Text"/>
        <w:numPr>
          <w:ilvl w:val="1"/>
          <w:numId w:val="1"/>
        </w:numPr>
        <w:spacing w:line="360" w:lineRule="auto"/>
        <w:rPr>
          <w:rFonts w:ascii="Arial" w:hAnsi="Arial" w:cs="Arial"/>
          <w:i/>
          <w:sz w:val="20"/>
        </w:rPr>
      </w:pPr>
      <w:r w:rsidRPr="00466E4B">
        <w:rPr>
          <w:rFonts w:ascii="Arial" w:hAnsi="Arial" w:cs="Arial"/>
          <w:i/>
          <w:sz w:val="20"/>
        </w:rPr>
        <w:t>Genotype (</w:t>
      </w:r>
      <w:r w:rsidR="00466E4B">
        <w:rPr>
          <w:rFonts w:ascii="Arial" w:hAnsi="Arial" w:cs="Arial"/>
          <w:i/>
          <w:sz w:val="20"/>
        </w:rPr>
        <w:t>1</w:t>
      </w:r>
      <w:r w:rsidR="001237A5">
        <w:rPr>
          <w:rFonts w:ascii="Arial" w:hAnsi="Arial" w:cs="Arial"/>
          <w:i/>
          <w:sz w:val="20"/>
        </w:rPr>
        <w:t xml:space="preserve"> for </w:t>
      </w:r>
      <w:r w:rsidR="00ED2DC7">
        <w:rPr>
          <w:rFonts w:ascii="Arial" w:hAnsi="Arial" w:cs="Arial"/>
          <w:i/>
          <w:sz w:val="20"/>
        </w:rPr>
        <w:t>c</w:t>
      </w:r>
      <w:r w:rsidRPr="00466E4B">
        <w:rPr>
          <w:rFonts w:ascii="Arial" w:hAnsi="Arial" w:cs="Arial"/>
          <w:i/>
          <w:sz w:val="20"/>
        </w:rPr>
        <w:t xml:space="preserve">arrier or </w:t>
      </w:r>
      <w:r w:rsidR="00466E4B">
        <w:rPr>
          <w:rFonts w:ascii="Arial" w:hAnsi="Arial" w:cs="Arial"/>
          <w:i/>
          <w:sz w:val="20"/>
        </w:rPr>
        <w:t>0</w:t>
      </w:r>
      <w:r w:rsidR="001237A5">
        <w:rPr>
          <w:rFonts w:ascii="Arial" w:hAnsi="Arial" w:cs="Arial"/>
          <w:i/>
          <w:sz w:val="20"/>
        </w:rPr>
        <w:t xml:space="preserve">  for </w:t>
      </w:r>
      <w:r w:rsidRPr="00466E4B">
        <w:rPr>
          <w:rFonts w:ascii="Arial" w:hAnsi="Arial" w:cs="Arial"/>
          <w:i/>
          <w:sz w:val="20"/>
        </w:rPr>
        <w:t>non-carrier)</w:t>
      </w:r>
    </w:p>
    <w:p w14:paraId="626B17CC" w14:textId="13ABD330" w:rsidR="00CD4C62" w:rsidRPr="00466E4B" w:rsidRDefault="00C60D5E" w:rsidP="00201F47">
      <w:pPr>
        <w:pStyle w:val="Text"/>
        <w:numPr>
          <w:ilvl w:val="1"/>
          <w:numId w:val="1"/>
        </w:numPr>
        <w:spacing w:line="360" w:lineRule="auto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 xml:space="preserve">Type  of event </w:t>
      </w:r>
      <w:r w:rsidR="00CD4C62" w:rsidRPr="00466E4B">
        <w:rPr>
          <w:rFonts w:ascii="Arial" w:hAnsi="Arial" w:cs="Arial"/>
          <w:i/>
          <w:sz w:val="20"/>
        </w:rPr>
        <w:t>(2</w:t>
      </w:r>
      <w:r w:rsidR="001237A5">
        <w:rPr>
          <w:rFonts w:ascii="Arial" w:hAnsi="Arial" w:cs="Arial"/>
          <w:i/>
          <w:sz w:val="20"/>
        </w:rPr>
        <w:t xml:space="preserve"> for </w:t>
      </w:r>
      <w:r w:rsidR="00CD4C62" w:rsidRPr="00466E4B">
        <w:rPr>
          <w:rFonts w:ascii="Arial" w:hAnsi="Arial" w:cs="Arial"/>
          <w:i/>
          <w:sz w:val="20"/>
        </w:rPr>
        <w:t>AD or 1</w:t>
      </w:r>
      <w:r w:rsidR="001237A5">
        <w:rPr>
          <w:rFonts w:ascii="Arial" w:hAnsi="Arial" w:cs="Arial"/>
          <w:i/>
          <w:sz w:val="20"/>
        </w:rPr>
        <w:t xml:space="preserve"> for </w:t>
      </w:r>
      <w:r w:rsidR="00CD4C62" w:rsidRPr="00466E4B">
        <w:rPr>
          <w:rFonts w:ascii="Arial" w:hAnsi="Arial" w:cs="Arial"/>
          <w:i/>
          <w:sz w:val="20"/>
        </w:rPr>
        <w:t>MCI or dementia due to AD)</w:t>
      </w:r>
    </w:p>
    <w:p w14:paraId="417CDB2E" w14:textId="78E73A78" w:rsidR="00CD4C62" w:rsidRPr="00466E4B" w:rsidRDefault="00C60D5E" w:rsidP="00201F47">
      <w:pPr>
        <w:pStyle w:val="Text"/>
        <w:numPr>
          <w:ilvl w:val="1"/>
          <w:numId w:val="1"/>
        </w:numPr>
        <w:spacing w:line="360" w:lineRule="auto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 xml:space="preserve">Type  of event </w:t>
      </w:r>
      <w:r w:rsidR="00CD4C62" w:rsidRPr="00466E4B">
        <w:rPr>
          <w:rFonts w:ascii="Arial" w:hAnsi="Arial" w:cs="Arial"/>
          <w:i/>
          <w:sz w:val="20"/>
          <w:lang w:val="de-CH"/>
        </w:rPr>
        <w:t>*</w:t>
      </w:r>
      <w:r w:rsidR="00D8341D">
        <w:rPr>
          <w:rFonts w:ascii="Arial" w:hAnsi="Arial" w:cs="Arial"/>
          <w:i/>
          <w:sz w:val="20"/>
          <w:lang w:val="de-CH"/>
        </w:rPr>
        <w:t xml:space="preserve"> </w:t>
      </w:r>
      <w:r w:rsidR="00CD4C62" w:rsidRPr="00466E4B">
        <w:rPr>
          <w:rFonts w:ascii="Arial" w:hAnsi="Arial" w:cs="Arial"/>
          <w:i/>
          <w:sz w:val="20"/>
          <w:lang w:val="de-CH"/>
        </w:rPr>
        <w:t xml:space="preserve">log(Baseline </w:t>
      </w:r>
      <w:r w:rsidR="004C7185">
        <w:rPr>
          <w:rFonts w:ascii="Arial" w:hAnsi="Arial" w:cs="Arial"/>
          <w:i/>
          <w:sz w:val="20"/>
          <w:lang w:val="de-CH"/>
        </w:rPr>
        <w:t>a</w:t>
      </w:r>
      <w:r w:rsidR="00CD4C62" w:rsidRPr="00466E4B">
        <w:rPr>
          <w:rFonts w:ascii="Arial" w:hAnsi="Arial" w:cs="Arial"/>
          <w:i/>
          <w:sz w:val="20"/>
          <w:lang w:val="de-CH"/>
        </w:rPr>
        <w:t>ge/60)</w:t>
      </w:r>
    </w:p>
    <w:p w14:paraId="6DF14707" w14:textId="2F674D37" w:rsidR="00CD4C62" w:rsidRPr="00466E4B" w:rsidRDefault="00C60D5E" w:rsidP="00201F47">
      <w:pPr>
        <w:pStyle w:val="Text"/>
        <w:numPr>
          <w:ilvl w:val="1"/>
          <w:numId w:val="1"/>
        </w:numPr>
        <w:spacing w:line="360" w:lineRule="auto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 xml:space="preserve">Type  of event </w:t>
      </w:r>
      <w:r w:rsidR="00CD4C62" w:rsidRPr="00392519">
        <w:rPr>
          <w:rFonts w:ascii="Arial" w:hAnsi="Arial" w:cs="Arial"/>
          <w:i/>
          <w:sz w:val="20"/>
        </w:rPr>
        <w:t>*</w:t>
      </w:r>
      <w:r w:rsidR="00D8341D">
        <w:rPr>
          <w:rFonts w:ascii="Arial" w:hAnsi="Arial" w:cs="Arial"/>
          <w:i/>
          <w:sz w:val="20"/>
        </w:rPr>
        <w:t xml:space="preserve">  l</w:t>
      </w:r>
      <w:r w:rsidR="00CD4C62" w:rsidRPr="00392519">
        <w:rPr>
          <w:rFonts w:ascii="Arial" w:hAnsi="Arial" w:cs="Arial"/>
          <w:i/>
          <w:sz w:val="20"/>
        </w:rPr>
        <w:t xml:space="preserve">og(Years of </w:t>
      </w:r>
      <w:r w:rsidR="004C7185">
        <w:rPr>
          <w:rFonts w:ascii="Arial" w:hAnsi="Arial" w:cs="Arial"/>
          <w:i/>
          <w:sz w:val="20"/>
        </w:rPr>
        <w:t>e</w:t>
      </w:r>
      <w:r w:rsidR="00CD4C62" w:rsidRPr="00392519">
        <w:rPr>
          <w:rFonts w:ascii="Arial" w:hAnsi="Arial" w:cs="Arial"/>
          <w:i/>
          <w:sz w:val="20"/>
        </w:rPr>
        <w:t>ducation)</w:t>
      </w:r>
    </w:p>
    <w:p w14:paraId="5C3ED725" w14:textId="743EA89F" w:rsidR="00CD4C62" w:rsidRPr="00466E4B" w:rsidRDefault="00C60D5E" w:rsidP="00201F47">
      <w:pPr>
        <w:pStyle w:val="Text"/>
        <w:numPr>
          <w:ilvl w:val="1"/>
          <w:numId w:val="1"/>
        </w:numPr>
        <w:spacing w:line="360" w:lineRule="auto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 xml:space="preserve">Type  of event </w:t>
      </w:r>
      <w:r w:rsidR="00CD4C62" w:rsidRPr="00466E4B">
        <w:rPr>
          <w:rFonts w:ascii="Arial" w:hAnsi="Arial" w:cs="Arial"/>
          <w:i/>
          <w:sz w:val="20"/>
        </w:rPr>
        <w:t>*</w:t>
      </w:r>
      <w:r w:rsidR="00D8341D">
        <w:rPr>
          <w:rFonts w:ascii="Arial" w:hAnsi="Arial" w:cs="Arial"/>
          <w:i/>
          <w:sz w:val="20"/>
        </w:rPr>
        <w:t xml:space="preserve"> </w:t>
      </w:r>
      <w:r w:rsidR="00CD4C62" w:rsidRPr="00466E4B">
        <w:rPr>
          <w:rFonts w:ascii="Arial" w:hAnsi="Arial" w:cs="Arial"/>
          <w:i/>
          <w:sz w:val="20"/>
        </w:rPr>
        <w:t>log(Baseline APCC/60)</w:t>
      </w:r>
    </w:p>
    <w:p w14:paraId="71D08D2A" w14:textId="076A5530" w:rsidR="00CD4C62" w:rsidRDefault="00CD4C62" w:rsidP="00201F47">
      <w:pPr>
        <w:pStyle w:val="Text"/>
        <w:numPr>
          <w:ilvl w:val="0"/>
          <w:numId w:val="1"/>
        </w:numPr>
        <w:spacing w:line="360" w:lineRule="auto"/>
        <w:rPr>
          <w:rFonts w:ascii="Arial" w:hAnsi="Arial" w:cs="Arial"/>
          <w:iCs/>
          <w:sz w:val="20"/>
        </w:rPr>
      </w:pPr>
      <w:r w:rsidRPr="003943DE">
        <w:rPr>
          <w:rFonts w:ascii="Arial" w:hAnsi="Arial" w:cs="Arial"/>
          <w:sz w:val="20"/>
        </w:rPr>
        <w:t xml:space="preserve"> </w:t>
      </w:r>
      <m:oMath>
        <m:r>
          <w:rPr>
            <w:rFonts w:ascii="Cambria Math" w:hAnsi="Cambria Math" w:cs="Arial"/>
            <w:sz w:val="20"/>
            <w:lang w:val="fr-CH"/>
          </w:rPr>
          <m:t>k</m:t>
        </m:r>
        <m:r>
          <w:rPr>
            <w:rFonts w:ascii="Cambria Math" w:hAnsi="Cambria Math" w:cs="Arial"/>
            <w:sz w:val="20"/>
          </w:rPr>
          <m:t>=1/</m:t>
        </m:r>
        <m:r>
          <w:rPr>
            <w:rFonts w:ascii="Cambria Math" w:hAnsi="Cambria Math" w:cs="Arial"/>
            <w:sz w:val="20"/>
            <w:lang w:val="fr-CH"/>
          </w:rPr>
          <m:t>σ</m:t>
        </m:r>
      </m:oMath>
      <w:r w:rsidRPr="003943DE">
        <w:rPr>
          <w:rFonts w:ascii="Arial" w:hAnsi="Arial" w:cs="Arial"/>
          <w:iCs/>
          <w:sz w:val="20"/>
        </w:rPr>
        <w:t>,</w:t>
      </w:r>
      <w:r w:rsidR="00945FF7">
        <w:rPr>
          <w:rFonts w:ascii="Arial" w:hAnsi="Arial" w:cs="Arial"/>
          <w:iCs/>
          <w:sz w:val="20"/>
        </w:rPr>
        <w:t xml:space="preserve"> where</w:t>
      </w:r>
      <w:r w:rsidRPr="003943DE">
        <w:rPr>
          <w:rFonts w:ascii="Arial" w:hAnsi="Arial" w:cs="Arial"/>
          <w:iCs/>
          <w:sz w:val="20"/>
        </w:rPr>
        <w:t xml:space="preserve"> </w:t>
      </w:r>
      <m:oMath>
        <m:r>
          <w:rPr>
            <w:rFonts w:ascii="Cambria Math" w:hAnsi="Cambria Math" w:cs="Arial"/>
            <w:sz w:val="20"/>
            <w:lang w:val="fr-CH"/>
          </w:rPr>
          <m:t>σ</m:t>
        </m:r>
      </m:oMath>
      <w:r w:rsidRPr="003943DE">
        <w:rPr>
          <w:rFonts w:ascii="Arial" w:hAnsi="Arial" w:cs="Arial"/>
          <w:iCs/>
          <w:sz w:val="20"/>
        </w:rPr>
        <w:t xml:space="preserve"> is a scale parameter (estima</w:t>
      </w:r>
      <w:r>
        <w:rPr>
          <w:rFonts w:ascii="Arial" w:hAnsi="Arial" w:cs="Arial"/>
          <w:iCs/>
          <w:sz w:val="20"/>
        </w:rPr>
        <w:t>ted by the statistical software)</w:t>
      </w:r>
    </w:p>
    <w:p w14:paraId="33DE2AEB" w14:textId="3F797254" w:rsidR="00701C71" w:rsidRDefault="00701C71" w:rsidP="00201F47">
      <w:pPr>
        <w:spacing w:line="360" w:lineRule="auto"/>
        <w:rPr>
          <w:rFonts w:eastAsia="Times New Roman"/>
          <w:szCs w:val="24"/>
          <w:lang w:eastAsia="zh-CN"/>
        </w:rPr>
      </w:pPr>
    </w:p>
    <w:p w14:paraId="0A7DBFC0" w14:textId="4C287A7C" w:rsidR="00D8341D" w:rsidRPr="00D8341D" w:rsidRDefault="00D8341D" w:rsidP="00201F47">
      <w:pPr>
        <w:spacing w:line="360" w:lineRule="auto"/>
        <w:rPr>
          <w:rFonts w:eastAsia="Times New Roman"/>
          <w:szCs w:val="24"/>
          <w:lang w:eastAsia="zh-CN"/>
        </w:rPr>
      </w:pPr>
      <w:r w:rsidRPr="00D8341D">
        <w:rPr>
          <w:rFonts w:eastAsia="Times New Roman"/>
          <w:i/>
          <w:iCs/>
          <w:szCs w:val="24"/>
          <w:lang w:eastAsia="zh-CN"/>
        </w:rPr>
        <w:t>x</w:t>
      </w:r>
      <w:r w:rsidRPr="00D8341D">
        <w:rPr>
          <w:rFonts w:eastAsia="Times New Roman"/>
          <w:szCs w:val="24"/>
          <w:lang w:eastAsia="zh-CN"/>
        </w:rPr>
        <w:t xml:space="preserve"> denotes the time to event</w:t>
      </w:r>
      <w:r>
        <w:rPr>
          <w:rFonts w:eastAsia="Times New Roman"/>
          <w:szCs w:val="24"/>
          <w:lang w:eastAsia="zh-CN"/>
        </w:rPr>
        <w:t>;</w:t>
      </w:r>
    </w:p>
    <w:p w14:paraId="1531D7CF" w14:textId="47EFCED3" w:rsidR="00D8341D" w:rsidRPr="00D8341D" w:rsidRDefault="00D8341D" w:rsidP="00201F47">
      <w:pPr>
        <w:spacing w:line="360" w:lineRule="auto"/>
        <w:rPr>
          <w:rFonts w:eastAsia="Times New Roman"/>
          <w:szCs w:val="24"/>
          <w:lang w:eastAsia="zh-CN"/>
        </w:rPr>
      </w:pPr>
      <w:r w:rsidRPr="00D8341D">
        <w:rPr>
          <w:rFonts w:eastAsia="Times New Roman"/>
          <w:i/>
          <w:iCs/>
          <w:szCs w:val="24"/>
          <w:lang w:eastAsia="zh-CN"/>
        </w:rPr>
        <w:t>μ</w:t>
      </w:r>
      <w:r w:rsidRPr="00D8341D">
        <w:rPr>
          <w:rFonts w:eastAsia="Times New Roman"/>
          <w:szCs w:val="24"/>
          <w:lang w:eastAsia="zh-CN"/>
        </w:rPr>
        <w:t xml:space="preserve"> is the average time to event or time to event of the population</w:t>
      </w:r>
      <w:r>
        <w:rPr>
          <w:rFonts w:eastAsia="Times New Roman"/>
          <w:szCs w:val="24"/>
          <w:lang w:eastAsia="zh-CN"/>
        </w:rPr>
        <w:t>;</w:t>
      </w:r>
    </w:p>
    <w:p w14:paraId="3123E1B3" w14:textId="08C307A4" w:rsidR="00D8341D" w:rsidRDefault="00D8341D" w:rsidP="00201F47">
      <w:pPr>
        <w:spacing w:line="360" w:lineRule="auto"/>
        <w:rPr>
          <w:rFonts w:eastAsia="Times New Roman"/>
          <w:szCs w:val="24"/>
          <w:lang w:eastAsia="zh-CN"/>
        </w:rPr>
      </w:pPr>
      <w:r w:rsidRPr="00D8341D">
        <w:rPr>
          <w:rFonts w:eastAsia="Times New Roman"/>
          <w:i/>
          <w:iCs/>
          <w:szCs w:val="24"/>
          <w:lang w:eastAsia="zh-CN"/>
        </w:rPr>
        <w:t>λ</w:t>
      </w:r>
      <w:r w:rsidRPr="00D8341D">
        <w:rPr>
          <w:rFonts w:eastAsia="Times New Roman"/>
          <w:szCs w:val="24"/>
          <w:lang w:eastAsia="zh-CN"/>
        </w:rPr>
        <w:t xml:space="preserve"> is a scale parameter defined as a function of the covariates and representing how spread is the Weibull distribution</w:t>
      </w:r>
      <w:r w:rsidR="00F869FC">
        <w:rPr>
          <w:rFonts w:eastAsia="Times New Roman"/>
          <w:szCs w:val="24"/>
          <w:lang w:eastAsia="zh-CN"/>
        </w:rPr>
        <w:t>.</w:t>
      </w:r>
    </w:p>
    <w:p w14:paraId="0A606C6B" w14:textId="6B2D0205" w:rsidR="00466E4B" w:rsidRDefault="00466E4B" w:rsidP="00201F47">
      <w:pPr>
        <w:spacing w:line="360" w:lineRule="auto"/>
      </w:pPr>
      <w:r>
        <w:t xml:space="preserve">The model was fit with </w:t>
      </w:r>
      <w:r w:rsidR="00945FF7">
        <w:t xml:space="preserve">the </w:t>
      </w:r>
      <w:r>
        <w:t>PROC LIFEREG procedure in SAS using Weibull as the link function.</w:t>
      </w:r>
    </w:p>
    <w:p w14:paraId="7E420A4C" w14:textId="32AD8E96" w:rsidR="00945FF7" w:rsidRDefault="00466E4B" w:rsidP="00201F47">
      <w:pPr>
        <w:spacing w:line="360" w:lineRule="auto"/>
      </w:pPr>
      <w:r>
        <w:lastRenderedPageBreak/>
        <w:t>The intercept was estimated to be 5.4238</w:t>
      </w:r>
      <w:r w:rsidR="00945FF7">
        <w:t>.</w:t>
      </w:r>
    </w:p>
    <w:p w14:paraId="67584753" w14:textId="19B86380" w:rsidR="00945FF7" w:rsidRDefault="00466E4B" w:rsidP="00201F47">
      <w:pPr>
        <w:spacing w:line="360" w:lineRule="auto"/>
      </w:pPr>
      <w:r>
        <w:t xml:space="preserve">The effect of the </w:t>
      </w:r>
      <w:r w:rsidR="00D8341D" w:rsidRPr="00D8341D">
        <w:rPr>
          <w:i/>
          <w:iCs/>
        </w:rPr>
        <w:t>T</w:t>
      </w:r>
      <w:r w:rsidRPr="00D8341D">
        <w:rPr>
          <w:i/>
          <w:iCs/>
        </w:rPr>
        <w:t>ype of event</w:t>
      </w:r>
      <w:r>
        <w:t xml:space="preserve"> was estimated to be </w:t>
      </w:r>
      <w:r w:rsidR="00945FF7">
        <w:t>−</w:t>
      </w:r>
      <w:r>
        <w:t xml:space="preserve">1.0229 for MCI or </w:t>
      </w:r>
      <w:r w:rsidR="00945FF7">
        <w:t>d</w:t>
      </w:r>
      <w:r>
        <w:t xml:space="preserve">ementia due to AD with respect to </w:t>
      </w:r>
      <w:r w:rsidR="004C7185" w:rsidRPr="00D8341D">
        <w:t xml:space="preserve">dementia </w:t>
      </w:r>
      <w:r w:rsidRPr="00D8341D">
        <w:t>due to AD</w:t>
      </w:r>
      <w:r w:rsidR="00945FF7" w:rsidRPr="00D8341D">
        <w:t>.</w:t>
      </w:r>
      <w:r w:rsidR="00945FF7">
        <w:t xml:space="preserve"> </w:t>
      </w:r>
    </w:p>
    <w:p w14:paraId="2522463E" w14:textId="01FA8F1B" w:rsidR="00945FF7" w:rsidRDefault="00466E4B" w:rsidP="00201F47">
      <w:pPr>
        <w:spacing w:line="360" w:lineRule="auto"/>
      </w:pPr>
      <w:r>
        <w:t xml:space="preserve">The effect of the </w:t>
      </w:r>
      <w:r w:rsidRPr="00D8341D">
        <w:rPr>
          <w:i/>
          <w:iCs/>
        </w:rPr>
        <w:t>genotype</w:t>
      </w:r>
      <w:r>
        <w:t xml:space="preserve"> was estimated to be 0.3409 for </w:t>
      </w:r>
      <w:r w:rsidR="00945FF7">
        <w:t>c</w:t>
      </w:r>
      <w:r>
        <w:t xml:space="preserve">arriers with respect to </w:t>
      </w:r>
      <w:r w:rsidR="00945FF7">
        <w:t>n</w:t>
      </w:r>
      <w:r>
        <w:t>on-</w:t>
      </w:r>
      <w:r w:rsidR="00945FF7">
        <w:t>c</w:t>
      </w:r>
      <w:r>
        <w:t xml:space="preserve">arriers. </w:t>
      </w:r>
    </w:p>
    <w:p w14:paraId="30471938" w14:textId="682D1127" w:rsidR="00945FF7" w:rsidRDefault="00466E4B" w:rsidP="00201F47">
      <w:pPr>
        <w:spacing w:line="360" w:lineRule="auto"/>
      </w:pPr>
      <w:r>
        <w:t xml:space="preserve">The effect of a change in units </w:t>
      </w:r>
      <w:r w:rsidR="00945FF7">
        <w:t xml:space="preserve">in </w:t>
      </w:r>
      <w:r>
        <w:t xml:space="preserve">years of baseline age (log scale) was </w:t>
      </w:r>
      <w:r w:rsidR="00945FF7">
        <w:t>−</w:t>
      </w:r>
      <w:r>
        <w:t>2.8847</w:t>
      </w:r>
      <w:r w:rsidR="00945FF7">
        <w:t>.</w:t>
      </w:r>
    </w:p>
    <w:p w14:paraId="586386D9" w14:textId="79FC0153" w:rsidR="00945FF7" w:rsidRDefault="00466E4B" w:rsidP="00201F47">
      <w:pPr>
        <w:spacing w:line="360" w:lineRule="auto"/>
      </w:pPr>
      <w:r>
        <w:t xml:space="preserve">The effect of a change in units </w:t>
      </w:r>
      <w:r w:rsidR="00945FF7">
        <w:t xml:space="preserve">in </w:t>
      </w:r>
      <w:r>
        <w:t xml:space="preserve">years of education (log scale) was </w:t>
      </w:r>
      <w:r w:rsidR="00945FF7">
        <w:t>−</w:t>
      </w:r>
      <w:r>
        <w:t>0.6390</w:t>
      </w:r>
      <w:r w:rsidR="00945FF7">
        <w:t>.</w:t>
      </w:r>
    </w:p>
    <w:p w14:paraId="5AC70F97" w14:textId="4AB5AAB0" w:rsidR="00466E4B" w:rsidRDefault="00466E4B" w:rsidP="00201F47">
      <w:pPr>
        <w:spacing w:line="360" w:lineRule="auto"/>
      </w:pPr>
      <w:r>
        <w:t>The effect of a change in units of baseline APCC (log scale) was 3.2901</w:t>
      </w:r>
      <w:r w:rsidR="00945FF7">
        <w:t>.</w:t>
      </w:r>
    </w:p>
    <w:p w14:paraId="18959EB0" w14:textId="0450C146" w:rsidR="00466E4B" w:rsidRDefault="00466E4B" w:rsidP="00201F47">
      <w:pPr>
        <w:spacing w:line="360" w:lineRule="auto"/>
      </w:pPr>
      <w:r>
        <w:t>The scale parameter was set to 0.6774</w:t>
      </w:r>
      <w:r w:rsidR="00945FF7">
        <w:t xml:space="preserve"> a</w:t>
      </w:r>
      <w:r>
        <w:t>nd the Weibull shape to 1.4762 (these two parameters are fixed by the SAS procedure)</w:t>
      </w:r>
      <w:r w:rsidR="00945FF7">
        <w:t xml:space="preserve">. </w:t>
      </w:r>
    </w:p>
    <w:p w14:paraId="7DE085B6" w14:textId="77777777" w:rsidR="00945FF7" w:rsidRDefault="00945FF7" w:rsidP="00201F47">
      <w:pPr>
        <w:spacing w:line="360" w:lineRule="auto"/>
        <w:contextualSpacing/>
      </w:pPr>
    </w:p>
    <w:p w14:paraId="4DD6B307" w14:textId="77777777" w:rsidR="00D8341D" w:rsidRDefault="00D8341D" w:rsidP="00201F47">
      <w:pPr>
        <w:spacing w:line="360" w:lineRule="auto"/>
        <w:rPr>
          <w:u w:val="single"/>
        </w:rPr>
      </w:pPr>
      <w:r>
        <w:rPr>
          <w:u w:val="single"/>
        </w:rPr>
        <w:br w:type="page"/>
      </w:r>
    </w:p>
    <w:p w14:paraId="6EEC7A71" w14:textId="245E39A8" w:rsidR="00681436" w:rsidRPr="00681436" w:rsidRDefault="00681436" w:rsidP="00201F47">
      <w:pPr>
        <w:spacing w:line="360" w:lineRule="auto"/>
        <w:rPr>
          <w:u w:val="single"/>
        </w:rPr>
      </w:pPr>
      <w:r w:rsidRPr="00681436">
        <w:rPr>
          <w:u w:val="single"/>
        </w:rPr>
        <w:lastRenderedPageBreak/>
        <w:t>Supplemental Figures</w:t>
      </w:r>
    </w:p>
    <w:p w14:paraId="67DAAC6B" w14:textId="3D7922C9" w:rsidR="00681436" w:rsidRDefault="00681436" w:rsidP="00201F47">
      <w:pPr>
        <w:spacing w:line="360" w:lineRule="auto"/>
        <w:rPr>
          <w:rFonts w:eastAsia="Times New Roman"/>
          <w:color w:val="000000"/>
        </w:rPr>
      </w:pPr>
      <w:r w:rsidRPr="004D5B70">
        <w:rPr>
          <w:b/>
        </w:rPr>
        <w:t xml:space="preserve">Supplemental Figure </w:t>
      </w:r>
      <w:r w:rsidR="00392519" w:rsidRPr="004D5B70">
        <w:rPr>
          <w:b/>
        </w:rPr>
        <w:t>S</w:t>
      </w:r>
      <w:r w:rsidRPr="004D5B70">
        <w:rPr>
          <w:b/>
        </w:rPr>
        <w:t>1:</w:t>
      </w:r>
      <w:r w:rsidRPr="004160C4">
        <w:t xml:space="preserve"> </w:t>
      </w:r>
      <w:r w:rsidRPr="004160C4">
        <w:rPr>
          <w:rFonts w:eastAsia="Times New Roman"/>
          <w:color w:val="000000"/>
        </w:rPr>
        <w:t>Cognitive</w:t>
      </w:r>
      <w:r w:rsidRPr="00FE71AB">
        <w:rPr>
          <w:rFonts w:eastAsia="Times New Roman"/>
          <w:color w:val="000000"/>
        </w:rPr>
        <w:t xml:space="preserve"> composites over time by genotype: individual time profiles and LOESS estimates for progressors to dementia</w:t>
      </w:r>
      <w:r w:rsidR="005D2AC1" w:rsidRPr="005D2AC1">
        <w:rPr>
          <w:rFonts w:eastAsia="Times New Roman"/>
          <w:noProof/>
          <w:color w:val="000000"/>
        </w:rPr>
        <w:drawing>
          <wp:inline distT="0" distB="0" distL="0" distR="0" wp14:anchorId="6B3855EE" wp14:editId="3A324033">
            <wp:extent cx="5943600" cy="28835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8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57F61" w14:textId="77777777" w:rsidR="00681436" w:rsidRPr="00FE71AB" w:rsidRDefault="00681436" w:rsidP="00201F47">
      <w:pPr>
        <w:spacing w:after="0" w:line="360" w:lineRule="auto"/>
        <w:rPr>
          <w:rFonts w:eastAsia="Times New Roman"/>
          <w:color w:val="000000"/>
          <w:sz w:val="16"/>
          <w:szCs w:val="16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65"/>
      </w:tblGrid>
      <w:tr w:rsidR="00681436" w14:paraId="183EA01B" w14:textId="77777777" w:rsidTr="004160C4">
        <w:tc>
          <w:tcPr>
            <w:tcW w:w="9265" w:type="dxa"/>
          </w:tcPr>
          <w:p w14:paraId="12C48568" w14:textId="658C1A14" w:rsidR="00681436" w:rsidRPr="00FE71AB" w:rsidRDefault="00681436" w:rsidP="00201F47">
            <w:pPr>
              <w:pStyle w:val="NoSpacing"/>
              <w:spacing w:line="360" w:lineRule="auto"/>
              <w:rPr>
                <w:sz w:val="16"/>
                <w:szCs w:val="16"/>
                <w:u w:val="single"/>
              </w:rPr>
            </w:pPr>
            <w:r w:rsidRPr="00FE71AB">
              <w:rPr>
                <w:sz w:val="16"/>
                <w:szCs w:val="16"/>
              </w:rPr>
              <w:t xml:space="preserve">LOESS, locally estimated scatterplot smoothing; NACC, National Alzheimer’s Coordinating Center; APCC, </w:t>
            </w:r>
            <w:r w:rsidR="00392519">
              <w:rPr>
                <w:sz w:val="16"/>
                <w:szCs w:val="16"/>
              </w:rPr>
              <w:t>API preclinical cognitive; PACC,</w:t>
            </w:r>
            <w:r w:rsidRPr="00FE71AB">
              <w:rPr>
                <w:sz w:val="16"/>
                <w:szCs w:val="16"/>
              </w:rPr>
              <w:t xml:space="preserve"> Preclinical Alzheimer Cognitive Composite; RBANS; Repeatable Battery for the Assessment of Neuropsychological Status; trajectories are anchored at the time of diagnosis</w:t>
            </w:r>
            <w:r w:rsidR="00392519">
              <w:rPr>
                <w:sz w:val="16"/>
                <w:szCs w:val="16"/>
              </w:rPr>
              <w:t xml:space="preserve"> of dementia</w:t>
            </w:r>
          </w:p>
        </w:tc>
      </w:tr>
    </w:tbl>
    <w:p w14:paraId="3590DD90" w14:textId="77777777" w:rsidR="00681436" w:rsidRDefault="00681436" w:rsidP="00201F47">
      <w:pPr>
        <w:spacing w:line="360" w:lineRule="auto"/>
        <w:rPr>
          <w:u w:val="single"/>
        </w:rPr>
      </w:pPr>
    </w:p>
    <w:p w14:paraId="11386089" w14:textId="77777777" w:rsidR="00681436" w:rsidRDefault="00681436" w:rsidP="00201F47">
      <w:pPr>
        <w:spacing w:line="360" w:lineRule="auto"/>
      </w:pPr>
    </w:p>
    <w:p w14:paraId="33EB2CCF" w14:textId="0F9B7B66" w:rsidR="00681436" w:rsidRPr="00681436" w:rsidRDefault="00681436" w:rsidP="00201F47">
      <w:pPr>
        <w:keepNext/>
        <w:spacing w:line="360" w:lineRule="auto"/>
        <w:rPr>
          <w:rFonts w:eastAsia="Times New Roman"/>
          <w:color w:val="000000"/>
        </w:rPr>
      </w:pPr>
      <w:r w:rsidRPr="004D5B70">
        <w:rPr>
          <w:b/>
        </w:rPr>
        <w:lastRenderedPageBreak/>
        <w:t xml:space="preserve">Supplemental Figure </w:t>
      </w:r>
      <w:r w:rsidR="00392519" w:rsidRPr="004D5B70">
        <w:rPr>
          <w:b/>
        </w:rPr>
        <w:t>S</w:t>
      </w:r>
      <w:r w:rsidRPr="004D5B70">
        <w:rPr>
          <w:b/>
        </w:rPr>
        <w:t>2:</w:t>
      </w:r>
      <w:r w:rsidRPr="00681436">
        <w:t xml:space="preserve"> </w:t>
      </w:r>
      <w:r w:rsidRPr="00681436">
        <w:rPr>
          <w:rFonts w:eastAsia="Times New Roman"/>
          <w:color w:val="000000"/>
        </w:rPr>
        <w:t xml:space="preserve"> Cross validation of TTE model structure</w:t>
      </w:r>
    </w:p>
    <w:p w14:paraId="1DB62F57" w14:textId="230FA8F1" w:rsidR="00681436" w:rsidRPr="00681436" w:rsidRDefault="00EC4807" w:rsidP="00201F47">
      <w:pPr>
        <w:keepNext/>
        <w:spacing w:line="360" w:lineRule="auto"/>
        <w:rPr>
          <w:rFonts w:eastAsia="Times New Roman"/>
          <w:color w:val="000000"/>
        </w:rPr>
      </w:pPr>
      <w:r>
        <w:rPr>
          <w:rFonts w:eastAsia="Times New Roman"/>
          <w:noProof/>
          <w:color w:val="000000"/>
        </w:rPr>
        <w:drawing>
          <wp:inline distT="0" distB="0" distL="0" distR="0" wp14:anchorId="142D759D" wp14:editId="7903D82B">
            <wp:extent cx="4719520" cy="7566660"/>
            <wp:effectExtent l="0" t="0" r="508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0180" cy="7567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681436" w14:paraId="5C436DD0" w14:textId="77777777" w:rsidTr="004160C4">
        <w:tc>
          <w:tcPr>
            <w:tcW w:w="9350" w:type="dxa"/>
          </w:tcPr>
          <w:p w14:paraId="73FA16A3" w14:textId="63EB9D76" w:rsidR="00681436" w:rsidRPr="00681436" w:rsidRDefault="00392519" w:rsidP="00201F47">
            <w:pPr>
              <w:keepNext/>
              <w:spacing w:line="360" w:lineRule="auto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AD, Alzheimer’s Disease;</w:t>
            </w:r>
            <w:r w:rsidR="00681436" w:rsidRPr="00681436">
              <w:rPr>
                <w:color w:val="000000"/>
                <w:sz w:val="16"/>
                <w:szCs w:val="16"/>
              </w:rPr>
              <w:t xml:space="preserve"> MCI, mild cognitive impairment; TTE, Time to event. Non genotyped subjects are assumed to be non-carriers. Model built based on 50% of the data; prediction made for </w:t>
            </w:r>
            <w:r>
              <w:rPr>
                <w:color w:val="000000"/>
                <w:sz w:val="16"/>
                <w:szCs w:val="16"/>
              </w:rPr>
              <w:t xml:space="preserve">the </w:t>
            </w:r>
            <w:r w:rsidR="00681436" w:rsidRPr="00681436">
              <w:rPr>
                <w:color w:val="000000"/>
                <w:sz w:val="16"/>
                <w:szCs w:val="16"/>
              </w:rPr>
              <w:t>other 50%.</w:t>
            </w:r>
          </w:p>
        </w:tc>
      </w:tr>
    </w:tbl>
    <w:p w14:paraId="15B270D4" w14:textId="77777777" w:rsidR="00681436" w:rsidRDefault="00681436" w:rsidP="00201F47">
      <w:pPr>
        <w:spacing w:line="360" w:lineRule="auto"/>
      </w:pPr>
    </w:p>
    <w:p w14:paraId="3F0FDCEC" w14:textId="77777777" w:rsidR="00D8341D" w:rsidRDefault="00D8341D" w:rsidP="00201F47">
      <w:pPr>
        <w:spacing w:line="360" w:lineRule="auto"/>
        <w:rPr>
          <w:b/>
        </w:rPr>
      </w:pPr>
    </w:p>
    <w:p w14:paraId="1190A82B" w14:textId="5E9B2392" w:rsidR="00681436" w:rsidRPr="00681436" w:rsidRDefault="00681436" w:rsidP="00201F47">
      <w:pPr>
        <w:keepNext/>
        <w:spacing w:line="360" w:lineRule="auto"/>
        <w:rPr>
          <w:rFonts w:eastAsia="Times New Roman"/>
          <w:color w:val="000000"/>
        </w:rPr>
      </w:pPr>
      <w:r w:rsidRPr="004D5B70">
        <w:rPr>
          <w:b/>
        </w:rPr>
        <w:t xml:space="preserve">Supplemental Figure </w:t>
      </w:r>
      <w:r w:rsidR="00392519" w:rsidRPr="004D5B70">
        <w:rPr>
          <w:b/>
        </w:rPr>
        <w:t>S</w:t>
      </w:r>
      <w:r w:rsidRPr="004D5B70">
        <w:rPr>
          <w:b/>
        </w:rPr>
        <w:t>3:</w:t>
      </w:r>
      <w:r w:rsidRPr="00681436">
        <w:t xml:space="preserve"> </w:t>
      </w:r>
      <w:r w:rsidRPr="00681436">
        <w:rPr>
          <w:rFonts w:eastAsia="Times New Roman"/>
          <w:color w:val="000000"/>
        </w:rPr>
        <w:t xml:space="preserve"> </w:t>
      </w:r>
      <w:r w:rsidR="00392519">
        <w:rPr>
          <w:rFonts w:eastAsia="Times New Roman"/>
          <w:color w:val="000000"/>
        </w:rPr>
        <w:t xml:space="preserve"> </w:t>
      </w:r>
      <w:r w:rsidR="00F25E05" w:rsidRPr="00D8341D">
        <w:rPr>
          <w:rFonts w:eastAsia="Times New Roman"/>
          <w:color w:val="000000"/>
        </w:rPr>
        <w:t>Model diagnostic of</w:t>
      </w:r>
      <w:r w:rsidR="00392519" w:rsidRPr="00D8341D">
        <w:rPr>
          <w:rFonts w:eastAsia="Times New Roman"/>
          <w:color w:val="000000"/>
        </w:rPr>
        <w:t xml:space="preserve"> the APCC model for </w:t>
      </w:r>
      <w:r w:rsidR="00F25E05" w:rsidRPr="00D8341D">
        <w:rPr>
          <w:rFonts w:eastAsia="Times New Roman"/>
          <w:color w:val="000000"/>
        </w:rPr>
        <w:t>N</w:t>
      </w:r>
      <w:r w:rsidR="00392519" w:rsidRPr="00D8341D">
        <w:rPr>
          <w:rFonts w:eastAsia="Times New Roman"/>
          <w:color w:val="000000"/>
        </w:rPr>
        <w:t>on-progressors</w:t>
      </w:r>
      <w:r w:rsidR="00F25E05" w:rsidRPr="00D8341D">
        <w:rPr>
          <w:rFonts w:eastAsia="Times New Roman"/>
          <w:color w:val="000000"/>
        </w:rPr>
        <w:t xml:space="preserve"> </w:t>
      </w:r>
      <w:r w:rsidRPr="00D8341D">
        <w:rPr>
          <w:rFonts w:eastAsia="Times New Roman"/>
          <w:color w:val="000000"/>
        </w:rPr>
        <w:t xml:space="preserve"> </w:t>
      </w:r>
      <w:r w:rsidR="00F25E05" w:rsidRPr="00D8341D">
        <w:rPr>
          <w:rFonts w:eastAsia="Times New Roman"/>
          <w:color w:val="000000"/>
        </w:rPr>
        <w:t>(VPC)</w:t>
      </w:r>
    </w:p>
    <w:p w14:paraId="37F1E636" w14:textId="72A14E16" w:rsidR="00681436" w:rsidRPr="00681436" w:rsidRDefault="00B91065" w:rsidP="00201F47">
      <w:pPr>
        <w:keepNext/>
        <w:spacing w:line="360" w:lineRule="auto"/>
      </w:pPr>
      <w:r w:rsidRPr="00B91065">
        <w:rPr>
          <w:noProof/>
        </w:rPr>
        <w:drawing>
          <wp:inline distT="0" distB="0" distL="0" distR="0" wp14:anchorId="313DA857" wp14:editId="561EC66A">
            <wp:extent cx="3744183" cy="450342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50463" cy="4510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FC9EF" w14:textId="74FEF407" w:rsidR="00392519" w:rsidRDefault="00392519" w:rsidP="00201F47">
      <w:pPr>
        <w:keepNext/>
        <w:spacing w:line="360" w:lineRule="auto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APCC, Alzheimer’s Prevention Initiative Composite Cognitive;</w:t>
      </w:r>
      <w:r w:rsidR="00F25E05">
        <w:rPr>
          <w:color w:val="000000"/>
          <w:sz w:val="16"/>
          <w:szCs w:val="16"/>
        </w:rPr>
        <w:t xml:space="preserve"> VPC, </w:t>
      </w:r>
      <w:r w:rsidR="00F25E05" w:rsidRPr="00F25E05">
        <w:rPr>
          <w:color w:val="000000"/>
          <w:sz w:val="16"/>
          <w:szCs w:val="16"/>
        </w:rPr>
        <w:t>Visual Predictive Check</w:t>
      </w:r>
      <w:r w:rsidR="00F25E05">
        <w:rPr>
          <w:color w:val="000000"/>
          <w:sz w:val="16"/>
          <w:szCs w:val="16"/>
        </w:rPr>
        <w:t>.</w:t>
      </w:r>
      <w:r w:rsidR="00F25E05" w:rsidRPr="00F25E05">
        <w:rPr>
          <w:color w:val="000000"/>
          <w:sz w:val="16"/>
          <w:szCs w:val="16"/>
        </w:rPr>
        <w:t xml:space="preserve"> </w:t>
      </w:r>
    </w:p>
    <w:p w14:paraId="771A27F9" w14:textId="7275143E" w:rsidR="00445EC9" w:rsidRPr="00681436" w:rsidRDefault="00445EC9" w:rsidP="00201F47">
      <w:pPr>
        <w:keepNext/>
        <w:spacing w:line="360" w:lineRule="auto"/>
        <w:rPr>
          <w:sz w:val="16"/>
          <w:szCs w:val="16"/>
        </w:rPr>
      </w:pPr>
    </w:p>
    <w:sectPr w:rsidR="00445EC9" w:rsidRPr="00681436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EE8B6" w14:textId="77777777" w:rsidR="004D5E2E" w:rsidRDefault="004D5E2E" w:rsidP="00FA3921">
      <w:pPr>
        <w:spacing w:after="0" w:line="240" w:lineRule="auto"/>
      </w:pPr>
      <w:r>
        <w:separator/>
      </w:r>
    </w:p>
  </w:endnote>
  <w:endnote w:type="continuationSeparator" w:id="0">
    <w:p w14:paraId="0F874AE3" w14:textId="77777777" w:rsidR="004D5E2E" w:rsidRDefault="004D5E2E" w:rsidP="00FA39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66B8D" w14:textId="7E6EBF5F" w:rsidR="0065346D" w:rsidRPr="00935041" w:rsidRDefault="0065346D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935041">
      <w:rPr>
        <w:caps/>
      </w:rPr>
      <w:fldChar w:fldCharType="begin"/>
    </w:r>
    <w:r w:rsidRPr="00935041">
      <w:rPr>
        <w:caps/>
      </w:rPr>
      <w:instrText xml:space="preserve"> PAGE   \* MERGEFORMAT </w:instrText>
    </w:r>
    <w:r w:rsidRPr="00935041">
      <w:rPr>
        <w:caps/>
      </w:rPr>
      <w:fldChar w:fldCharType="separate"/>
    </w:r>
    <w:r w:rsidR="0089050F">
      <w:rPr>
        <w:caps/>
        <w:noProof/>
      </w:rPr>
      <w:t>5</w:t>
    </w:r>
    <w:r w:rsidRPr="00935041">
      <w:rPr>
        <w:caps/>
        <w:noProof/>
      </w:rPr>
      <w:fldChar w:fldCharType="end"/>
    </w:r>
  </w:p>
  <w:p w14:paraId="03BEC52C" w14:textId="77777777" w:rsidR="0065346D" w:rsidRDefault="006534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359F0E" w14:textId="77777777" w:rsidR="004D5E2E" w:rsidRDefault="004D5E2E" w:rsidP="00FA3921">
      <w:pPr>
        <w:spacing w:after="0" w:line="240" w:lineRule="auto"/>
      </w:pPr>
      <w:r>
        <w:separator/>
      </w:r>
    </w:p>
  </w:footnote>
  <w:footnote w:type="continuationSeparator" w:id="0">
    <w:p w14:paraId="36C3F4AF" w14:textId="77777777" w:rsidR="004D5E2E" w:rsidRDefault="004D5E2E" w:rsidP="00FA39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ED2BE" w14:textId="68C1CB29" w:rsidR="0065346D" w:rsidRDefault="00701C71">
    <w:pPr>
      <w:pStyle w:val="Header"/>
    </w:pPr>
    <w:r>
      <w:rPr>
        <w:color w:val="808080" w:themeColor="background1" w:themeShade="80"/>
      </w:rPr>
      <w:t>Dual Endpoint</w:t>
    </w:r>
    <w:r w:rsidR="0065346D" w:rsidRPr="00F87374">
      <w:rPr>
        <w:color w:val="808080" w:themeColor="background1" w:themeShade="80"/>
      </w:rPr>
      <w:t xml:space="preserve"> Manuscript Supplemental Material</w:t>
    </w:r>
    <w:r w:rsidR="0065346D" w:rsidRPr="00F87374">
      <w:rPr>
        <w:color w:val="808080" w:themeColor="background1" w:themeShade="80"/>
      </w:rPr>
      <w:ptab w:relativeTo="margin" w:alignment="center" w:leader="none"/>
    </w:r>
    <w:r w:rsidR="0065346D" w:rsidRPr="00F87374">
      <w:rPr>
        <w:color w:val="808080" w:themeColor="background1" w:themeShade="80"/>
      </w:rPr>
      <w:ptab w:relativeTo="margin" w:alignment="right" w:leader="none"/>
    </w:r>
  </w:p>
  <w:p w14:paraId="47187E0F" w14:textId="2B7F4460" w:rsidR="0065346D" w:rsidRDefault="006534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22ECA"/>
    <w:multiLevelType w:val="hybridMultilevel"/>
    <w:tmpl w:val="E3CE016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081F33"/>
    <w:multiLevelType w:val="hybridMultilevel"/>
    <w:tmpl w:val="85AE0098"/>
    <w:lvl w:ilvl="0" w:tplc="E60E3872">
      <w:start w:val="1"/>
      <w:numFmt w:val="low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D370A2"/>
    <w:multiLevelType w:val="hybridMultilevel"/>
    <w:tmpl w:val="4FD27CC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647277"/>
    <w:multiLevelType w:val="hybridMultilevel"/>
    <w:tmpl w:val="7AFEFAC2"/>
    <w:lvl w:ilvl="0" w:tplc="19AE8DC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9C23E4"/>
    <w:multiLevelType w:val="hybridMultilevel"/>
    <w:tmpl w:val="F9668A24"/>
    <w:lvl w:ilvl="0" w:tplc="E60E3872">
      <w:start w:val="1"/>
      <w:numFmt w:val="low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7A33AD"/>
    <w:multiLevelType w:val="hybridMultilevel"/>
    <w:tmpl w:val="7CEABA36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de-CH" w:vendorID="64" w:dllVersion="6" w:nlCheck="1" w:checkStyle="0"/>
  <w:activeWritingStyle w:appName="MSWord" w:lang="fr-FR" w:vendorID="64" w:dllVersion="6" w:nlCheck="1" w:checkStyle="0"/>
  <w:activeWritingStyle w:appName="MSWord" w:lang="es-ES" w:vendorID="64" w:dllVersion="6" w:nlCheck="1" w:checkStyle="0"/>
  <w:activeWritingStyle w:appName="MSWord" w:lang="fr-CH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s-ES" w:vendorID="64" w:dllVersion="0" w:nlCheck="1" w:checkStyle="0"/>
  <w:activeWritingStyle w:appName="MSWord" w:lang="de-CH" w:vendorID="64" w:dllVersion="0" w:nlCheck="1" w:checkStyle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DF9"/>
    <w:rsid w:val="000032B1"/>
    <w:rsid w:val="00006904"/>
    <w:rsid w:val="00006E87"/>
    <w:rsid w:val="0001071E"/>
    <w:rsid w:val="00020422"/>
    <w:rsid w:val="00022123"/>
    <w:rsid w:val="000273A4"/>
    <w:rsid w:val="00031B45"/>
    <w:rsid w:val="00033032"/>
    <w:rsid w:val="00033596"/>
    <w:rsid w:val="000337DA"/>
    <w:rsid w:val="000347AC"/>
    <w:rsid w:val="000348A9"/>
    <w:rsid w:val="000403E3"/>
    <w:rsid w:val="00041DA6"/>
    <w:rsid w:val="000427E8"/>
    <w:rsid w:val="0004763A"/>
    <w:rsid w:val="0005217E"/>
    <w:rsid w:val="000538BA"/>
    <w:rsid w:val="000549A7"/>
    <w:rsid w:val="00054E86"/>
    <w:rsid w:val="00062381"/>
    <w:rsid w:val="00063A49"/>
    <w:rsid w:val="00063E9B"/>
    <w:rsid w:val="00064871"/>
    <w:rsid w:val="00064D7D"/>
    <w:rsid w:val="00067ADE"/>
    <w:rsid w:val="000741CA"/>
    <w:rsid w:val="00074203"/>
    <w:rsid w:val="000747DA"/>
    <w:rsid w:val="00077234"/>
    <w:rsid w:val="00077829"/>
    <w:rsid w:val="00077951"/>
    <w:rsid w:val="00077F66"/>
    <w:rsid w:val="00080B7B"/>
    <w:rsid w:val="00081EDE"/>
    <w:rsid w:val="00082933"/>
    <w:rsid w:val="00085D08"/>
    <w:rsid w:val="00087044"/>
    <w:rsid w:val="00087F0A"/>
    <w:rsid w:val="00091A21"/>
    <w:rsid w:val="0009202E"/>
    <w:rsid w:val="00092335"/>
    <w:rsid w:val="000930C1"/>
    <w:rsid w:val="00094C63"/>
    <w:rsid w:val="00096BC5"/>
    <w:rsid w:val="000A34F8"/>
    <w:rsid w:val="000A4A7B"/>
    <w:rsid w:val="000A5A47"/>
    <w:rsid w:val="000B03FC"/>
    <w:rsid w:val="000B0973"/>
    <w:rsid w:val="000B0ADA"/>
    <w:rsid w:val="000B0BBA"/>
    <w:rsid w:val="000B1FB2"/>
    <w:rsid w:val="000B48F8"/>
    <w:rsid w:val="000B5A3D"/>
    <w:rsid w:val="000B75C5"/>
    <w:rsid w:val="000C0171"/>
    <w:rsid w:val="000C0F02"/>
    <w:rsid w:val="000C1E6B"/>
    <w:rsid w:val="000D06AC"/>
    <w:rsid w:val="000D293A"/>
    <w:rsid w:val="000D371B"/>
    <w:rsid w:val="000D37B8"/>
    <w:rsid w:val="000D5116"/>
    <w:rsid w:val="000D54DE"/>
    <w:rsid w:val="000D679D"/>
    <w:rsid w:val="000E0831"/>
    <w:rsid w:val="000E1975"/>
    <w:rsid w:val="000E2F77"/>
    <w:rsid w:val="000E4FF0"/>
    <w:rsid w:val="000E507D"/>
    <w:rsid w:val="000E7439"/>
    <w:rsid w:val="000E7970"/>
    <w:rsid w:val="000F055F"/>
    <w:rsid w:val="000F3875"/>
    <w:rsid w:val="000F47A5"/>
    <w:rsid w:val="000F6CDF"/>
    <w:rsid w:val="000F7820"/>
    <w:rsid w:val="00105E4E"/>
    <w:rsid w:val="00105F91"/>
    <w:rsid w:val="001066A0"/>
    <w:rsid w:val="00107165"/>
    <w:rsid w:val="00117834"/>
    <w:rsid w:val="00120D89"/>
    <w:rsid w:val="00121541"/>
    <w:rsid w:val="00123023"/>
    <w:rsid w:val="0012367F"/>
    <w:rsid w:val="001237A5"/>
    <w:rsid w:val="001240E9"/>
    <w:rsid w:val="00134680"/>
    <w:rsid w:val="00135543"/>
    <w:rsid w:val="00135B99"/>
    <w:rsid w:val="00135F27"/>
    <w:rsid w:val="0013659D"/>
    <w:rsid w:val="001368EB"/>
    <w:rsid w:val="001371EB"/>
    <w:rsid w:val="001417C5"/>
    <w:rsid w:val="001426AF"/>
    <w:rsid w:val="00143511"/>
    <w:rsid w:val="001476F2"/>
    <w:rsid w:val="0015016D"/>
    <w:rsid w:val="001521D6"/>
    <w:rsid w:val="00153942"/>
    <w:rsid w:val="001607BD"/>
    <w:rsid w:val="00160A35"/>
    <w:rsid w:val="001637B8"/>
    <w:rsid w:val="00172726"/>
    <w:rsid w:val="001742F5"/>
    <w:rsid w:val="00174818"/>
    <w:rsid w:val="001800B6"/>
    <w:rsid w:val="0018061B"/>
    <w:rsid w:val="00180AFC"/>
    <w:rsid w:val="0018191D"/>
    <w:rsid w:val="00182590"/>
    <w:rsid w:val="00182E40"/>
    <w:rsid w:val="00183DE5"/>
    <w:rsid w:val="001845EC"/>
    <w:rsid w:val="00184A5B"/>
    <w:rsid w:val="00184BA1"/>
    <w:rsid w:val="001851BD"/>
    <w:rsid w:val="00187807"/>
    <w:rsid w:val="0019132B"/>
    <w:rsid w:val="001A3714"/>
    <w:rsid w:val="001A6B90"/>
    <w:rsid w:val="001B3588"/>
    <w:rsid w:val="001B59F8"/>
    <w:rsid w:val="001B5A18"/>
    <w:rsid w:val="001B631F"/>
    <w:rsid w:val="001B7B29"/>
    <w:rsid w:val="001C3080"/>
    <w:rsid w:val="001C6ACD"/>
    <w:rsid w:val="001D00F0"/>
    <w:rsid w:val="001D6151"/>
    <w:rsid w:val="001D685C"/>
    <w:rsid w:val="001D79B6"/>
    <w:rsid w:val="001D7DFA"/>
    <w:rsid w:val="001E0CDA"/>
    <w:rsid w:val="001E30E2"/>
    <w:rsid w:val="001E37D2"/>
    <w:rsid w:val="001E6CAD"/>
    <w:rsid w:val="001F01FC"/>
    <w:rsid w:val="001F0B7A"/>
    <w:rsid w:val="001F46B4"/>
    <w:rsid w:val="001F59CC"/>
    <w:rsid w:val="00201717"/>
    <w:rsid w:val="00201F47"/>
    <w:rsid w:val="00202604"/>
    <w:rsid w:val="0021154C"/>
    <w:rsid w:val="00212AB7"/>
    <w:rsid w:val="002202C7"/>
    <w:rsid w:val="00223817"/>
    <w:rsid w:val="0022413E"/>
    <w:rsid w:val="00226F34"/>
    <w:rsid w:val="00235C94"/>
    <w:rsid w:val="00237F86"/>
    <w:rsid w:val="0024067F"/>
    <w:rsid w:val="00241F9C"/>
    <w:rsid w:val="002423C8"/>
    <w:rsid w:val="00242AE4"/>
    <w:rsid w:val="0024408E"/>
    <w:rsid w:val="00244964"/>
    <w:rsid w:val="0024687E"/>
    <w:rsid w:val="00247689"/>
    <w:rsid w:val="00251ECD"/>
    <w:rsid w:val="00252682"/>
    <w:rsid w:val="00257D38"/>
    <w:rsid w:val="00261331"/>
    <w:rsid w:val="00270517"/>
    <w:rsid w:val="00271F5F"/>
    <w:rsid w:val="002742BD"/>
    <w:rsid w:val="002748BA"/>
    <w:rsid w:val="00274AFD"/>
    <w:rsid w:val="002772A3"/>
    <w:rsid w:val="002774D7"/>
    <w:rsid w:val="00282AAE"/>
    <w:rsid w:val="00285164"/>
    <w:rsid w:val="00285A1A"/>
    <w:rsid w:val="0028628F"/>
    <w:rsid w:val="00286E07"/>
    <w:rsid w:val="00290D1E"/>
    <w:rsid w:val="00291408"/>
    <w:rsid w:val="0029296E"/>
    <w:rsid w:val="00292F0C"/>
    <w:rsid w:val="0029357A"/>
    <w:rsid w:val="002950F6"/>
    <w:rsid w:val="00295424"/>
    <w:rsid w:val="00295735"/>
    <w:rsid w:val="0029608A"/>
    <w:rsid w:val="002967FF"/>
    <w:rsid w:val="002A480E"/>
    <w:rsid w:val="002A75AF"/>
    <w:rsid w:val="002A7B51"/>
    <w:rsid w:val="002B23A4"/>
    <w:rsid w:val="002B3F77"/>
    <w:rsid w:val="002B60A8"/>
    <w:rsid w:val="002B6608"/>
    <w:rsid w:val="002B6809"/>
    <w:rsid w:val="002C0B63"/>
    <w:rsid w:val="002C7E38"/>
    <w:rsid w:val="002D0356"/>
    <w:rsid w:val="002D0712"/>
    <w:rsid w:val="002D553F"/>
    <w:rsid w:val="002D67F7"/>
    <w:rsid w:val="002D7BE4"/>
    <w:rsid w:val="002E2EDD"/>
    <w:rsid w:val="002E4361"/>
    <w:rsid w:val="002E4DFB"/>
    <w:rsid w:val="002E4EEB"/>
    <w:rsid w:val="002E5A8E"/>
    <w:rsid w:val="002E5DE6"/>
    <w:rsid w:val="002F181E"/>
    <w:rsid w:val="002F281E"/>
    <w:rsid w:val="00305A58"/>
    <w:rsid w:val="00307A78"/>
    <w:rsid w:val="00310726"/>
    <w:rsid w:val="00311402"/>
    <w:rsid w:val="00314484"/>
    <w:rsid w:val="00314D68"/>
    <w:rsid w:val="00317B27"/>
    <w:rsid w:val="0032027D"/>
    <w:rsid w:val="0032112A"/>
    <w:rsid w:val="003214B7"/>
    <w:rsid w:val="00323738"/>
    <w:rsid w:val="003241EE"/>
    <w:rsid w:val="003264F7"/>
    <w:rsid w:val="003268FF"/>
    <w:rsid w:val="003321C9"/>
    <w:rsid w:val="00335E1E"/>
    <w:rsid w:val="00336DAB"/>
    <w:rsid w:val="003377C3"/>
    <w:rsid w:val="00343D3C"/>
    <w:rsid w:val="00345E59"/>
    <w:rsid w:val="00347CDC"/>
    <w:rsid w:val="003509C7"/>
    <w:rsid w:val="00350DFE"/>
    <w:rsid w:val="0035169C"/>
    <w:rsid w:val="00352398"/>
    <w:rsid w:val="0035291B"/>
    <w:rsid w:val="0035492A"/>
    <w:rsid w:val="003551E8"/>
    <w:rsid w:val="003551FD"/>
    <w:rsid w:val="003553D4"/>
    <w:rsid w:val="0036235D"/>
    <w:rsid w:val="00366A70"/>
    <w:rsid w:val="0036750F"/>
    <w:rsid w:val="00371B7A"/>
    <w:rsid w:val="00372408"/>
    <w:rsid w:val="00374FE4"/>
    <w:rsid w:val="0038078B"/>
    <w:rsid w:val="0038106E"/>
    <w:rsid w:val="003874C8"/>
    <w:rsid w:val="00387F84"/>
    <w:rsid w:val="00392519"/>
    <w:rsid w:val="00392FF6"/>
    <w:rsid w:val="0039307D"/>
    <w:rsid w:val="0039431A"/>
    <w:rsid w:val="003943DE"/>
    <w:rsid w:val="00394D86"/>
    <w:rsid w:val="003965D0"/>
    <w:rsid w:val="003A0591"/>
    <w:rsid w:val="003A1E61"/>
    <w:rsid w:val="003A41B1"/>
    <w:rsid w:val="003A6742"/>
    <w:rsid w:val="003A7784"/>
    <w:rsid w:val="003B2280"/>
    <w:rsid w:val="003B4D9E"/>
    <w:rsid w:val="003B5F3C"/>
    <w:rsid w:val="003B6D44"/>
    <w:rsid w:val="003C1E4C"/>
    <w:rsid w:val="003C3B39"/>
    <w:rsid w:val="003C3D8E"/>
    <w:rsid w:val="003C4721"/>
    <w:rsid w:val="003C5250"/>
    <w:rsid w:val="003C7829"/>
    <w:rsid w:val="003D3420"/>
    <w:rsid w:val="003D591A"/>
    <w:rsid w:val="003D64D5"/>
    <w:rsid w:val="003E1885"/>
    <w:rsid w:val="003E28B5"/>
    <w:rsid w:val="003E2FD4"/>
    <w:rsid w:val="003E4914"/>
    <w:rsid w:val="003E5D14"/>
    <w:rsid w:val="003E62EE"/>
    <w:rsid w:val="003E6A89"/>
    <w:rsid w:val="003F2C2C"/>
    <w:rsid w:val="003F5EDB"/>
    <w:rsid w:val="00400D90"/>
    <w:rsid w:val="004035A5"/>
    <w:rsid w:val="00404A88"/>
    <w:rsid w:val="00404AF8"/>
    <w:rsid w:val="004058DD"/>
    <w:rsid w:val="004063DD"/>
    <w:rsid w:val="00406BD4"/>
    <w:rsid w:val="00407506"/>
    <w:rsid w:val="004101DA"/>
    <w:rsid w:val="004160C4"/>
    <w:rsid w:val="0041664C"/>
    <w:rsid w:val="004174C9"/>
    <w:rsid w:val="00420D4F"/>
    <w:rsid w:val="004224EF"/>
    <w:rsid w:val="00422C3C"/>
    <w:rsid w:val="00426B1C"/>
    <w:rsid w:val="00427CE1"/>
    <w:rsid w:val="00427DE2"/>
    <w:rsid w:val="00431822"/>
    <w:rsid w:val="004322E6"/>
    <w:rsid w:val="0043373A"/>
    <w:rsid w:val="00433C4E"/>
    <w:rsid w:val="00435377"/>
    <w:rsid w:val="00436567"/>
    <w:rsid w:val="00441ED0"/>
    <w:rsid w:val="00445EC9"/>
    <w:rsid w:val="00446506"/>
    <w:rsid w:val="004470AB"/>
    <w:rsid w:val="004470B0"/>
    <w:rsid w:val="004471D2"/>
    <w:rsid w:val="004474AF"/>
    <w:rsid w:val="004475A7"/>
    <w:rsid w:val="0045154B"/>
    <w:rsid w:val="00451620"/>
    <w:rsid w:val="0045672D"/>
    <w:rsid w:val="00457489"/>
    <w:rsid w:val="00457901"/>
    <w:rsid w:val="00461177"/>
    <w:rsid w:val="00463317"/>
    <w:rsid w:val="00465AEF"/>
    <w:rsid w:val="00465FA3"/>
    <w:rsid w:val="00466E4B"/>
    <w:rsid w:val="00467C8B"/>
    <w:rsid w:val="00470295"/>
    <w:rsid w:val="00473452"/>
    <w:rsid w:val="00473F12"/>
    <w:rsid w:val="004766DF"/>
    <w:rsid w:val="0047678D"/>
    <w:rsid w:val="00477835"/>
    <w:rsid w:val="004806DF"/>
    <w:rsid w:val="00480E94"/>
    <w:rsid w:val="00482AED"/>
    <w:rsid w:val="00484921"/>
    <w:rsid w:val="004857D0"/>
    <w:rsid w:val="00486BC6"/>
    <w:rsid w:val="0049036D"/>
    <w:rsid w:val="00490958"/>
    <w:rsid w:val="00492619"/>
    <w:rsid w:val="00493145"/>
    <w:rsid w:val="00493161"/>
    <w:rsid w:val="00494C1E"/>
    <w:rsid w:val="00495719"/>
    <w:rsid w:val="004961BE"/>
    <w:rsid w:val="004A0E74"/>
    <w:rsid w:val="004A49FE"/>
    <w:rsid w:val="004A5C6D"/>
    <w:rsid w:val="004A5F6F"/>
    <w:rsid w:val="004A77CE"/>
    <w:rsid w:val="004B017C"/>
    <w:rsid w:val="004B2011"/>
    <w:rsid w:val="004B7F4B"/>
    <w:rsid w:val="004C492E"/>
    <w:rsid w:val="004C4D12"/>
    <w:rsid w:val="004C65F4"/>
    <w:rsid w:val="004C6809"/>
    <w:rsid w:val="004C7185"/>
    <w:rsid w:val="004D07D8"/>
    <w:rsid w:val="004D0E76"/>
    <w:rsid w:val="004D1549"/>
    <w:rsid w:val="004D44D6"/>
    <w:rsid w:val="004D5B70"/>
    <w:rsid w:val="004D5E2E"/>
    <w:rsid w:val="004D649E"/>
    <w:rsid w:val="004E04A2"/>
    <w:rsid w:val="004E1A7E"/>
    <w:rsid w:val="004E280F"/>
    <w:rsid w:val="004E3717"/>
    <w:rsid w:val="004E5B64"/>
    <w:rsid w:val="004F165E"/>
    <w:rsid w:val="004F22FD"/>
    <w:rsid w:val="004F2436"/>
    <w:rsid w:val="004F37D2"/>
    <w:rsid w:val="004F397C"/>
    <w:rsid w:val="004F43B5"/>
    <w:rsid w:val="005013D0"/>
    <w:rsid w:val="0050208C"/>
    <w:rsid w:val="00512197"/>
    <w:rsid w:val="005136DF"/>
    <w:rsid w:val="00514E37"/>
    <w:rsid w:val="005171C4"/>
    <w:rsid w:val="00520E47"/>
    <w:rsid w:val="00520EA6"/>
    <w:rsid w:val="005212ED"/>
    <w:rsid w:val="00526178"/>
    <w:rsid w:val="00534665"/>
    <w:rsid w:val="00534D3F"/>
    <w:rsid w:val="00535102"/>
    <w:rsid w:val="005433A8"/>
    <w:rsid w:val="00544C9C"/>
    <w:rsid w:val="005475BE"/>
    <w:rsid w:val="00547A7B"/>
    <w:rsid w:val="00550AC9"/>
    <w:rsid w:val="005544B7"/>
    <w:rsid w:val="00554668"/>
    <w:rsid w:val="00560811"/>
    <w:rsid w:val="00564135"/>
    <w:rsid w:val="00564EF0"/>
    <w:rsid w:val="00565C91"/>
    <w:rsid w:val="00566518"/>
    <w:rsid w:val="0057055F"/>
    <w:rsid w:val="00574161"/>
    <w:rsid w:val="005745AF"/>
    <w:rsid w:val="00574CFE"/>
    <w:rsid w:val="005750DF"/>
    <w:rsid w:val="00575A29"/>
    <w:rsid w:val="00576E90"/>
    <w:rsid w:val="0058058D"/>
    <w:rsid w:val="005820DA"/>
    <w:rsid w:val="005864A7"/>
    <w:rsid w:val="005868AB"/>
    <w:rsid w:val="00586C4A"/>
    <w:rsid w:val="00590FDF"/>
    <w:rsid w:val="005949FB"/>
    <w:rsid w:val="005953F2"/>
    <w:rsid w:val="005968A0"/>
    <w:rsid w:val="00596F1E"/>
    <w:rsid w:val="005977A7"/>
    <w:rsid w:val="00597B6E"/>
    <w:rsid w:val="005A05A6"/>
    <w:rsid w:val="005A0EEB"/>
    <w:rsid w:val="005A1234"/>
    <w:rsid w:val="005A1786"/>
    <w:rsid w:val="005A1A9B"/>
    <w:rsid w:val="005A3F73"/>
    <w:rsid w:val="005A53D1"/>
    <w:rsid w:val="005A68AC"/>
    <w:rsid w:val="005A7B76"/>
    <w:rsid w:val="005B0BC7"/>
    <w:rsid w:val="005B14C8"/>
    <w:rsid w:val="005B5E31"/>
    <w:rsid w:val="005B6C3B"/>
    <w:rsid w:val="005C0470"/>
    <w:rsid w:val="005C31C1"/>
    <w:rsid w:val="005C448F"/>
    <w:rsid w:val="005C4536"/>
    <w:rsid w:val="005C5E15"/>
    <w:rsid w:val="005D01FD"/>
    <w:rsid w:val="005D1BF7"/>
    <w:rsid w:val="005D1C6F"/>
    <w:rsid w:val="005D2AC1"/>
    <w:rsid w:val="005D348C"/>
    <w:rsid w:val="005D3FBC"/>
    <w:rsid w:val="005D64DF"/>
    <w:rsid w:val="005D6CFB"/>
    <w:rsid w:val="005E058E"/>
    <w:rsid w:val="005E1654"/>
    <w:rsid w:val="005E2417"/>
    <w:rsid w:val="005F1336"/>
    <w:rsid w:val="005F14AD"/>
    <w:rsid w:val="005F495A"/>
    <w:rsid w:val="0060187B"/>
    <w:rsid w:val="006021B8"/>
    <w:rsid w:val="006066C9"/>
    <w:rsid w:val="006116DA"/>
    <w:rsid w:val="00612FA7"/>
    <w:rsid w:val="00613F18"/>
    <w:rsid w:val="00616247"/>
    <w:rsid w:val="00617894"/>
    <w:rsid w:val="006205C2"/>
    <w:rsid w:val="00620ABC"/>
    <w:rsid w:val="00620B76"/>
    <w:rsid w:val="00623C32"/>
    <w:rsid w:val="00624783"/>
    <w:rsid w:val="006272E5"/>
    <w:rsid w:val="00630C62"/>
    <w:rsid w:val="00632C95"/>
    <w:rsid w:val="0063352F"/>
    <w:rsid w:val="00635757"/>
    <w:rsid w:val="006375F9"/>
    <w:rsid w:val="00644A86"/>
    <w:rsid w:val="006457B6"/>
    <w:rsid w:val="0064768C"/>
    <w:rsid w:val="0065090C"/>
    <w:rsid w:val="006520D9"/>
    <w:rsid w:val="00652BA7"/>
    <w:rsid w:val="00652F8D"/>
    <w:rsid w:val="0065346D"/>
    <w:rsid w:val="00653613"/>
    <w:rsid w:val="006551C3"/>
    <w:rsid w:val="00655267"/>
    <w:rsid w:val="006557B8"/>
    <w:rsid w:val="0066089D"/>
    <w:rsid w:val="0066336C"/>
    <w:rsid w:val="00664723"/>
    <w:rsid w:val="00666FCD"/>
    <w:rsid w:val="006714A0"/>
    <w:rsid w:val="00680773"/>
    <w:rsid w:val="00680B25"/>
    <w:rsid w:val="0068127A"/>
    <w:rsid w:val="00681436"/>
    <w:rsid w:val="006823ED"/>
    <w:rsid w:val="00683FFC"/>
    <w:rsid w:val="0068781B"/>
    <w:rsid w:val="00693674"/>
    <w:rsid w:val="00693A12"/>
    <w:rsid w:val="006967C8"/>
    <w:rsid w:val="006B1C2D"/>
    <w:rsid w:val="006B293C"/>
    <w:rsid w:val="006B60EC"/>
    <w:rsid w:val="006B6B48"/>
    <w:rsid w:val="006C0A99"/>
    <w:rsid w:val="006D72CD"/>
    <w:rsid w:val="006D763C"/>
    <w:rsid w:val="006E2D05"/>
    <w:rsid w:val="006E41A1"/>
    <w:rsid w:val="006E4B3B"/>
    <w:rsid w:val="006E7F4E"/>
    <w:rsid w:val="006F0534"/>
    <w:rsid w:val="006F2BE0"/>
    <w:rsid w:val="006F380D"/>
    <w:rsid w:val="006F54D2"/>
    <w:rsid w:val="006F7978"/>
    <w:rsid w:val="007016AA"/>
    <w:rsid w:val="00701C71"/>
    <w:rsid w:val="007031A6"/>
    <w:rsid w:val="007053BC"/>
    <w:rsid w:val="00707CD7"/>
    <w:rsid w:val="007111FD"/>
    <w:rsid w:val="007152F6"/>
    <w:rsid w:val="0071690F"/>
    <w:rsid w:val="007174A3"/>
    <w:rsid w:val="007234E6"/>
    <w:rsid w:val="00724ABB"/>
    <w:rsid w:val="00724C5C"/>
    <w:rsid w:val="00730AB2"/>
    <w:rsid w:val="00732CCC"/>
    <w:rsid w:val="0073351E"/>
    <w:rsid w:val="007359CF"/>
    <w:rsid w:val="00735B43"/>
    <w:rsid w:val="00736347"/>
    <w:rsid w:val="00742721"/>
    <w:rsid w:val="007431D8"/>
    <w:rsid w:val="00750EE3"/>
    <w:rsid w:val="00751829"/>
    <w:rsid w:val="00753DA8"/>
    <w:rsid w:val="007540AD"/>
    <w:rsid w:val="00756ACF"/>
    <w:rsid w:val="007605EA"/>
    <w:rsid w:val="0076099F"/>
    <w:rsid w:val="00762237"/>
    <w:rsid w:val="007710C2"/>
    <w:rsid w:val="00771C6E"/>
    <w:rsid w:val="00774B52"/>
    <w:rsid w:val="00775565"/>
    <w:rsid w:val="007756B3"/>
    <w:rsid w:val="007762F3"/>
    <w:rsid w:val="007812C4"/>
    <w:rsid w:val="0078144C"/>
    <w:rsid w:val="00784A60"/>
    <w:rsid w:val="007855A3"/>
    <w:rsid w:val="00785C16"/>
    <w:rsid w:val="00790ED5"/>
    <w:rsid w:val="00790F57"/>
    <w:rsid w:val="007932ED"/>
    <w:rsid w:val="00794889"/>
    <w:rsid w:val="0079559C"/>
    <w:rsid w:val="00796106"/>
    <w:rsid w:val="00796620"/>
    <w:rsid w:val="007A0554"/>
    <w:rsid w:val="007A0D8A"/>
    <w:rsid w:val="007A3A70"/>
    <w:rsid w:val="007A59EF"/>
    <w:rsid w:val="007A7EA4"/>
    <w:rsid w:val="007B0A43"/>
    <w:rsid w:val="007B2623"/>
    <w:rsid w:val="007B34E7"/>
    <w:rsid w:val="007B418B"/>
    <w:rsid w:val="007B4652"/>
    <w:rsid w:val="007B4887"/>
    <w:rsid w:val="007B704D"/>
    <w:rsid w:val="007B7A8F"/>
    <w:rsid w:val="007C0BFF"/>
    <w:rsid w:val="007C4CE5"/>
    <w:rsid w:val="007D27CE"/>
    <w:rsid w:val="007D2F9C"/>
    <w:rsid w:val="007D3102"/>
    <w:rsid w:val="007D3C8A"/>
    <w:rsid w:val="007D5F77"/>
    <w:rsid w:val="007D6370"/>
    <w:rsid w:val="007D7649"/>
    <w:rsid w:val="007E01B7"/>
    <w:rsid w:val="007E0981"/>
    <w:rsid w:val="007E2105"/>
    <w:rsid w:val="007E364D"/>
    <w:rsid w:val="007E4B22"/>
    <w:rsid w:val="007E4F0F"/>
    <w:rsid w:val="007E50ED"/>
    <w:rsid w:val="007E60CF"/>
    <w:rsid w:val="007E6E9F"/>
    <w:rsid w:val="007E7F2D"/>
    <w:rsid w:val="007F0887"/>
    <w:rsid w:val="007F144F"/>
    <w:rsid w:val="007F33BB"/>
    <w:rsid w:val="007F3E90"/>
    <w:rsid w:val="007F5DB2"/>
    <w:rsid w:val="007F6C35"/>
    <w:rsid w:val="00800B9C"/>
    <w:rsid w:val="0080472C"/>
    <w:rsid w:val="0080551C"/>
    <w:rsid w:val="00805D79"/>
    <w:rsid w:val="00811817"/>
    <w:rsid w:val="008157D7"/>
    <w:rsid w:val="00816902"/>
    <w:rsid w:val="008203EA"/>
    <w:rsid w:val="008209A7"/>
    <w:rsid w:val="00820E4A"/>
    <w:rsid w:val="00821B43"/>
    <w:rsid w:val="00821BCB"/>
    <w:rsid w:val="008223A4"/>
    <w:rsid w:val="00823770"/>
    <w:rsid w:val="00825065"/>
    <w:rsid w:val="00825171"/>
    <w:rsid w:val="008313FF"/>
    <w:rsid w:val="00831527"/>
    <w:rsid w:val="008315DC"/>
    <w:rsid w:val="008327FE"/>
    <w:rsid w:val="00833823"/>
    <w:rsid w:val="00835050"/>
    <w:rsid w:val="00836F63"/>
    <w:rsid w:val="008371F2"/>
    <w:rsid w:val="00841F9B"/>
    <w:rsid w:val="008431B2"/>
    <w:rsid w:val="00843480"/>
    <w:rsid w:val="00844BFB"/>
    <w:rsid w:val="008467DD"/>
    <w:rsid w:val="00846BE5"/>
    <w:rsid w:val="008528D5"/>
    <w:rsid w:val="00854A04"/>
    <w:rsid w:val="00854F32"/>
    <w:rsid w:val="00855CB5"/>
    <w:rsid w:val="008562A9"/>
    <w:rsid w:val="00857A71"/>
    <w:rsid w:val="00857ED4"/>
    <w:rsid w:val="00862A6D"/>
    <w:rsid w:val="0086319E"/>
    <w:rsid w:val="008639BF"/>
    <w:rsid w:val="00864509"/>
    <w:rsid w:val="00873BEA"/>
    <w:rsid w:val="00875DCE"/>
    <w:rsid w:val="00881192"/>
    <w:rsid w:val="00883226"/>
    <w:rsid w:val="0088322C"/>
    <w:rsid w:val="0088503A"/>
    <w:rsid w:val="008853EB"/>
    <w:rsid w:val="008861BB"/>
    <w:rsid w:val="00886CE3"/>
    <w:rsid w:val="0089050F"/>
    <w:rsid w:val="008921C9"/>
    <w:rsid w:val="00893CD8"/>
    <w:rsid w:val="00894BB5"/>
    <w:rsid w:val="008A02E3"/>
    <w:rsid w:val="008A134F"/>
    <w:rsid w:val="008A1B9E"/>
    <w:rsid w:val="008A3425"/>
    <w:rsid w:val="008A6173"/>
    <w:rsid w:val="008A625A"/>
    <w:rsid w:val="008A7112"/>
    <w:rsid w:val="008B0FF4"/>
    <w:rsid w:val="008B1489"/>
    <w:rsid w:val="008B27B3"/>
    <w:rsid w:val="008B4434"/>
    <w:rsid w:val="008C31C5"/>
    <w:rsid w:val="008C418D"/>
    <w:rsid w:val="008C71B0"/>
    <w:rsid w:val="008C72B6"/>
    <w:rsid w:val="008C75ED"/>
    <w:rsid w:val="008D594F"/>
    <w:rsid w:val="008D5AD8"/>
    <w:rsid w:val="008E058E"/>
    <w:rsid w:val="008E412D"/>
    <w:rsid w:val="008E4E73"/>
    <w:rsid w:val="008F01E7"/>
    <w:rsid w:val="008F066E"/>
    <w:rsid w:val="008F0A7E"/>
    <w:rsid w:val="008F4137"/>
    <w:rsid w:val="008F58E2"/>
    <w:rsid w:val="008F674F"/>
    <w:rsid w:val="008F7845"/>
    <w:rsid w:val="008F7C7B"/>
    <w:rsid w:val="00900E94"/>
    <w:rsid w:val="00901856"/>
    <w:rsid w:val="009054BF"/>
    <w:rsid w:val="00905E94"/>
    <w:rsid w:val="009060C7"/>
    <w:rsid w:val="009060DF"/>
    <w:rsid w:val="00911C0A"/>
    <w:rsid w:val="009141E8"/>
    <w:rsid w:val="00933FD6"/>
    <w:rsid w:val="009340AA"/>
    <w:rsid w:val="00935041"/>
    <w:rsid w:val="00940E5C"/>
    <w:rsid w:val="009435E7"/>
    <w:rsid w:val="00945FF7"/>
    <w:rsid w:val="009500BD"/>
    <w:rsid w:val="009512D4"/>
    <w:rsid w:val="009519F6"/>
    <w:rsid w:val="009555C3"/>
    <w:rsid w:val="00957DEC"/>
    <w:rsid w:val="00961E0F"/>
    <w:rsid w:val="00961E7C"/>
    <w:rsid w:val="00962053"/>
    <w:rsid w:val="00964111"/>
    <w:rsid w:val="0096536E"/>
    <w:rsid w:val="0096774D"/>
    <w:rsid w:val="00970245"/>
    <w:rsid w:val="00972F3D"/>
    <w:rsid w:val="00974659"/>
    <w:rsid w:val="00976C01"/>
    <w:rsid w:val="00976CE1"/>
    <w:rsid w:val="00976EB8"/>
    <w:rsid w:val="00977925"/>
    <w:rsid w:val="009808CD"/>
    <w:rsid w:val="00981C16"/>
    <w:rsid w:val="009824BE"/>
    <w:rsid w:val="009832AB"/>
    <w:rsid w:val="009852CA"/>
    <w:rsid w:val="00986BE0"/>
    <w:rsid w:val="00987D0D"/>
    <w:rsid w:val="00991B2F"/>
    <w:rsid w:val="009A1492"/>
    <w:rsid w:val="009A169D"/>
    <w:rsid w:val="009A4D16"/>
    <w:rsid w:val="009A6ED1"/>
    <w:rsid w:val="009A7E08"/>
    <w:rsid w:val="009B45A1"/>
    <w:rsid w:val="009B5DE1"/>
    <w:rsid w:val="009B6354"/>
    <w:rsid w:val="009C4460"/>
    <w:rsid w:val="009C6D53"/>
    <w:rsid w:val="009C71BC"/>
    <w:rsid w:val="009C7B52"/>
    <w:rsid w:val="009D0FDA"/>
    <w:rsid w:val="009D5274"/>
    <w:rsid w:val="009E0B7E"/>
    <w:rsid w:val="009E154A"/>
    <w:rsid w:val="009E18A9"/>
    <w:rsid w:val="009E3565"/>
    <w:rsid w:val="009E38BE"/>
    <w:rsid w:val="009F1339"/>
    <w:rsid w:val="009F247E"/>
    <w:rsid w:val="009F3B07"/>
    <w:rsid w:val="009F5A0A"/>
    <w:rsid w:val="009F7B44"/>
    <w:rsid w:val="00A0016B"/>
    <w:rsid w:val="00A00B04"/>
    <w:rsid w:val="00A04360"/>
    <w:rsid w:val="00A04850"/>
    <w:rsid w:val="00A04B8E"/>
    <w:rsid w:val="00A05BA1"/>
    <w:rsid w:val="00A06C3E"/>
    <w:rsid w:val="00A074B4"/>
    <w:rsid w:val="00A078DD"/>
    <w:rsid w:val="00A105DB"/>
    <w:rsid w:val="00A130D5"/>
    <w:rsid w:val="00A13CC5"/>
    <w:rsid w:val="00A14A15"/>
    <w:rsid w:val="00A205B3"/>
    <w:rsid w:val="00A21E60"/>
    <w:rsid w:val="00A2334F"/>
    <w:rsid w:val="00A27549"/>
    <w:rsid w:val="00A27909"/>
    <w:rsid w:val="00A3114F"/>
    <w:rsid w:val="00A315B4"/>
    <w:rsid w:val="00A328CF"/>
    <w:rsid w:val="00A32A21"/>
    <w:rsid w:val="00A33615"/>
    <w:rsid w:val="00A40069"/>
    <w:rsid w:val="00A45387"/>
    <w:rsid w:val="00A45C7E"/>
    <w:rsid w:val="00A46DF9"/>
    <w:rsid w:val="00A54E21"/>
    <w:rsid w:val="00A54E4D"/>
    <w:rsid w:val="00A55476"/>
    <w:rsid w:val="00A55F18"/>
    <w:rsid w:val="00A60982"/>
    <w:rsid w:val="00A614A4"/>
    <w:rsid w:val="00A66AEC"/>
    <w:rsid w:val="00A671EA"/>
    <w:rsid w:val="00A6750F"/>
    <w:rsid w:val="00A718F6"/>
    <w:rsid w:val="00A7257D"/>
    <w:rsid w:val="00A7457D"/>
    <w:rsid w:val="00A74BF0"/>
    <w:rsid w:val="00A7676A"/>
    <w:rsid w:val="00A808B8"/>
    <w:rsid w:val="00A841F3"/>
    <w:rsid w:val="00A91383"/>
    <w:rsid w:val="00A916C8"/>
    <w:rsid w:val="00A927ED"/>
    <w:rsid w:val="00A92BF1"/>
    <w:rsid w:val="00AA0CFF"/>
    <w:rsid w:val="00AA1795"/>
    <w:rsid w:val="00AA1802"/>
    <w:rsid w:val="00AA2BAB"/>
    <w:rsid w:val="00AA31C7"/>
    <w:rsid w:val="00AA5673"/>
    <w:rsid w:val="00AA5830"/>
    <w:rsid w:val="00AA6BF3"/>
    <w:rsid w:val="00AA7C15"/>
    <w:rsid w:val="00AB300A"/>
    <w:rsid w:val="00AB56F8"/>
    <w:rsid w:val="00AC0843"/>
    <w:rsid w:val="00AC3C7F"/>
    <w:rsid w:val="00AC56E3"/>
    <w:rsid w:val="00AC5D76"/>
    <w:rsid w:val="00AC6F55"/>
    <w:rsid w:val="00AD0373"/>
    <w:rsid w:val="00AD0978"/>
    <w:rsid w:val="00AD0B72"/>
    <w:rsid w:val="00AD636C"/>
    <w:rsid w:val="00AE0080"/>
    <w:rsid w:val="00AE177C"/>
    <w:rsid w:val="00AE1803"/>
    <w:rsid w:val="00AE337B"/>
    <w:rsid w:val="00AE4A25"/>
    <w:rsid w:val="00AE770A"/>
    <w:rsid w:val="00AF1775"/>
    <w:rsid w:val="00AF24DD"/>
    <w:rsid w:val="00AF712E"/>
    <w:rsid w:val="00AF7FC5"/>
    <w:rsid w:val="00B03EFB"/>
    <w:rsid w:val="00B101A8"/>
    <w:rsid w:val="00B110B9"/>
    <w:rsid w:val="00B15214"/>
    <w:rsid w:val="00B15D6C"/>
    <w:rsid w:val="00B202C2"/>
    <w:rsid w:val="00B21CEC"/>
    <w:rsid w:val="00B30294"/>
    <w:rsid w:val="00B35827"/>
    <w:rsid w:val="00B36898"/>
    <w:rsid w:val="00B41390"/>
    <w:rsid w:val="00B458CE"/>
    <w:rsid w:val="00B50207"/>
    <w:rsid w:val="00B52144"/>
    <w:rsid w:val="00B53997"/>
    <w:rsid w:val="00B53F0E"/>
    <w:rsid w:val="00B559CB"/>
    <w:rsid w:val="00B56452"/>
    <w:rsid w:val="00B56C1D"/>
    <w:rsid w:val="00B6360D"/>
    <w:rsid w:val="00B647B2"/>
    <w:rsid w:val="00B71DDA"/>
    <w:rsid w:val="00B723BF"/>
    <w:rsid w:val="00B73024"/>
    <w:rsid w:val="00B75D51"/>
    <w:rsid w:val="00B82C1E"/>
    <w:rsid w:val="00B8368D"/>
    <w:rsid w:val="00B83C7B"/>
    <w:rsid w:val="00B8539D"/>
    <w:rsid w:val="00B87163"/>
    <w:rsid w:val="00B87A43"/>
    <w:rsid w:val="00B901FD"/>
    <w:rsid w:val="00B90B47"/>
    <w:rsid w:val="00B91065"/>
    <w:rsid w:val="00B92C03"/>
    <w:rsid w:val="00B93C4D"/>
    <w:rsid w:val="00BA11F4"/>
    <w:rsid w:val="00BA14FD"/>
    <w:rsid w:val="00BA1CE8"/>
    <w:rsid w:val="00BA21D2"/>
    <w:rsid w:val="00BA5C95"/>
    <w:rsid w:val="00BA6C72"/>
    <w:rsid w:val="00BB2057"/>
    <w:rsid w:val="00BB206B"/>
    <w:rsid w:val="00BB27BA"/>
    <w:rsid w:val="00BB7A8B"/>
    <w:rsid w:val="00BC1DCE"/>
    <w:rsid w:val="00BC330E"/>
    <w:rsid w:val="00BC3A09"/>
    <w:rsid w:val="00BD2EB7"/>
    <w:rsid w:val="00BD5923"/>
    <w:rsid w:val="00BD6397"/>
    <w:rsid w:val="00BD7047"/>
    <w:rsid w:val="00BE110C"/>
    <w:rsid w:val="00BE4567"/>
    <w:rsid w:val="00BE4C13"/>
    <w:rsid w:val="00BE4D52"/>
    <w:rsid w:val="00BF3FF0"/>
    <w:rsid w:val="00BF64D9"/>
    <w:rsid w:val="00C00D61"/>
    <w:rsid w:val="00C0411B"/>
    <w:rsid w:val="00C06B76"/>
    <w:rsid w:val="00C07F4C"/>
    <w:rsid w:val="00C1320C"/>
    <w:rsid w:val="00C1618D"/>
    <w:rsid w:val="00C1672D"/>
    <w:rsid w:val="00C20299"/>
    <w:rsid w:val="00C2050F"/>
    <w:rsid w:val="00C21580"/>
    <w:rsid w:val="00C2192C"/>
    <w:rsid w:val="00C21C62"/>
    <w:rsid w:val="00C2284C"/>
    <w:rsid w:val="00C31C55"/>
    <w:rsid w:val="00C41748"/>
    <w:rsid w:val="00C50577"/>
    <w:rsid w:val="00C51421"/>
    <w:rsid w:val="00C52E8C"/>
    <w:rsid w:val="00C536D1"/>
    <w:rsid w:val="00C53DD5"/>
    <w:rsid w:val="00C55CE6"/>
    <w:rsid w:val="00C5600C"/>
    <w:rsid w:val="00C60689"/>
    <w:rsid w:val="00C60D5E"/>
    <w:rsid w:val="00C60EAA"/>
    <w:rsid w:val="00C612BA"/>
    <w:rsid w:val="00C61E47"/>
    <w:rsid w:val="00C62545"/>
    <w:rsid w:val="00C637B4"/>
    <w:rsid w:val="00C63D58"/>
    <w:rsid w:val="00C662C0"/>
    <w:rsid w:val="00C6636F"/>
    <w:rsid w:val="00C67432"/>
    <w:rsid w:val="00C70FAF"/>
    <w:rsid w:val="00C71980"/>
    <w:rsid w:val="00C72581"/>
    <w:rsid w:val="00C7520E"/>
    <w:rsid w:val="00C7688A"/>
    <w:rsid w:val="00C81BEF"/>
    <w:rsid w:val="00C81C10"/>
    <w:rsid w:val="00C821D4"/>
    <w:rsid w:val="00C82DBD"/>
    <w:rsid w:val="00C8325B"/>
    <w:rsid w:val="00C834EC"/>
    <w:rsid w:val="00C83760"/>
    <w:rsid w:val="00C84168"/>
    <w:rsid w:val="00C84458"/>
    <w:rsid w:val="00C91181"/>
    <w:rsid w:val="00C91386"/>
    <w:rsid w:val="00C95356"/>
    <w:rsid w:val="00C95919"/>
    <w:rsid w:val="00C971A3"/>
    <w:rsid w:val="00C974B2"/>
    <w:rsid w:val="00CA0156"/>
    <w:rsid w:val="00CA2ED0"/>
    <w:rsid w:val="00CA42FC"/>
    <w:rsid w:val="00CA7FE5"/>
    <w:rsid w:val="00CB500F"/>
    <w:rsid w:val="00CB57FF"/>
    <w:rsid w:val="00CB5912"/>
    <w:rsid w:val="00CB6A12"/>
    <w:rsid w:val="00CC3150"/>
    <w:rsid w:val="00CC5954"/>
    <w:rsid w:val="00CC6E5A"/>
    <w:rsid w:val="00CC7B52"/>
    <w:rsid w:val="00CD0259"/>
    <w:rsid w:val="00CD2B77"/>
    <w:rsid w:val="00CD4C62"/>
    <w:rsid w:val="00CD4FB9"/>
    <w:rsid w:val="00CD5027"/>
    <w:rsid w:val="00CD593E"/>
    <w:rsid w:val="00CD777A"/>
    <w:rsid w:val="00CE0E0E"/>
    <w:rsid w:val="00CE1C2C"/>
    <w:rsid w:val="00CE25DD"/>
    <w:rsid w:val="00CE35F1"/>
    <w:rsid w:val="00CE589C"/>
    <w:rsid w:val="00CE6093"/>
    <w:rsid w:val="00CF2D9A"/>
    <w:rsid w:val="00CF4657"/>
    <w:rsid w:val="00CF4D99"/>
    <w:rsid w:val="00CF5C4A"/>
    <w:rsid w:val="00D04685"/>
    <w:rsid w:val="00D04E70"/>
    <w:rsid w:val="00D0622E"/>
    <w:rsid w:val="00D06CE1"/>
    <w:rsid w:val="00D10BB8"/>
    <w:rsid w:val="00D15499"/>
    <w:rsid w:val="00D15B0D"/>
    <w:rsid w:val="00D164F3"/>
    <w:rsid w:val="00D169D0"/>
    <w:rsid w:val="00D16D5A"/>
    <w:rsid w:val="00D17FBF"/>
    <w:rsid w:val="00D20DD2"/>
    <w:rsid w:val="00D21FA6"/>
    <w:rsid w:val="00D245BA"/>
    <w:rsid w:val="00D30D80"/>
    <w:rsid w:val="00D3169C"/>
    <w:rsid w:val="00D34F01"/>
    <w:rsid w:val="00D35774"/>
    <w:rsid w:val="00D35C7B"/>
    <w:rsid w:val="00D41BD3"/>
    <w:rsid w:val="00D4299B"/>
    <w:rsid w:val="00D432AE"/>
    <w:rsid w:val="00D43F79"/>
    <w:rsid w:val="00D44FC6"/>
    <w:rsid w:val="00D53161"/>
    <w:rsid w:val="00D54EBB"/>
    <w:rsid w:val="00D556FE"/>
    <w:rsid w:val="00D5626E"/>
    <w:rsid w:val="00D57F40"/>
    <w:rsid w:val="00D64097"/>
    <w:rsid w:val="00D65F42"/>
    <w:rsid w:val="00D6785C"/>
    <w:rsid w:val="00D70A70"/>
    <w:rsid w:val="00D7152E"/>
    <w:rsid w:val="00D72301"/>
    <w:rsid w:val="00D7586D"/>
    <w:rsid w:val="00D76321"/>
    <w:rsid w:val="00D769BB"/>
    <w:rsid w:val="00D77FD3"/>
    <w:rsid w:val="00D80749"/>
    <w:rsid w:val="00D8341D"/>
    <w:rsid w:val="00D8405F"/>
    <w:rsid w:val="00D84D9B"/>
    <w:rsid w:val="00D85AAC"/>
    <w:rsid w:val="00D85AEE"/>
    <w:rsid w:val="00D86335"/>
    <w:rsid w:val="00D8637E"/>
    <w:rsid w:val="00D8714A"/>
    <w:rsid w:val="00D904F2"/>
    <w:rsid w:val="00D90989"/>
    <w:rsid w:val="00D91B01"/>
    <w:rsid w:val="00D93551"/>
    <w:rsid w:val="00D93DF3"/>
    <w:rsid w:val="00DA10BE"/>
    <w:rsid w:val="00DA1144"/>
    <w:rsid w:val="00DA5852"/>
    <w:rsid w:val="00DB01F0"/>
    <w:rsid w:val="00DB028F"/>
    <w:rsid w:val="00DB1E90"/>
    <w:rsid w:val="00DB2D40"/>
    <w:rsid w:val="00DB5063"/>
    <w:rsid w:val="00DB562E"/>
    <w:rsid w:val="00DB599A"/>
    <w:rsid w:val="00DB59E9"/>
    <w:rsid w:val="00DC027A"/>
    <w:rsid w:val="00DC06CC"/>
    <w:rsid w:val="00DC2416"/>
    <w:rsid w:val="00DC5A84"/>
    <w:rsid w:val="00DC659A"/>
    <w:rsid w:val="00DC7032"/>
    <w:rsid w:val="00DD12E8"/>
    <w:rsid w:val="00DD2E3F"/>
    <w:rsid w:val="00DD3B08"/>
    <w:rsid w:val="00DE2FD1"/>
    <w:rsid w:val="00DE5BA4"/>
    <w:rsid w:val="00DE60B3"/>
    <w:rsid w:val="00DE6F3D"/>
    <w:rsid w:val="00DF19F9"/>
    <w:rsid w:val="00DF5A18"/>
    <w:rsid w:val="00E026F2"/>
    <w:rsid w:val="00E043EB"/>
    <w:rsid w:val="00E056A2"/>
    <w:rsid w:val="00E05732"/>
    <w:rsid w:val="00E0596E"/>
    <w:rsid w:val="00E066A3"/>
    <w:rsid w:val="00E127E2"/>
    <w:rsid w:val="00E12C57"/>
    <w:rsid w:val="00E158E8"/>
    <w:rsid w:val="00E15C9F"/>
    <w:rsid w:val="00E1610C"/>
    <w:rsid w:val="00E21BD2"/>
    <w:rsid w:val="00E2226B"/>
    <w:rsid w:val="00E2589B"/>
    <w:rsid w:val="00E25ECF"/>
    <w:rsid w:val="00E26908"/>
    <w:rsid w:val="00E3346B"/>
    <w:rsid w:val="00E33A4F"/>
    <w:rsid w:val="00E371B2"/>
    <w:rsid w:val="00E37248"/>
    <w:rsid w:val="00E41290"/>
    <w:rsid w:val="00E4250A"/>
    <w:rsid w:val="00E43F53"/>
    <w:rsid w:val="00E4494A"/>
    <w:rsid w:val="00E464DC"/>
    <w:rsid w:val="00E510EE"/>
    <w:rsid w:val="00E53D48"/>
    <w:rsid w:val="00E559F4"/>
    <w:rsid w:val="00E561D6"/>
    <w:rsid w:val="00E56BAE"/>
    <w:rsid w:val="00E57081"/>
    <w:rsid w:val="00E620C5"/>
    <w:rsid w:val="00E646C8"/>
    <w:rsid w:val="00E64888"/>
    <w:rsid w:val="00E64C84"/>
    <w:rsid w:val="00E65910"/>
    <w:rsid w:val="00E70BCA"/>
    <w:rsid w:val="00E7100F"/>
    <w:rsid w:val="00E72A9A"/>
    <w:rsid w:val="00E7364A"/>
    <w:rsid w:val="00E73FA3"/>
    <w:rsid w:val="00E747A3"/>
    <w:rsid w:val="00E758C8"/>
    <w:rsid w:val="00E76622"/>
    <w:rsid w:val="00E770CE"/>
    <w:rsid w:val="00E81A22"/>
    <w:rsid w:val="00E81E86"/>
    <w:rsid w:val="00E83F51"/>
    <w:rsid w:val="00E84166"/>
    <w:rsid w:val="00E85ABF"/>
    <w:rsid w:val="00E85C5C"/>
    <w:rsid w:val="00E866B3"/>
    <w:rsid w:val="00E868B8"/>
    <w:rsid w:val="00E902A8"/>
    <w:rsid w:val="00E92C4F"/>
    <w:rsid w:val="00E933B3"/>
    <w:rsid w:val="00E944FB"/>
    <w:rsid w:val="00E94D86"/>
    <w:rsid w:val="00EA2493"/>
    <w:rsid w:val="00EA6823"/>
    <w:rsid w:val="00EA6DD1"/>
    <w:rsid w:val="00EA7D78"/>
    <w:rsid w:val="00EB0FCA"/>
    <w:rsid w:val="00EB458A"/>
    <w:rsid w:val="00EB55F8"/>
    <w:rsid w:val="00EB7DC0"/>
    <w:rsid w:val="00EC2F2C"/>
    <w:rsid w:val="00EC3BDE"/>
    <w:rsid w:val="00EC4807"/>
    <w:rsid w:val="00EC69B7"/>
    <w:rsid w:val="00EC6EC4"/>
    <w:rsid w:val="00ED221B"/>
    <w:rsid w:val="00ED2DC7"/>
    <w:rsid w:val="00ED694D"/>
    <w:rsid w:val="00ED6B94"/>
    <w:rsid w:val="00ED6CCB"/>
    <w:rsid w:val="00ED7415"/>
    <w:rsid w:val="00EE380F"/>
    <w:rsid w:val="00EE4C2E"/>
    <w:rsid w:val="00EE7379"/>
    <w:rsid w:val="00EF2620"/>
    <w:rsid w:val="00EF2708"/>
    <w:rsid w:val="00EF2AE9"/>
    <w:rsid w:val="00EF3D67"/>
    <w:rsid w:val="00EF5AA6"/>
    <w:rsid w:val="00F0140A"/>
    <w:rsid w:val="00F01CAC"/>
    <w:rsid w:val="00F040AA"/>
    <w:rsid w:val="00F07DE0"/>
    <w:rsid w:val="00F13188"/>
    <w:rsid w:val="00F138DB"/>
    <w:rsid w:val="00F13BE2"/>
    <w:rsid w:val="00F13DF8"/>
    <w:rsid w:val="00F14D76"/>
    <w:rsid w:val="00F20C20"/>
    <w:rsid w:val="00F212CD"/>
    <w:rsid w:val="00F232D8"/>
    <w:rsid w:val="00F23B79"/>
    <w:rsid w:val="00F23BC4"/>
    <w:rsid w:val="00F25E05"/>
    <w:rsid w:val="00F263B0"/>
    <w:rsid w:val="00F31690"/>
    <w:rsid w:val="00F31B5B"/>
    <w:rsid w:val="00F31F85"/>
    <w:rsid w:val="00F33E4E"/>
    <w:rsid w:val="00F34361"/>
    <w:rsid w:val="00F40139"/>
    <w:rsid w:val="00F41C87"/>
    <w:rsid w:val="00F43F7B"/>
    <w:rsid w:val="00F4679D"/>
    <w:rsid w:val="00F470A5"/>
    <w:rsid w:val="00F4774F"/>
    <w:rsid w:val="00F47C1B"/>
    <w:rsid w:val="00F5045D"/>
    <w:rsid w:val="00F50AF2"/>
    <w:rsid w:val="00F51280"/>
    <w:rsid w:val="00F519AF"/>
    <w:rsid w:val="00F51ECB"/>
    <w:rsid w:val="00F528D8"/>
    <w:rsid w:val="00F5317D"/>
    <w:rsid w:val="00F53A52"/>
    <w:rsid w:val="00F545E7"/>
    <w:rsid w:val="00F563D4"/>
    <w:rsid w:val="00F56FC8"/>
    <w:rsid w:val="00F61078"/>
    <w:rsid w:val="00F679FA"/>
    <w:rsid w:val="00F72D4B"/>
    <w:rsid w:val="00F76152"/>
    <w:rsid w:val="00F837D0"/>
    <w:rsid w:val="00F84A3B"/>
    <w:rsid w:val="00F869FC"/>
    <w:rsid w:val="00F87374"/>
    <w:rsid w:val="00F87851"/>
    <w:rsid w:val="00F91C0F"/>
    <w:rsid w:val="00F9275A"/>
    <w:rsid w:val="00F92C9E"/>
    <w:rsid w:val="00F92CE3"/>
    <w:rsid w:val="00F96A3B"/>
    <w:rsid w:val="00F96A80"/>
    <w:rsid w:val="00FA1F20"/>
    <w:rsid w:val="00FA3194"/>
    <w:rsid w:val="00FA3280"/>
    <w:rsid w:val="00FA3921"/>
    <w:rsid w:val="00FA66E8"/>
    <w:rsid w:val="00FB0B14"/>
    <w:rsid w:val="00FB0B42"/>
    <w:rsid w:val="00FB2D48"/>
    <w:rsid w:val="00FB344C"/>
    <w:rsid w:val="00FB4478"/>
    <w:rsid w:val="00FC3A25"/>
    <w:rsid w:val="00FC3D5D"/>
    <w:rsid w:val="00FC3FE7"/>
    <w:rsid w:val="00FC6AF3"/>
    <w:rsid w:val="00FC731E"/>
    <w:rsid w:val="00FD37A6"/>
    <w:rsid w:val="00FD4554"/>
    <w:rsid w:val="00FD499E"/>
    <w:rsid w:val="00FD5298"/>
    <w:rsid w:val="00FD5DAF"/>
    <w:rsid w:val="00FD6B0E"/>
    <w:rsid w:val="00FE1BF7"/>
    <w:rsid w:val="00FE5AE3"/>
    <w:rsid w:val="00FE71AB"/>
    <w:rsid w:val="00FF1D06"/>
    <w:rsid w:val="00FF3777"/>
    <w:rsid w:val="00FF5FC9"/>
    <w:rsid w:val="00FF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9CD100"/>
  <w15:chartTrackingRefBased/>
  <w15:docId w15:val="{9E5CABD5-9AC2-48D9-9C7D-2CF730380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E60"/>
  </w:style>
  <w:style w:type="paragraph" w:styleId="Heading1">
    <w:name w:val="heading 1"/>
    <w:basedOn w:val="Normal"/>
    <w:next w:val="Normal"/>
    <w:link w:val="Heading1Char"/>
    <w:uiPriority w:val="9"/>
    <w:qFormat/>
    <w:rsid w:val="008A1B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1B9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509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090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65090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09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09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0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90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509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39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3921"/>
  </w:style>
  <w:style w:type="paragraph" w:styleId="Footer">
    <w:name w:val="footer"/>
    <w:basedOn w:val="Normal"/>
    <w:link w:val="FooterChar"/>
    <w:uiPriority w:val="99"/>
    <w:unhideWhenUsed/>
    <w:rsid w:val="00FA39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3921"/>
  </w:style>
  <w:style w:type="character" w:styleId="Hyperlink">
    <w:name w:val="Hyperlink"/>
    <w:basedOn w:val="DefaultParagraphFont"/>
    <w:uiPriority w:val="99"/>
    <w:unhideWhenUsed/>
    <w:rsid w:val="005868A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868AB"/>
    <w:rPr>
      <w:color w:val="954F72" w:themeColor="followedHyperlink"/>
      <w:u w:val="single"/>
    </w:rPr>
  </w:style>
  <w:style w:type="paragraph" w:customStyle="1" w:styleId="Listlevel1">
    <w:name w:val="List level 1"/>
    <w:basedOn w:val="Normal"/>
    <w:rsid w:val="0024408E"/>
    <w:pPr>
      <w:spacing w:before="40" w:after="20" w:line="240" w:lineRule="auto"/>
      <w:ind w:left="425" w:hanging="425"/>
    </w:pPr>
    <w:rPr>
      <w:rFonts w:ascii="Times New Roman" w:eastAsia="MS Mincho" w:hAnsi="Times New Roman" w:cs="Times New Roman"/>
      <w:sz w:val="24"/>
      <w:lang w:eastAsia="ja-JP"/>
    </w:rPr>
  </w:style>
  <w:style w:type="paragraph" w:customStyle="1" w:styleId="Text">
    <w:name w:val="Text"/>
    <w:aliases w:val="Graphic,Graphic Char Char,Graphic Char Char Char Char Char,Graphic Char Char Char Char Char Char Char C"/>
    <w:basedOn w:val="Normal"/>
    <w:link w:val="TextChar"/>
    <w:qFormat/>
    <w:rsid w:val="0024408E"/>
    <w:pPr>
      <w:spacing w:before="120" w:after="0" w:line="240" w:lineRule="auto"/>
      <w:jc w:val="both"/>
    </w:pPr>
    <w:rPr>
      <w:rFonts w:ascii="Times New Roman" w:eastAsia="MS Mincho" w:hAnsi="Times New Roman" w:cs="Times New Roman"/>
      <w:sz w:val="24"/>
      <w:lang w:eastAsia="ja-JP"/>
    </w:rPr>
  </w:style>
  <w:style w:type="character" w:customStyle="1" w:styleId="TextChar">
    <w:name w:val="Text Char"/>
    <w:link w:val="Text"/>
    <w:rsid w:val="0024408E"/>
    <w:rPr>
      <w:rFonts w:ascii="Times New Roman" w:eastAsia="MS Mincho" w:hAnsi="Times New Roman" w:cs="Times New Roman"/>
      <w:sz w:val="24"/>
      <w:lang w:eastAsia="ja-JP"/>
    </w:rPr>
  </w:style>
  <w:style w:type="paragraph" w:styleId="Revision">
    <w:name w:val="Revision"/>
    <w:hidden/>
    <w:uiPriority w:val="99"/>
    <w:semiHidden/>
    <w:rsid w:val="005A1A9B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431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A1B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A1B9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A1B9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TableGrid">
    <w:name w:val="Table Grid"/>
    <w:basedOn w:val="TableNormal"/>
    <w:rsid w:val="004C6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24kjd">
    <w:name w:val="e24kjd"/>
    <w:basedOn w:val="DefaultParagraphFont"/>
    <w:rsid w:val="005013D0"/>
  </w:style>
  <w:style w:type="paragraph" w:styleId="NoSpacing">
    <w:name w:val="No Spacing"/>
    <w:uiPriority w:val="1"/>
    <w:qFormat/>
    <w:rsid w:val="00FE71A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509175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56390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5926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3963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970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9531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9082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2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730759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6423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1215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923061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863780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5038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5207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153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763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4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459139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79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1432">
          <w:marLeft w:val="648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3055">
          <w:marLeft w:val="1382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34434">
          <w:marLeft w:val="1382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6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259049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5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545700">
          <w:marLeft w:val="374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1651">
          <w:marLeft w:val="6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910">
          <w:marLeft w:val="6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8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784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59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847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702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7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5291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7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7293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91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5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9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79724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0190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6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3671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07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018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7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768065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78589">
          <w:marLeft w:val="138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99498">
          <w:marLeft w:val="138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61633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9895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7061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52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04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03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264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01427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602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90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932319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28149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42585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7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072591">
          <w:marLeft w:val="116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70219">
          <w:marLeft w:val="171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342">
          <w:marLeft w:val="171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30224">
          <w:marLeft w:val="171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3100">
          <w:marLeft w:val="171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5082">
          <w:marLeft w:val="171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427">
          <w:marLeft w:val="171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2290">
          <w:marLeft w:val="171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5154">
          <w:marLeft w:val="116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7296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6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02436">
          <w:marLeft w:val="36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0998">
          <w:marLeft w:val="36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6249">
          <w:marLeft w:val="36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61576">
          <w:marLeft w:val="36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2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109659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90446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7706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5314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8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032267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503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525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125">
          <w:marLeft w:val="138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7546">
          <w:marLeft w:val="138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54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27771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94005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594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6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17531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6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81195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2287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5653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6119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47849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5743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5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8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9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8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4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2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18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349412">
          <w:marLeft w:val="374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5750">
          <w:marLeft w:val="6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0611">
          <w:marLeft w:val="6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9679">
          <w:marLeft w:val="6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17324">
          <w:marLeft w:val="6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871584">
          <w:marLeft w:val="6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9781">
          <w:marLeft w:val="6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2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3CA05D2C880346A60D53295EEDCFDC" ma:contentTypeVersion="11" ma:contentTypeDescription="Create a new document." ma:contentTypeScope="" ma:versionID="737f3d396c3de4a567bbaa1e2b8448e0">
  <xsd:schema xmlns:xsd="http://www.w3.org/2001/XMLSchema" xmlns:xs="http://www.w3.org/2001/XMLSchema" xmlns:p="http://schemas.microsoft.com/office/2006/metadata/properties" xmlns:ns2="c3f90435-d29e-4753-863e-ffbf94fd9961" xmlns:ns3="b70550ab-53ac-4979-8f55-64985d569449" targetNamespace="http://schemas.microsoft.com/office/2006/metadata/properties" ma:root="true" ma:fieldsID="e3dee7f24e0510c8137c89ab280a243e" ns2:_="" ns3:_="">
    <xsd:import namespace="c3f90435-d29e-4753-863e-ffbf94fd9961"/>
    <xsd:import namespace="b70550ab-53ac-4979-8f55-64985d5694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f90435-d29e-4753-863e-ffbf94fd99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550ab-53ac-4979-8f55-64985d56944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9D68C-DDED-4965-80C8-80135DF9E6C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D7583F6-7E8B-4E31-8B15-3B76DDBAF9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D80A55-2C70-495D-A64A-A0691EA365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f90435-d29e-4753-863e-ffbf94fd9961"/>
    <ds:schemaRef ds:uri="b70550ab-53ac-4979-8f55-64985d5694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BB77075-864E-40D2-B185-B19B067A6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1041</Words>
  <Characters>5934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Novartis</Company>
  <LinksUpToDate>false</LinksUpToDate>
  <CharactersWithSpaces>6962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Smyth, Joan</dc:creator>
  <cp:keywords/>
  <dc:description/>
  <cp:lastModifiedBy>Mousseau, Marie-Catherine</cp:lastModifiedBy>
  <cp:revision>4</cp:revision>
  <dcterms:created xsi:type="dcterms:W3CDTF">2022-10-21T11:16:00Z</dcterms:created>
  <dcterms:modified xsi:type="dcterms:W3CDTF">2022-10-21T11:52:00Z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0x010100223CA05D2C880346A60D53295EEDCFDC</vt:lpwstr>
  </property>
  <property fmtid="{D5CDD505-2E9C-101B-9397-08002B2CF9AE}" pid="3" name="MSIP_Label_4929bff8-5b33-42aa-95d2-28f72e792cb0_Enabled">
    <vt:lpwstr>True</vt:lpwstr>
  </property>
  <property fmtid="{D5CDD505-2E9C-101B-9397-08002B2CF9AE}" pid="4" name="MSIP_Label_4929bff8-5b33-42aa-95d2-28f72e792cb0_SiteId">
    <vt:lpwstr>f35a6974-607f-47d4-82d7-ff31d7dc53a5</vt:lpwstr>
  </property>
  <property fmtid="{D5CDD505-2E9C-101B-9397-08002B2CF9AE}" pid="5" name="MSIP_Label_4929bff8-5b33-42aa-95d2-28f72e792cb0_SetDate">
    <vt:lpwstr>2019-10-14T12:06:52.8684506Z</vt:lpwstr>
  </property>
  <property fmtid="{D5CDD505-2E9C-101B-9397-08002B2CF9AE}" pid="6" name="MSIP_Label_4929bff8-5b33-42aa-95d2-28f72e792cb0_Name">
    <vt:lpwstr>Business Use Only</vt:lpwstr>
  </property>
  <property fmtid="{D5CDD505-2E9C-101B-9397-08002B2CF9AE}" pid="7" name="MSIP_Label_4929bff8-5b33-42aa-95d2-28f72e792cb0_ActionId">
    <vt:lpwstr>75ee5d7f-91fe-4bed-95be-3644959e9cb2</vt:lpwstr>
  </property>
  <property fmtid="{D5CDD505-2E9C-101B-9397-08002B2CF9AE}" pid="8" name="MSIP_Label_4929bff8-5b33-42aa-95d2-28f72e792cb0_Extended_MSFT_Method">
    <vt:lpwstr>Automatic</vt:lpwstr>
  </property>
  <property fmtid="{D5CDD505-2E9C-101B-9397-08002B2CF9AE}" pid="9" name="Confidentiality">
    <vt:lpwstr>Business Use Only</vt:lpwstr>
  </property>
</Properties>
</file>