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79AD" w:rsidRPr="00BC2156" w:rsidRDefault="00F379AD" w:rsidP="00F379AD">
      <w:pPr>
        <w:adjustRightInd w:val="0"/>
        <w:snapToGrid w:val="0"/>
        <w:spacing w:line="360" w:lineRule="auto"/>
        <w:rPr>
          <w:b/>
          <w:color w:val="000000" w:themeColor="text1"/>
          <w:sz w:val="24"/>
        </w:rPr>
      </w:pPr>
      <w:r w:rsidRPr="00BC2156">
        <w:rPr>
          <w:b/>
          <w:color w:val="000000" w:themeColor="text1"/>
          <w:sz w:val="28"/>
          <w:szCs w:val="28"/>
        </w:rPr>
        <w:t>SUPPLEMENTARY INFORMATION</w:t>
      </w:r>
    </w:p>
    <w:p w:rsidR="00DE32C1" w:rsidRPr="00BC2156" w:rsidRDefault="00DE32C1" w:rsidP="00DE32C1">
      <w:pPr>
        <w:widowControl/>
        <w:adjustRightInd w:val="0"/>
        <w:snapToGrid w:val="0"/>
        <w:spacing w:line="360" w:lineRule="auto"/>
        <w:rPr>
          <w:rFonts w:eastAsiaTheme="minorEastAsia"/>
          <w:b/>
          <w:color w:val="000000" w:themeColor="text1"/>
          <w:sz w:val="24"/>
        </w:rPr>
      </w:pPr>
      <w:r w:rsidRPr="00BC2156">
        <w:rPr>
          <w:rFonts w:eastAsiaTheme="minorEastAsia"/>
          <w:b/>
          <w:color w:val="000000" w:themeColor="text1"/>
          <w:sz w:val="24"/>
        </w:rPr>
        <w:t>1. Materials and methods</w:t>
      </w:r>
    </w:p>
    <w:p w:rsidR="00DE32C1" w:rsidRPr="00BC2156" w:rsidRDefault="00DE32C1" w:rsidP="00DE32C1">
      <w:pPr>
        <w:spacing w:line="360" w:lineRule="auto"/>
        <w:rPr>
          <w:rFonts w:eastAsiaTheme="minorEastAsia"/>
          <w:b/>
          <w:i/>
          <w:color w:val="000000" w:themeColor="text1"/>
          <w:sz w:val="24"/>
        </w:rPr>
      </w:pPr>
      <w:r w:rsidRPr="00BC2156">
        <w:rPr>
          <w:rFonts w:eastAsiaTheme="minorEastAsia"/>
          <w:b/>
          <w:i/>
          <w:color w:val="000000" w:themeColor="text1"/>
          <w:sz w:val="24"/>
        </w:rPr>
        <w:t xml:space="preserve">1.1 </w:t>
      </w:r>
      <w:r w:rsidR="00041D0D" w:rsidRPr="00BC2156">
        <w:rPr>
          <w:rFonts w:eastAsiaTheme="minorEastAsia"/>
          <w:b/>
          <w:i/>
          <w:color w:val="000000" w:themeColor="text1"/>
          <w:sz w:val="24"/>
        </w:rPr>
        <w:t xml:space="preserve">Patient </w:t>
      </w:r>
      <w:r w:rsidRPr="00BC2156">
        <w:rPr>
          <w:rFonts w:eastAsiaTheme="minorEastAsia"/>
          <w:b/>
          <w:i/>
          <w:color w:val="000000" w:themeColor="text1"/>
          <w:sz w:val="24"/>
        </w:rPr>
        <w:t>samples</w:t>
      </w:r>
      <w:r w:rsidR="00041D0D" w:rsidRPr="00BC2156">
        <w:rPr>
          <w:rFonts w:eastAsiaTheme="minorEastAsia"/>
          <w:b/>
          <w:i/>
          <w:color w:val="000000" w:themeColor="text1"/>
          <w:sz w:val="24"/>
        </w:rPr>
        <w:t>, i</w:t>
      </w:r>
      <w:r w:rsidR="00A757E1" w:rsidRPr="00BC2156">
        <w:rPr>
          <w:rFonts w:eastAsiaTheme="minorEastAsia"/>
          <w:b/>
          <w:i/>
          <w:color w:val="000000" w:themeColor="text1"/>
          <w:sz w:val="24"/>
        </w:rPr>
        <w:t>mmunohistochemistry (IHC)</w:t>
      </w:r>
      <w:r w:rsidR="00041D0D" w:rsidRPr="00BC2156">
        <w:rPr>
          <w:rFonts w:eastAsiaTheme="minorEastAsia"/>
          <w:b/>
          <w:i/>
          <w:color w:val="000000" w:themeColor="text1"/>
          <w:sz w:val="24"/>
        </w:rPr>
        <w:t xml:space="preserve"> and ethical statemen</w:t>
      </w:r>
      <w:r w:rsidR="0045539E" w:rsidRPr="00BC2156">
        <w:rPr>
          <w:rFonts w:eastAsiaTheme="minorEastAsia"/>
          <w:b/>
          <w:i/>
          <w:color w:val="000000" w:themeColor="text1"/>
          <w:sz w:val="24"/>
        </w:rPr>
        <w:t>ts</w:t>
      </w:r>
    </w:p>
    <w:p w:rsidR="00041D0D" w:rsidRPr="00BC2156" w:rsidRDefault="00A757E1" w:rsidP="00DE32C1">
      <w:pPr>
        <w:spacing w:line="360" w:lineRule="auto"/>
        <w:rPr>
          <w:rFonts w:eastAsiaTheme="minorEastAsia"/>
          <w:color w:val="000000" w:themeColor="text1"/>
          <w:sz w:val="24"/>
        </w:rPr>
      </w:pPr>
      <w:r w:rsidRPr="00BC2156">
        <w:rPr>
          <w:rFonts w:eastAsiaTheme="minorEastAsia"/>
          <w:color w:val="000000" w:themeColor="text1"/>
          <w:sz w:val="24"/>
        </w:rPr>
        <w:t>16</w:t>
      </w:r>
      <w:r w:rsidRPr="00BC2156">
        <w:rPr>
          <w:rFonts w:eastAsiaTheme="minorEastAsia" w:hint="eastAsia"/>
          <w:color w:val="000000" w:themeColor="text1"/>
          <w:sz w:val="24"/>
        </w:rPr>
        <w:t xml:space="preserve"> </w:t>
      </w:r>
      <w:r w:rsidRPr="00BC2156">
        <w:rPr>
          <w:rFonts w:eastAsiaTheme="minorEastAsia"/>
          <w:color w:val="000000" w:themeColor="text1"/>
          <w:sz w:val="24"/>
        </w:rPr>
        <w:t>cases of STAD patients</w:t>
      </w:r>
      <w:r w:rsidRPr="00BC2156">
        <w:rPr>
          <w:rFonts w:eastAsiaTheme="minorEastAsia" w:hint="eastAsia"/>
          <w:color w:val="000000" w:themeColor="text1"/>
          <w:sz w:val="24"/>
        </w:rPr>
        <w:t xml:space="preserve"> </w:t>
      </w:r>
      <w:r w:rsidRPr="00BC2156">
        <w:rPr>
          <w:rFonts w:eastAsiaTheme="minorEastAsia"/>
          <w:color w:val="000000" w:themeColor="text1"/>
          <w:sz w:val="24"/>
        </w:rPr>
        <w:t>who underwent radical</w:t>
      </w:r>
      <w:r w:rsidRPr="00BC2156">
        <w:rPr>
          <w:rFonts w:eastAsiaTheme="minorEastAsia" w:hint="eastAsia"/>
          <w:color w:val="000000" w:themeColor="text1"/>
          <w:sz w:val="24"/>
        </w:rPr>
        <w:t xml:space="preserve"> </w:t>
      </w:r>
      <w:r w:rsidRPr="00BC2156">
        <w:rPr>
          <w:rFonts w:eastAsiaTheme="minorEastAsia"/>
          <w:color w:val="000000" w:themeColor="text1"/>
          <w:sz w:val="24"/>
        </w:rPr>
        <w:t>surgery in the Department of Gastroenterology, Affiliated Hospital of North Sichuan Medical College, from Sep 202</w:t>
      </w:r>
      <w:r w:rsidR="00C64C5E" w:rsidRPr="00BC2156">
        <w:rPr>
          <w:rFonts w:eastAsiaTheme="minorEastAsia"/>
          <w:color w:val="000000" w:themeColor="text1"/>
          <w:sz w:val="24"/>
        </w:rPr>
        <w:t>1</w:t>
      </w:r>
      <w:r w:rsidRPr="00BC2156">
        <w:rPr>
          <w:rFonts w:eastAsiaTheme="minorEastAsia"/>
          <w:color w:val="000000" w:themeColor="text1"/>
          <w:sz w:val="24"/>
        </w:rPr>
        <w:t xml:space="preserve"> to</w:t>
      </w:r>
      <w:r w:rsidRPr="00BC2156">
        <w:rPr>
          <w:rFonts w:eastAsiaTheme="minorEastAsia" w:hint="eastAsia"/>
          <w:color w:val="000000" w:themeColor="text1"/>
          <w:sz w:val="24"/>
        </w:rPr>
        <w:t xml:space="preserve"> </w:t>
      </w:r>
      <w:r w:rsidRPr="00BC2156">
        <w:rPr>
          <w:rFonts w:eastAsiaTheme="minorEastAsia"/>
          <w:color w:val="000000" w:themeColor="text1"/>
          <w:sz w:val="24"/>
        </w:rPr>
        <w:t>Jan 202</w:t>
      </w:r>
      <w:r w:rsidR="00C64C5E" w:rsidRPr="00BC2156">
        <w:rPr>
          <w:rFonts w:eastAsiaTheme="minorEastAsia"/>
          <w:color w:val="000000" w:themeColor="text1"/>
          <w:sz w:val="24"/>
        </w:rPr>
        <w:t xml:space="preserve">2, </w:t>
      </w:r>
      <w:r w:rsidRPr="00BC2156">
        <w:rPr>
          <w:rFonts w:eastAsiaTheme="minorEastAsia"/>
          <w:color w:val="000000" w:themeColor="text1"/>
          <w:sz w:val="24"/>
        </w:rPr>
        <w:t>were included in the study. The</w:t>
      </w:r>
      <w:r w:rsidRPr="00BC2156">
        <w:rPr>
          <w:rFonts w:eastAsiaTheme="minorEastAsia" w:hint="eastAsia"/>
          <w:color w:val="000000" w:themeColor="text1"/>
          <w:sz w:val="24"/>
        </w:rPr>
        <w:t xml:space="preserve"> </w:t>
      </w:r>
      <w:r w:rsidRPr="00BC2156">
        <w:rPr>
          <w:rFonts w:eastAsiaTheme="minorEastAsia"/>
          <w:color w:val="000000" w:themeColor="text1"/>
          <w:sz w:val="24"/>
        </w:rPr>
        <w:t>STAD and normal pericarcinous</w:t>
      </w:r>
      <w:r w:rsidRPr="00BC2156">
        <w:rPr>
          <w:rFonts w:eastAsiaTheme="minorEastAsia" w:hint="eastAsia"/>
          <w:color w:val="000000" w:themeColor="text1"/>
          <w:sz w:val="24"/>
        </w:rPr>
        <w:t xml:space="preserve"> </w:t>
      </w:r>
      <w:r w:rsidRPr="00BC2156">
        <w:rPr>
          <w:rFonts w:eastAsiaTheme="minorEastAsia"/>
          <w:color w:val="000000" w:themeColor="text1"/>
          <w:sz w:val="24"/>
        </w:rPr>
        <w:t>tissues were surgically resected.</w:t>
      </w:r>
      <w:r w:rsidR="00041D0D" w:rsidRPr="00BC2156">
        <w:rPr>
          <w:rFonts w:eastAsiaTheme="minorEastAsia"/>
          <w:color w:val="000000" w:themeColor="text1"/>
          <w:sz w:val="24"/>
        </w:rPr>
        <w:t xml:space="preserve"> A part</w:t>
      </w:r>
      <w:r w:rsidR="00041D0D" w:rsidRPr="00BC2156">
        <w:rPr>
          <w:rFonts w:eastAsiaTheme="minorEastAsia" w:hint="eastAsia"/>
          <w:color w:val="000000" w:themeColor="text1"/>
          <w:sz w:val="24"/>
        </w:rPr>
        <w:t xml:space="preserve"> </w:t>
      </w:r>
      <w:r w:rsidR="00041D0D" w:rsidRPr="00BC2156">
        <w:rPr>
          <w:rFonts w:eastAsiaTheme="minorEastAsia"/>
          <w:color w:val="000000" w:themeColor="text1"/>
          <w:sz w:val="24"/>
        </w:rPr>
        <w:t>of each samples was quickly stored in liquid nitrogen for real-time</w:t>
      </w:r>
      <w:r w:rsidR="00041D0D" w:rsidRPr="00BC2156">
        <w:rPr>
          <w:rFonts w:eastAsiaTheme="minorEastAsia" w:hint="eastAsia"/>
          <w:color w:val="000000" w:themeColor="text1"/>
          <w:sz w:val="24"/>
        </w:rPr>
        <w:t xml:space="preserve"> </w:t>
      </w:r>
      <w:r w:rsidR="00041D0D" w:rsidRPr="00BC2156">
        <w:rPr>
          <w:rFonts w:eastAsiaTheme="minorEastAsia"/>
          <w:color w:val="000000" w:themeColor="text1"/>
          <w:sz w:val="24"/>
        </w:rPr>
        <w:t xml:space="preserve">PCR, and the rest was conducted to immunohistochemistry detection as described previously </w:t>
      </w:r>
      <w:r w:rsidR="002C26D4" w:rsidRPr="00BC2156">
        <w:rPr>
          <w:rFonts w:eastAsiaTheme="minorEastAsia"/>
          <w:color w:val="000000" w:themeColor="text1"/>
          <w:sz w:val="24"/>
        </w:rPr>
        <w:fldChar w:fldCharType="begin"/>
      </w:r>
      <w:r w:rsidR="003236DE" w:rsidRPr="00BC2156">
        <w:rPr>
          <w:rFonts w:eastAsiaTheme="minorEastAsia"/>
          <w:color w:val="000000" w:themeColor="text1"/>
          <w:sz w:val="24"/>
        </w:rPr>
        <w:instrText xml:space="preserve"> ADDIN EN.CITE &lt;EndNote&gt;&lt;Cite&gt;&lt;Author&gt;Han&lt;/Author&gt;&lt;Year&gt;2018&lt;/Year&gt;&lt;RecNum&gt;435&lt;/RecNum&gt;&lt;DisplayText&gt;[1]&lt;/DisplayText&gt;&lt;record&gt;&lt;rec-number&gt;435&lt;/rec-number&gt;&lt;foreign-keys&gt;&lt;key app="EN" db-id="pezesezvlrvszjerrv1xetzhpp5fzrw0v0za" timestamp="1665938525"&gt;435&lt;/key&gt;&lt;/foreign-keys&gt;&lt;ref-type name="Journal Article"&gt;17&lt;/ref-type&gt;&lt;contributors&gt;&lt;authors&gt;&lt;author&gt;Han, B.&lt;/author&gt;&lt;author&gt;Zhang, Y. Y.&lt;/author&gt;&lt;author&gt;Xu, K.&lt;/author&gt;&lt;author&gt;Bai, Y.&lt;/author&gt;&lt;author&gt;Wan, L. H.&lt;/author&gt;&lt;author&gt;Miao, S. K.&lt;/author&gt;&lt;author&gt;Zhang, K. X.&lt;/author&gt;&lt;author&gt;Zhang, H. W.&lt;/author&gt;&lt;author&gt;Liu, Y.&lt;/author&gt;&lt;author&gt;Zhou, L. M.&lt;/author&gt;&lt;/authors&gt;&lt;/contributors&gt;&lt;auth-address&gt;Department of Pharmacology, West China School of Preclinical and Forensic Medicine, Sichuan University Chengdu 610041, Sichuan Province, China.&amp;#xD;Department of Pharmacy, Affiliated Hospital of North Sichuan Medical College Nanchong 637000, Sichuan Province, China.&amp;#xD;Department of Anesthesiology, Sichuan Cancer Hospital &amp;amp; Institute, Sichuan Cancer Center, University of Electronic Science and Technology of China Chengdu 610041, Sichuan Province, China.&lt;/auth-address&gt;&lt;titles&gt;&lt;title&gt;NUDCD1 promotes metastasis through inducing EMT and inhibiting apoptosis in colorectal cancer&lt;/title&gt;&lt;secondary-title&gt;Am J Cancer Res&lt;/secondary-title&gt;&lt;/titles&gt;&lt;periodical&gt;&lt;full-title&gt;Am J Cancer Res&lt;/full-title&gt;&lt;/periodical&gt;&lt;pages&gt;810-823&lt;/pages&gt;&lt;volume&gt;8&lt;/volume&gt;&lt;number&gt;5&lt;/number&gt;&lt;keywords&gt;&lt;keyword&gt;Colorectal cancer&lt;/keyword&gt;&lt;keyword&gt;Emt&lt;/keyword&gt;&lt;keyword&gt;Nudcd1&lt;/keyword&gt;&lt;keyword&gt;apoptosis&lt;/keyword&gt;&lt;/keywords&gt;&lt;dates&gt;&lt;year&gt;2018&lt;/year&gt;&lt;/dates&gt;&lt;isbn&gt;2156-6976 (Print)&amp;#xD;2156-6976 (Linking)&lt;/isbn&gt;&lt;accession-num&gt;29888104&lt;/accession-num&gt;&lt;urls&gt;&lt;related-urls&gt;&lt;url&gt;http://www.ncbi.nlm.nih.gov/pubmed/29888104&lt;/url&gt;&lt;/related-urls&gt;&lt;/urls&gt;&lt;custom2&gt;PMC5992514&lt;/custom2&gt;&lt;/record&gt;&lt;/Cite&gt;&lt;/EndNote&gt;</w:instrText>
      </w:r>
      <w:r w:rsidR="002C26D4" w:rsidRPr="00BC2156">
        <w:rPr>
          <w:rFonts w:eastAsiaTheme="minorEastAsia"/>
          <w:color w:val="000000" w:themeColor="text1"/>
          <w:sz w:val="24"/>
        </w:rPr>
        <w:fldChar w:fldCharType="separate"/>
      </w:r>
      <w:r w:rsidR="003236DE" w:rsidRPr="00BC2156">
        <w:rPr>
          <w:rFonts w:eastAsiaTheme="minorEastAsia"/>
          <w:noProof/>
          <w:color w:val="000000" w:themeColor="text1"/>
          <w:sz w:val="24"/>
        </w:rPr>
        <w:t>[1]</w:t>
      </w:r>
      <w:r w:rsidR="002C26D4" w:rsidRPr="00BC2156">
        <w:rPr>
          <w:rFonts w:eastAsiaTheme="minorEastAsia"/>
          <w:color w:val="000000" w:themeColor="text1"/>
          <w:sz w:val="24"/>
        </w:rPr>
        <w:fldChar w:fldCharType="end"/>
      </w:r>
      <w:r w:rsidR="00041D0D" w:rsidRPr="00BC2156">
        <w:rPr>
          <w:rFonts w:eastAsiaTheme="minorEastAsia"/>
          <w:color w:val="000000" w:themeColor="text1"/>
          <w:sz w:val="24"/>
        </w:rPr>
        <w:t xml:space="preserve">. Samples collection was approved by the Ethics Review Board of Affiliated Hospital of North Sichuan Medical College. </w:t>
      </w:r>
    </w:p>
    <w:p w:rsidR="00DE32C1" w:rsidRPr="00BC2156" w:rsidRDefault="00DE32C1" w:rsidP="00C64C5E">
      <w:pPr>
        <w:spacing w:before="100" w:beforeAutospacing="1" w:line="360" w:lineRule="auto"/>
        <w:rPr>
          <w:rFonts w:eastAsiaTheme="minorEastAsia"/>
          <w:b/>
          <w:i/>
          <w:color w:val="000000" w:themeColor="text1"/>
          <w:sz w:val="24"/>
        </w:rPr>
      </w:pPr>
      <w:r w:rsidRPr="00BC2156">
        <w:rPr>
          <w:rFonts w:eastAsiaTheme="minorEastAsia"/>
          <w:b/>
          <w:i/>
          <w:color w:val="000000" w:themeColor="text1"/>
          <w:sz w:val="24"/>
        </w:rPr>
        <w:t>1.2 Cell culture</w:t>
      </w:r>
    </w:p>
    <w:p w:rsidR="00CD06F2" w:rsidRPr="00BC2156" w:rsidRDefault="00041D0D" w:rsidP="00CD06F2">
      <w:pPr>
        <w:spacing w:line="360" w:lineRule="auto"/>
        <w:rPr>
          <w:rFonts w:eastAsiaTheme="minorEastAsia"/>
          <w:color w:val="000000" w:themeColor="text1"/>
          <w:sz w:val="24"/>
        </w:rPr>
      </w:pPr>
      <w:r w:rsidRPr="00BC2156">
        <w:rPr>
          <w:rFonts w:eastAsiaTheme="minorEastAsia"/>
          <w:color w:val="000000" w:themeColor="text1"/>
          <w:sz w:val="24"/>
        </w:rPr>
        <w:t>Human gastric epithelium cell lines (GES-1</w:t>
      </w:r>
      <w:r w:rsidR="00CD06F2" w:rsidRPr="00BC2156">
        <w:rPr>
          <w:rFonts w:eastAsiaTheme="minorEastAsia"/>
          <w:color w:val="000000" w:themeColor="text1"/>
          <w:sz w:val="24"/>
        </w:rPr>
        <w:t xml:space="preserve"> cells) and human GC cell lines (AGS</w:t>
      </w:r>
      <w:r w:rsidRPr="00BC2156">
        <w:rPr>
          <w:rFonts w:eastAsiaTheme="minorEastAsia"/>
          <w:color w:val="000000" w:themeColor="text1"/>
          <w:sz w:val="24"/>
        </w:rPr>
        <w:t>, HGC-27</w:t>
      </w:r>
      <w:r w:rsidR="00CD06F2" w:rsidRPr="00BC2156">
        <w:rPr>
          <w:rFonts w:eastAsiaTheme="minorEastAsia"/>
          <w:color w:val="000000" w:themeColor="text1"/>
          <w:sz w:val="24"/>
        </w:rPr>
        <w:t>, MKN28</w:t>
      </w:r>
      <w:r w:rsidRPr="00BC2156">
        <w:rPr>
          <w:rFonts w:eastAsiaTheme="minorEastAsia"/>
          <w:color w:val="000000" w:themeColor="text1"/>
          <w:sz w:val="24"/>
        </w:rPr>
        <w:t xml:space="preserve"> and SGC-7901 cells)</w:t>
      </w:r>
      <w:r w:rsidR="00CD06F2" w:rsidRPr="00BC2156">
        <w:rPr>
          <w:rFonts w:eastAsiaTheme="minorEastAsia"/>
          <w:color w:val="000000" w:themeColor="text1"/>
          <w:sz w:val="24"/>
        </w:rPr>
        <w:t xml:space="preserve"> were purchased from ATCC. Cells were cultured with RPMI1640 medium (HyColony Logan, UT, USA) supplemented with 10% FBS (Gibco BRL) at 37</w:t>
      </w:r>
      <w:r w:rsidR="00CD06F2" w:rsidRPr="00BC2156">
        <w:rPr>
          <w:rFonts w:ascii="宋体" w:hAnsi="宋体" w:cs="宋体" w:hint="eastAsia"/>
          <w:color w:val="000000" w:themeColor="text1"/>
          <w:sz w:val="24"/>
        </w:rPr>
        <w:t>℃</w:t>
      </w:r>
      <w:r w:rsidR="00CD06F2" w:rsidRPr="00BC2156">
        <w:rPr>
          <w:rFonts w:eastAsiaTheme="minorEastAsia"/>
          <w:color w:val="000000" w:themeColor="text1"/>
          <w:sz w:val="24"/>
        </w:rPr>
        <w:t xml:space="preserve"> in 5% CO2.</w:t>
      </w:r>
    </w:p>
    <w:p w:rsidR="00DE32C1" w:rsidRPr="00BC2156" w:rsidRDefault="00DE32C1" w:rsidP="00C64C5E">
      <w:pPr>
        <w:spacing w:before="100" w:beforeAutospacing="1" w:line="360" w:lineRule="auto"/>
        <w:rPr>
          <w:rFonts w:eastAsiaTheme="minorEastAsia"/>
          <w:b/>
          <w:i/>
          <w:color w:val="000000" w:themeColor="text1"/>
          <w:sz w:val="24"/>
        </w:rPr>
      </w:pPr>
      <w:r w:rsidRPr="00BC2156">
        <w:rPr>
          <w:rFonts w:eastAsiaTheme="minorEastAsia"/>
          <w:b/>
          <w:i/>
          <w:color w:val="000000" w:themeColor="text1"/>
          <w:sz w:val="24"/>
        </w:rPr>
        <w:t>1.</w:t>
      </w:r>
      <w:r w:rsidR="00C64C5E" w:rsidRPr="00BC2156">
        <w:rPr>
          <w:rFonts w:eastAsiaTheme="minorEastAsia"/>
          <w:b/>
          <w:i/>
          <w:color w:val="000000" w:themeColor="text1"/>
          <w:sz w:val="24"/>
        </w:rPr>
        <w:t xml:space="preserve">3 </w:t>
      </w:r>
      <w:r w:rsidRPr="00BC2156">
        <w:rPr>
          <w:rFonts w:eastAsiaTheme="minorEastAsia"/>
          <w:b/>
          <w:i/>
          <w:color w:val="000000" w:themeColor="text1"/>
          <w:sz w:val="24"/>
        </w:rPr>
        <w:t>Plasmid construction and transfection</w:t>
      </w:r>
    </w:p>
    <w:p w:rsidR="00CD06F2" w:rsidRPr="00BC2156" w:rsidRDefault="00CD06F2" w:rsidP="00096CA9">
      <w:pPr>
        <w:spacing w:line="360" w:lineRule="auto"/>
        <w:rPr>
          <w:rFonts w:eastAsiaTheme="minorEastAsia"/>
          <w:color w:val="000000" w:themeColor="text1"/>
          <w:sz w:val="24"/>
        </w:rPr>
      </w:pPr>
      <w:r w:rsidRPr="00BC2156">
        <w:rPr>
          <w:rFonts w:eastAsiaTheme="minorEastAsia"/>
          <w:color w:val="000000" w:themeColor="text1"/>
          <w:sz w:val="24"/>
        </w:rPr>
        <w:t>Lentiviral particles containing short hairpin RNA (shRNA) targeting NUDCD1 mRNA (termed LV3-sh-NUDCD1) or its negative control, a non-targeting RNA sequence (termed LV3-NC) were all designed, constructed, amplified, and purified by GenePharma (Shanghai, China). The NUDCD1-targeting shRNA sequence was 5’-</w:t>
      </w:r>
      <w:r w:rsidR="001920C3" w:rsidRPr="00BC2156">
        <w:rPr>
          <w:color w:val="000000" w:themeColor="text1"/>
        </w:rPr>
        <w:t xml:space="preserve"> </w:t>
      </w:r>
      <w:r w:rsidR="001920C3" w:rsidRPr="00BC2156">
        <w:rPr>
          <w:rFonts w:eastAsiaTheme="minorEastAsia"/>
          <w:color w:val="000000" w:themeColor="text1"/>
          <w:sz w:val="24"/>
        </w:rPr>
        <w:t>GCTTGGAGATTTCCTTGATTA</w:t>
      </w:r>
      <w:r w:rsidRPr="00BC2156">
        <w:rPr>
          <w:rFonts w:eastAsiaTheme="minorEastAsia"/>
          <w:color w:val="000000" w:themeColor="text1"/>
          <w:sz w:val="24"/>
        </w:rPr>
        <w:t>-3’. The control shRNA sequence was 5’-</w:t>
      </w:r>
      <w:r w:rsidR="004046C6" w:rsidRPr="00BC2156">
        <w:rPr>
          <w:rFonts w:eastAsiaTheme="minorEastAsia"/>
          <w:color w:val="000000" w:themeColor="text1"/>
          <w:sz w:val="24"/>
        </w:rPr>
        <w:t>CAACAAGATGAAGAGCACCAA</w:t>
      </w:r>
      <w:r w:rsidRPr="00BC2156">
        <w:rPr>
          <w:rFonts w:eastAsiaTheme="minorEastAsia"/>
          <w:color w:val="000000" w:themeColor="text1"/>
          <w:sz w:val="24"/>
        </w:rPr>
        <w:t xml:space="preserve">-3’. </w:t>
      </w:r>
      <w:r w:rsidR="00096CA9" w:rsidRPr="00BC2156">
        <w:rPr>
          <w:rFonts w:eastAsiaTheme="minorEastAsia"/>
          <w:color w:val="000000" w:themeColor="text1"/>
          <w:sz w:val="24"/>
        </w:rPr>
        <w:t>AGS and HGC-27 cells were transduced with</w:t>
      </w:r>
      <w:r w:rsidR="00096CA9" w:rsidRPr="00BC2156">
        <w:rPr>
          <w:rFonts w:eastAsiaTheme="minorEastAsia" w:hint="eastAsia"/>
          <w:color w:val="000000" w:themeColor="text1"/>
          <w:sz w:val="24"/>
        </w:rPr>
        <w:t xml:space="preserve"> </w:t>
      </w:r>
      <w:r w:rsidR="00096CA9" w:rsidRPr="00BC2156">
        <w:rPr>
          <w:rFonts w:eastAsiaTheme="minorEastAsia"/>
          <w:color w:val="000000" w:themeColor="text1"/>
          <w:sz w:val="24"/>
        </w:rPr>
        <w:t>shRNA-expressing lentivirus</w:t>
      </w:r>
      <w:r w:rsidRPr="00BC2156">
        <w:rPr>
          <w:rFonts w:eastAsiaTheme="minorEastAsia"/>
          <w:color w:val="000000" w:themeColor="text1"/>
          <w:sz w:val="24"/>
        </w:rPr>
        <w:t xml:space="preserve"> </w:t>
      </w:r>
      <w:r w:rsidR="00096CA9" w:rsidRPr="00BC2156">
        <w:rPr>
          <w:rFonts w:eastAsiaTheme="minorEastAsia"/>
          <w:color w:val="000000" w:themeColor="text1"/>
          <w:sz w:val="24"/>
        </w:rPr>
        <w:t xml:space="preserve">as described previously </w:t>
      </w:r>
      <w:r w:rsidR="002C26D4" w:rsidRPr="00BC2156">
        <w:rPr>
          <w:rFonts w:eastAsiaTheme="minorEastAsia"/>
          <w:color w:val="000000" w:themeColor="text1"/>
          <w:sz w:val="24"/>
        </w:rPr>
        <w:fldChar w:fldCharType="begin">
          <w:fldData xml:space="preserve">PEVuZE5vdGU+PENpdGU+PEF1dGhvcj5UZW5nPC9BdXRob3I+PFllYXI+MjAyMTwvWWVhcj48UmVj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</w:fldData>
        </w:fldChar>
      </w:r>
      <w:r w:rsidR="003236DE" w:rsidRPr="00BC2156">
        <w:rPr>
          <w:rFonts w:eastAsiaTheme="minorEastAsia"/>
          <w:color w:val="000000" w:themeColor="text1"/>
          <w:sz w:val="24"/>
        </w:rPr>
        <w:instrText xml:space="preserve"> ADDIN EN.CITE </w:instrText>
      </w:r>
      <w:r w:rsidR="003236DE" w:rsidRPr="00BC2156">
        <w:rPr>
          <w:rFonts w:eastAsiaTheme="minorEastAsia"/>
          <w:color w:val="000000" w:themeColor="text1"/>
          <w:sz w:val="24"/>
        </w:rPr>
        <w:fldChar w:fldCharType="begin">
          <w:fldData xml:space="preserve">PEVuZE5vdGU+PENpdGU+PEF1dGhvcj5UZW5nPC9BdXRob3I+PFllYXI+MjAyMTwvWWVhcj48UmVj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</w:fldData>
        </w:fldChar>
      </w:r>
      <w:r w:rsidR="003236DE" w:rsidRPr="00BC2156">
        <w:rPr>
          <w:rFonts w:eastAsiaTheme="minorEastAsia"/>
          <w:color w:val="000000" w:themeColor="text1"/>
          <w:sz w:val="24"/>
        </w:rPr>
        <w:instrText xml:space="preserve"> ADDIN EN.CITE.DATA </w:instrText>
      </w:r>
      <w:r w:rsidR="003236DE" w:rsidRPr="00BC2156">
        <w:rPr>
          <w:rFonts w:eastAsiaTheme="minorEastAsia"/>
          <w:color w:val="000000" w:themeColor="text1"/>
          <w:sz w:val="24"/>
        </w:rPr>
      </w:r>
      <w:r w:rsidR="003236DE" w:rsidRPr="00BC2156">
        <w:rPr>
          <w:rFonts w:eastAsiaTheme="minorEastAsia"/>
          <w:color w:val="000000" w:themeColor="text1"/>
          <w:sz w:val="24"/>
        </w:rPr>
        <w:fldChar w:fldCharType="end"/>
      </w:r>
      <w:r w:rsidR="002C26D4" w:rsidRPr="00BC2156">
        <w:rPr>
          <w:rFonts w:eastAsiaTheme="minorEastAsia"/>
          <w:color w:val="000000" w:themeColor="text1"/>
          <w:sz w:val="24"/>
        </w:rPr>
      </w:r>
      <w:r w:rsidR="002C26D4" w:rsidRPr="00BC2156">
        <w:rPr>
          <w:rFonts w:eastAsiaTheme="minorEastAsia"/>
          <w:color w:val="000000" w:themeColor="text1"/>
          <w:sz w:val="24"/>
        </w:rPr>
        <w:fldChar w:fldCharType="separate"/>
      </w:r>
      <w:r w:rsidR="003236DE" w:rsidRPr="00BC2156">
        <w:rPr>
          <w:rFonts w:eastAsiaTheme="minorEastAsia"/>
          <w:noProof/>
          <w:color w:val="000000" w:themeColor="text1"/>
          <w:sz w:val="24"/>
        </w:rPr>
        <w:t>[2]</w:t>
      </w:r>
      <w:r w:rsidR="002C26D4" w:rsidRPr="00BC2156">
        <w:rPr>
          <w:rFonts w:eastAsiaTheme="minorEastAsia"/>
          <w:color w:val="000000" w:themeColor="text1"/>
          <w:sz w:val="24"/>
        </w:rPr>
        <w:fldChar w:fldCharType="end"/>
      </w:r>
      <w:r w:rsidRPr="00BC2156">
        <w:rPr>
          <w:rFonts w:eastAsiaTheme="minorEastAsia"/>
          <w:color w:val="000000" w:themeColor="text1"/>
          <w:sz w:val="24"/>
        </w:rPr>
        <w:t>.</w:t>
      </w:r>
    </w:p>
    <w:p w:rsidR="00420D47" w:rsidRPr="00BC2156" w:rsidRDefault="00420D47" w:rsidP="00096CA9">
      <w:pPr>
        <w:spacing w:line="360" w:lineRule="auto"/>
        <w:rPr>
          <w:rFonts w:eastAsiaTheme="minorEastAsia"/>
          <w:color w:val="000000" w:themeColor="text1"/>
          <w:sz w:val="24"/>
        </w:rPr>
      </w:pPr>
    </w:p>
    <w:p w:rsidR="00DE32C1" w:rsidRPr="00BC2156" w:rsidRDefault="00DE32C1" w:rsidP="00C64C5E">
      <w:pPr>
        <w:spacing w:before="100" w:beforeAutospacing="1" w:line="360" w:lineRule="auto"/>
        <w:rPr>
          <w:rFonts w:eastAsiaTheme="minorEastAsia"/>
          <w:b/>
          <w:i/>
          <w:color w:val="000000" w:themeColor="text1"/>
          <w:sz w:val="24"/>
        </w:rPr>
      </w:pPr>
      <w:r w:rsidRPr="00BC2156">
        <w:rPr>
          <w:rFonts w:eastAsiaTheme="minorEastAsia"/>
          <w:b/>
          <w:i/>
          <w:color w:val="000000" w:themeColor="text1"/>
          <w:sz w:val="24"/>
        </w:rPr>
        <w:t>1.</w:t>
      </w:r>
      <w:r w:rsidR="00C64C5E" w:rsidRPr="00BC2156">
        <w:rPr>
          <w:rFonts w:eastAsiaTheme="minorEastAsia"/>
          <w:b/>
          <w:i/>
          <w:color w:val="000000" w:themeColor="text1"/>
          <w:sz w:val="24"/>
        </w:rPr>
        <w:t>4</w:t>
      </w:r>
      <w:r w:rsidRPr="00BC2156">
        <w:rPr>
          <w:rFonts w:eastAsiaTheme="minorEastAsia"/>
          <w:b/>
          <w:i/>
          <w:color w:val="000000" w:themeColor="text1"/>
          <w:sz w:val="24"/>
        </w:rPr>
        <w:t xml:space="preserve"> RNA extraction, qRT-PCR and Western blot assays</w:t>
      </w:r>
    </w:p>
    <w:p w:rsidR="00525D36" w:rsidRPr="00BC2156" w:rsidRDefault="00525D36" w:rsidP="00525D36">
      <w:pPr>
        <w:spacing w:line="360" w:lineRule="auto"/>
        <w:rPr>
          <w:rFonts w:eastAsiaTheme="minorEastAsia"/>
          <w:color w:val="000000" w:themeColor="text1"/>
          <w:sz w:val="24"/>
        </w:rPr>
      </w:pPr>
      <w:r w:rsidRPr="00BC2156">
        <w:rPr>
          <w:rFonts w:eastAsiaTheme="minorEastAsia"/>
          <w:color w:val="000000" w:themeColor="text1"/>
          <w:sz w:val="24"/>
        </w:rPr>
        <w:t xml:space="preserve">RNA and protein extraction, qRT-PCR, and Western blot assays were performed as described previously </w:t>
      </w:r>
      <w:r w:rsidR="002C26D4" w:rsidRPr="00BC2156">
        <w:rPr>
          <w:rFonts w:eastAsiaTheme="minorEastAsia"/>
          <w:color w:val="000000" w:themeColor="text1"/>
          <w:sz w:val="24"/>
        </w:rPr>
        <w:fldChar w:fldCharType="begin"/>
      </w:r>
      <w:r w:rsidR="003236DE" w:rsidRPr="00BC2156">
        <w:rPr>
          <w:rFonts w:eastAsiaTheme="minorEastAsia"/>
          <w:color w:val="000000" w:themeColor="text1"/>
          <w:sz w:val="24"/>
        </w:rPr>
        <w:instrText xml:space="preserve"> ADDIN EN.CITE &lt;EndNote&gt;&lt;Cite&gt;&lt;Author&gt;Han&lt;/Author&gt;&lt;Year&gt;2018&lt;/Year&gt;&lt;RecNum&gt;437&lt;/RecNum&gt;&lt;DisplayText&gt;[1]&lt;/DisplayText&gt;&lt;record&gt;&lt;rec-number&gt;437&lt;/rec-number&gt;&lt;foreign-keys&gt;&lt;key app="EN" db-id="pezesezvlrvszjerrv1xetzhpp5fzrw0v0za" timestamp="1665938582"&gt;437&lt;/key&gt;&lt;/foreign-keys&gt;&lt;ref-type name="Journal Article"&gt;17&lt;/ref-type&gt;&lt;contributors&gt;&lt;authors&gt;&lt;author&gt;Han, B.&lt;/author&gt;&lt;author&gt;Zhang, Y. Y.&lt;/author&gt;&lt;author&gt;Xu, K.&lt;/author&gt;&lt;author&gt;Bai, Y.&lt;/author&gt;&lt;author&gt;Wan, L. H.&lt;/author&gt;&lt;author&gt;Miao, S. K.&lt;/author&gt;&lt;author&gt;Zhang, K. X.&lt;/author&gt;&lt;author&gt;Zhang, H. W.&lt;/author&gt;&lt;author&gt;Liu, Y.&lt;/author&gt;&lt;author&gt;Zhou, L. M.&lt;/author&gt;&lt;/authors&gt;&lt;/contributors&gt;&lt;auth-address&gt;Department of Pharmacology, West China School of Preclinical and Forensic Medicine, Sichuan University Chengdu 610041, Sichuan Province, China.&amp;#xD;Department of Pharmacy, Affiliated Hospital of North Sichuan Medical College Nanchong 637000, Sichuan Province, China.&amp;#xD;Department of Anesthesiology, Sichuan Cancer Hospital &amp;amp; Institute, Sichuan Cancer Center, University of Electronic Science and Technology of China Chengdu 610041, Sichuan Province, China.&lt;/auth-address&gt;&lt;titles&gt;&lt;title&gt;NUDCD1 promotes metastasis through inducing EMT and inhibiting apoptosis in colorectal cancer&lt;/title&gt;&lt;secondary-title&gt;Am J Cancer Res&lt;/secondary-title&gt;&lt;/titles&gt;&lt;periodical&gt;&lt;full-title&gt;Am J Cancer Res&lt;/full-title&gt;&lt;/periodical&gt;&lt;pages&gt;810-823&lt;/pages&gt;&lt;volume&gt;8&lt;/volume&gt;&lt;number&gt;5&lt;/number&gt;&lt;keywords&gt;&lt;keyword&gt;Colorectal cancer&lt;/keyword&gt;&lt;keyword&gt;Emt&lt;/keyword&gt;&lt;keyword&gt;Nudcd1&lt;/keyword&gt;&lt;keyword&gt;apoptosis&lt;/keyword&gt;&lt;/keywords&gt;&lt;dates&gt;&lt;year&gt;2018&lt;/year&gt;&lt;/dates&gt;&lt;isbn&gt;2156-6976 (Print)&amp;#xD;2156-6976 (Linking)&lt;/isbn&gt;&lt;accession-num&gt;29888104&lt;/accession-num&gt;&lt;urls&gt;&lt;related-urls&gt;&lt;url&gt;http://www.ncbi.nlm.nih.gov/pubmed/29888104&lt;/url&gt;&lt;/related-urls&gt;&lt;/urls&gt;&lt;custom2&gt;PMC5992514&lt;/custom2&gt;&lt;/record&gt;&lt;/Cite&gt;&lt;/EndNote&gt;</w:instrText>
      </w:r>
      <w:r w:rsidR="002C26D4" w:rsidRPr="00BC2156">
        <w:rPr>
          <w:rFonts w:eastAsiaTheme="minorEastAsia"/>
          <w:color w:val="000000" w:themeColor="text1"/>
          <w:sz w:val="24"/>
        </w:rPr>
        <w:fldChar w:fldCharType="separate"/>
      </w:r>
      <w:r w:rsidR="003236DE" w:rsidRPr="00BC2156">
        <w:rPr>
          <w:rFonts w:eastAsiaTheme="minorEastAsia"/>
          <w:noProof/>
          <w:color w:val="000000" w:themeColor="text1"/>
          <w:sz w:val="24"/>
        </w:rPr>
        <w:t>[1]</w:t>
      </w:r>
      <w:r w:rsidR="002C26D4" w:rsidRPr="00BC2156">
        <w:rPr>
          <w:rFonts w:eastAsiaTheme="minorEastAsia"/>
          <w:color w:val="000000" w:themeColor="text1"/>
          <w:sz w:val="24"/>
        </w:rPr>
        <w:fldChar w:fldCharType="end"/>
      </w:r>
      <w:r w:rsidRPr="00BC2156">
        <w:rPr>
          <w:rFonts w:eastAsiaTheme="minorEastAsia"/>
          <w:color w:val="000000" w:themeColor="text1"/>
          <w:sz w:val="24"/>
        </w:rPr>
        <w:t>.</w:t>
      </w:r>
    </w:p>
    <w:p w:rsidR="00525D36" w:rsidRPr="00BC2156" w:rsidRDefault="00525D36" w:rsidP="00525D36">
      <w:pPr>
        <w:spacing w:line="360" w:lineRule="auto"/>
        <w:rPr>
          <w:rFonts w:eastAsiaTheme="minorEastAsia"/>
          <w:color w:val="000000" w:themeColor="text1"/>
          <w:sz w:val="24"/>
        </w:rPr>
      </w:pPr>
      <w:r w:rsidRPr="00BC2156">
        <w:rPr>
          <w:rFonts w:eastAsiaTheme="minorEastAsia"/>
          <w:color w:val="000000" w:themeColor="text1"/>
          <w:sz w:val="24"/>
        </w:rPr>
        <w:t>.</w:t>
      </w:r>
    </w:p>
    <w:p w:rsidR="00525D36" w:rsidRPr="00BC2156" w:rsidRDefault="00525D36" w:rsidP="00DE32C1">
      <w:pPr>
        <w:spacing w:line="360" w:lineRule="auto"/>
        <w:rPr>
          <w:rFonts w:eastAsiaTheme="minorEastAsia"/>
          <w:b/>
          <w:i/>
          <w:color w:val="000000" w:themeColor="text1"/>
          <w:sz w:val="24"/>
        </w:rPr>
      </w:pPr>
    </w:p>
    <w:p w:rsidR="00DE32C1" w:rsidRPr="00BC2156" w:rsidRDefault="00DE32C1" w:rsidP="00DE32C1">
      <w:pPr>
        <w:spacing w:line="360" w:lineRule="auto"/>
        <w:rPr>
          <w:rFonts w:eastAsiaTheme="minorEastAsia"/>
          <w:b/>
          <w:i/>
          <w:color w:val="000000" w:themeColor="text1"/>
          <w:sz w:val="24"/>
        </w:rPr>
      </w:pPr>
      <w:r w:rsidRPr="00BC2156">
        <w:rPr>
          <w:rFonts w:eastAsiaTheme="minorEastAsia"/>
          <w:b/>
          <w:i/>
          <w:color w:val="000000" w:themeColor="text1"/>
          <w:sz w:val="24"/>
        </w:rPr>
        <w:t>1.</w:t>
      </w:r>
      <w:r w:rsidR="00C64C5E" w:rsidRPr="00BC2156">
        <w:rPr>
          <w:rFonts w:eastAsiaTheme="minorEastAsia"/>
          <w:b/>
          <w:i/>
          <w:color w:val="000000" w:themeColor="text1"/>
          <w:sz w:val="24"/>
        </w:rPr>
        <w:t>5</w:t>
      </w:r>
      <w:r w:rsidRPr="00BC2156">
        <w:rPr>
          <w:rFonts w:eastAsiaTheme="minorEastAsia"/>
          <w:b/>
          <w:i/>
          <w:color w:val="000000" w:themeColor="text1"/>
          <w:sz w:val="24"/>
        </w:rPr>
        <w:t xml:space="preserve"> Cell apoptosis, cell cycle and Cell proliferation in vitro</w:t>
      </w:r>
    </w:p>
    <w:p w:rsidR="00525D36" w:rsidRPr="00BC2156" w:rsidRDefault="00525D36" w:rsidP="00DE32C1">
      <w:pPr>
        <w:spacing w:line="360" w:lineRule="auto"/>
        <w:rPr>
          <w:rFonts w:eastAsiaTheme="minorEastAsia"/>
          <w:color w:val="000000" w:themeColor="text1"/>
          <w:sz w:val="24"/>
        </w:rPr>
      </w:pPr>
      <w:r w:rsidRPr="00BC2156">
        <w:rPr>
          <w:rFonts w:eastAsiaTheme="minorEastAsia"/>
          <w:color w:val="000000" w:themeColor="text1"/>
          <w:sz w:val="24"/>
        </w:rPr>
        <w:t xml:space="preserve">The apoptosis and cycle of AGS and HGC-27 cells (LV3-NC or LV3-sh-NUDCD1) were examined by flow cytometry as described previously </w:t>
      </w:r>
      <w:r w:rsidR="002C26D4" w:rsidRPr="00BC2156">
        <w:rPr>
          <w:rFonts w:eastAsiaTheme="minorEastAsia"/>
          <w:color w:val="000000" w:themeColor="text1"/>
          <w:sz w:val="24"/>
        </w:rPr>
        <w:fldChar w:fldCharType="begin"/>
      </w:r>
      <w:r w:rsidR="003236DE" w:rsidRPr="00BC2156">
        <w:rPr>
          <w:rFonts w:eastAsiaTheme="minorEastAsia"/>
          <w:color w:val="000000" w:themeColor="text1"/>
          <w:sz w:val="24"/>
        </w:rPr>
        <w:instrText xml:space="preserve"> ADDIN EN.CITE &lt;EndNote&gt;&lt;Cite&gt;&lt;Author&gt;Han&lt;/Author&gt;&lt;Year&gt;2018&lt;/Year&gt;&lt;RecNum&gt;438&lt;/RecNum&gt;&lt;DisplayText&gt;[1]&lt;/DisplayText&gt;&lt;record&gt;&lt;rec-number&gt;438&lt;/rec-number&gt;&lt;foreign-keys&gt;&lt;key app="EN" db-id="pezesezvlrvszjerrv1xetzhpp5fzrw0v0za" timestamp="1665938627"&gt;438&lt;/key&gt;&lt;/foreign-keys&gt;&lt;ref-type name="Journal Article"&gt;17&lt;/ref-type&gt;&lt;contributors&gt;&lt;authors&gt;&lt;author&gt;Han, B.&lt;/author&gt;&lt;author&gt;Zhang, Y. Y.&lt;/author&gt;&lt;author&gt;Xu, K.&lt;/author&gt;&lt;author&gt;Bai, Y.&lt;/author&gt;&lt;author&gt;Wan, L. H.&lt;/author&gt;&lt;author&gt;Miao, S. K.&lt;/author&gt;&lt;author&gt;Zhang, K. X.&lt;/author&gt;&lt;author&gt;Zhang, H. W.&lt;/author&gt;&lt;author&gt;Liu, Y.&lt;/author&gt;&lt;author&gt;Zhou, L. M.&lt;/author&gt;&lt;/authors&gt;&lt;/contributors&gt;&lt;auth-address&gt;Department of Pharmacology, West China School of Preclinical and Forensic Medicine, Sichuan University Chengdu 610041, Sichuan Province, China.&amp;#xD;Department of Pharmacy, Affiliated Hospital of North Sichuan Medical College Nanchong 637000, Sichuan Province, China.&amp;#xD;Department of Anesthesiology, Sichuan Cancer Hospital &amp;amp; Institute, Sichuan Cancer Center, University of Electronic Science and Technology of China Chengdu 610041, Sichuan Province, China.&lt;/auth-address&gt;&lt;titles&gt;&lt;title&gt;NUDCD1 promotes metastasis through inducing EMT and inhibiting apoptosis in colorectal cancer&lt;/title&gt;&lt;secondary-title&gt;Am J Cancer Res&lt;/secondary-title&gt;&lt;/titles&gt;&lt;periodical&gt;&lt;full-title&gt;Am J Cancer Res&lt;/full-title&gt;&lt;/periodical&gt;&lt;pages&gt;810-823&lt;/pages&gt;&lt;volume&gt;8&lt;/volume&gt;&lt;number&gt;5&lt;/number&gt;&lt;keywords&gt;&lt;keyword&gt;Colorectal cancer&lt;/keyword&gt;&lt;keyword&gt;Emt&lt;/keyword&gt;&lt;keyword&gt;Nudcd1&lt;/keyword&gt;&lt;keyword&gt;apoptosis&lt;/keyword&gt;&lt;/keywords&gt;&lt;dates&gt;&lt;year&gt;2018&lt;/year&gt;&lt;/dates&gt;&lt;isbn&gt;2156-6976 (Print)&amp;#xD;2156-6976 (Linking)&lt;/isbn&gt;&lt;accession-num&gt;29888104&lt;/accession-num&gt;&lt;urls&gt;&lt;related-urls&gt;&lt;url&gt;http://www.ncbi.nlm.nih.gov/pubmed/29888104&lt;/url&gt;&lt;/related-urls&gt;&lt;/urls&gt;&lt;custom2&gt;PMC5992514&lt;/custom2&gt;&lt;/record&gt;&lt;/Cite&gt;&lt;/EndNote&gt;</w:instrText>
      </w:r>
      <w:r w:rsidR="002C26D4" w:rsidRPr="00BC2156">
        <w:rPr>
          <w:rFonts w:eastAsiaTheme="minorEastAsia"/>
          <w:color w:val="000000" w:themeColor="text1"/>
          <w:sz w:val="24"/>
        </w:rPr>
        <w:fldChar w:fldCharType="separate"/>
      </w:r>
      <w:r w:rsidR="003236DE" w:rsidRPr="00BC2156">
        <w:rPr>
          <w:rFonts w:eastAsiaTheme="minorEastAsia"/>
          <w:noProof/>
          <w:color w:val="000000" w:themeColor="text1"/>
          <w:sz w:val="24"/>
        </w:rPr>
        <w:t>[1]</w:t>
      </w:r>
      <w:r w:rsidR="002C26D4" w:rsidRPr="00BC2156">
        <w:rPr>
          <w:rFonts w:eastAsiaTheme="minorEastAsia"/>
          <w:color w:val="000000" w:themeColor="text1"/>
          <w:sz w:val="24"/>
        </w:rPr>
        <w:fldChar w:fldCharType="end"/>
      </w:r>
      <w:r w:rsidRPr="00BC2156">
        <w:rPr>
          <w:rFonts w:eastAsiaTheme="minorEastAsia"/>
          <w:color w:val="000000" w:themeColor="text1"/>
          <w:sz w:val="24"/>
        </w:rPr>
        <w:t>. For colony formation assays, AGS and HGC-27 cells</w:t>
      </w:r>
      <w:r w:rsidRPr="00BC2156">
        <w:rPr>
          <w:rFonts w:eastAsiaTheme="minorEastAsia" w:hint="eastAsia"/>
          <w:color w:val="000000" w:themeColor="text1"/>
          <w:sz w:val="24"/>
        </w:rPr>
        <w:t xml:space="preserve"> </w:t>
      </w:r>
      <w:r w:rsidRPr="00BC2156">
        <w:rPr>
          <w:rFonts w:eastAsiaTheme="minorEastAsia"/>
          <w:color w:val="000000" w:themeColor="text1"/>
          <w:sz w:val="24"/>
        </w:rPr>
        <w:t>were seeded at a density of 1000 cells per well in 24-well plates. After 10 days of growth, the cells were rinsed with PBS, fixed in 4% paraformaldehyde, and stained with 5% crystal violet for 30 min. Then, the colonies were characterized and counted for the evaluation of cell proliferation.</w:t>
      </w:r>
    </w:p>
    <w:p w:rsidR="00DE32C1" w:rsidRPr="00BC2156" w:rsidRDefault="00DE32C1" w:rsidP="00C64C5E">
      <w:pPr>
        <w:spacing w:before="100" w:beforeAutospacing="1" w:line="360" w:lineRule="auto"/>
        <w:rPr>
          <w:rFonts w:eastAsiaTheme="minorEastAsia"/>
          <w:b/>
          <w:i/>
          <w:color w:val="000000" w:themeColor="text1"/>
          <w:sz w:val="24"/>
        </w:rPr>
      </w:pPr>
      <w:r w:rsidRPr="00BC2156">
        <w:rPr>
          <w:rFonts w:eastAsiaTheme="minorEastAsia"/>
          <w:b/>
          <w:i/>
          <w:color w:val="000000" w:themeColor="text1"/>
          <w:sz w:val="24"/>
        </w:rPr>
        <w:t>1.</w:t>
      </w:r>
      <w:r w:rsidR="00C64C5E" w:rsidRPr="00BC2156">
        <w:rPr>
          <w:rFonts w:eastAsiaTheme="minorEastAsia"/>
          <w:b/>
          <w:i/>
          <w:color w:val="000000" w:themeColor="text1"/>
          <w:sz w:val="24"/>
        </w:rPr>
        <w:t>6</w:t>
      </w:r>
      <w:r w:rsidRPr="00BC2156">
        <w:rPr>
          <w:rFonts w:eastAsiaTheme="minorEastAsia"/>
          <w:b/>
          <w:i/>
          <w:color w:val="000000" w:themeColor="text1"/>
          <w:sz w:val="24"/>
        </w:rPr>
        <w:t xml:space="preserve"> Cell proliferation in vivo</w:t>
      </w:r>
      <w:r w:rsidR="0045539E" w:rsidRPr="00BC2156">
        <w:rPr>
          <w:rFonts w:eastAsiaTheme="minorEastAsia"/>
          <w:b/>
          <w:i/>
          <w:color w:val="000000" w:themeColor="text1"/>
          <w:sz w:val="24"/>
        </w:rPr>
        <w:t xml:space="preserve"> and ethical statements</w:t>
      </w:r>
    </w:p>
    <w:p w:rsidR="00525D36" w:rsidRPr="00BC2156" w:rsidRDefault="00525D36" w:rsidP="00C126D7">
      <w:pPr>
        <w:spacing w:line="360" w:lineRule="auto"/>
        <w:rPr>
          <w:rFonts w:eastAsiaTheme="minorEastAsia"/>
          <w:color w:val="000000" w:themeColor="text1"/>
          <w:sz w:val="24"/>
        </w:rPr>
      </w:pPr>
      <w:r w:rsidRPr="00BC2156">
        <w:rPr>
          <w:rFonts w:eastAsiaTheme="minorEastAsia"/>
          <w:color w:val="000000" w:themeColor="text1"/>
          <w:sz w:val="24"/>
        </w:rPr>
        <w:t>Female nude mice (5-6 weeks old BALB/c-nu/nu) were used for animal</w:t>
      </w:r>
      <w:r w:rsidRPr="00BC2156">
        <w:rPr>
          <w:rFonts w:eastAsiaTheme="minorEastAsia" w:hint="eastAsia"/>
          <w:color w:val="000000" w:themeColor="text1"/>
          <w:sz w:val="24"/>
        </w:rPr>
        <w:t xml:space="preserve"> </w:t>
      </w:r>
      <w:r w:rsidRPr="00BC2156">
        <w:rPr>
          <w:rFonts w:eastAsiaTheme="minorEastAsia"/>
          <w:color w:val="000000" w:themeColor="text1"/>
          <w:sz w:val="24"/>
        </w:rPr>
        <w:t>studies (purchased from the Beijing HFK Bioscience, Beijing, China). For in vivo tumor xenograft studies, 4×10</w:t>
      </w:r>
      <w:r w:rsidRPr="00BC2156">
        <w:rPr>
          <w:rFonts w:eastAsiaTheme="minorEastAsia"/>
          <w:color w:val="000000" w:themeColor="text1"/>
          <w:sz w:val="24"/>
          <w:vertAlign w:val="superscript"/>
        </w:rPr>
        <w:t>6</w:t>
      </w:r>
      <w:r w:rsidRPr="00BC2156">
        <w:rPr>
          <w:rFonts w:eastAsiaTheme="minorEastAsia"/>
          <w:color w:val="000000" w:themeColor="text1"/>
          <w:sz w:val="24"/>
        </w:rPr>
        <w:t xml:space="preserve"> LV3-NC or LV3-sh-NUDCD1</w:t>
      </w:r>
      <w:r w:rsidR="00832CEA" w:rsidRPr="00BC2156">
        <w:rPr>
          <w:rFonts w:eastAsiaTheme="minorEastAsia"/>
          <w:color w:val="000000" w:themeColor="text1"/>
          <w:sz w:val="24"/>
        </w:rPr>
        <w:t xml:space="preserve"> AGS cells were re-suspended in 200 μL PBS and injected subcutaneously into the</w:t>
      </w:r>
      <w:r w:rsidR="00832CEA" w:rsidRPr="00BC2156">
        <w:rPr>
          <w:rFonts w:eastAsiaTheme="minorEastAsia" w:hint="eastAsia"/>
          <w:color w:val="000000" w:themeColor="text1"/>
          <w:sz w:val="24"/>
        </w:rPr>
        <w:t xml:space="preserve"> </w:t>
      </w:r>
      <w:r w:rsidR="00832CEA" w:rsidRPr="00BC2156">
        <w:rPr>
          <w:rFonts w:eastAsiaTheme="minorEastAsia"/>
          <w:color w:val="000000" w:themeColor="text1"/>
          <w:sz w:val="24"/>
        </w:rPr>
        <w:t>axillary fossae of female nude mice respectively (four mice per</w:t>
      </w:r>
      <w:r w:rsidR="00832CEA" w:rsidRPr="00BC2156">
        <w:rPr>
          <w:rFonts w:eastAsiaTheme="minorEastAsia" w:hint="eastAsia"/>
          <w:color w:val="000000" w:themeColor="text1"/>
          <w:sz w:val="24"/>
        </w:rPr>
        <w:t xml:space="preserve"> </w:t>
      </w:r>
      <w:r w:rsidR="00832CEA" w:rsidRPr="00BC2156">
        <w:rPr>
          <w:rFonts w:eastAsiaTheme="minorEastAsia"/>
          <w:color w:val="000000" w:themeColor="text1"/>
          <w:sz w:val="24"/>
        </w:rPr>
        <w:t>group). At 42 days post-injection, mice were sacrificed</w:t>
      </w:r>
      <w:r w:rsidR="00832CEA" w:rsidRPr="00BC2156">
        <w:rPr>
          <w:rFonts w:eastAsiaTheme="minorEastAsia" w:hint="eastAsia"/>
          <w:color w:val="000000" w:themeColor="text1"/>
          <w:sz w:val="24"/>
        </w:rPr>
        <w:t xml:space="preserve">. </w:t>
      </w:r>
      <w:r w:rsidR="00832CEA" w:rsidRPr="00BC2156">
        <w:rPr>
          <w:rFonts w:eastAsiaTheme="minorEastAsia"/>
          <w:color w:val="000000" w:themeColor="text1"/>
          <w:sz w:val="24"/>
        </w:rPr>
        <w:t>Tumors were dissected and weighed.</w:t>
      </w:r>
      <w:r w:rsidR="00C126D7" w:rsidRPr="00BC2156">
        <w:rPr>
          <w:rFonts w:eastAsiaTheme="minorEastAsia"/>
          <w:color w:val="000000" w:themeColor="text1"/>
          <w:sz w:val="24"/>
        </w:rPr>
        <w:t xml:space="preserve"> All animal experiments were approved by the</w:t>
      </w:r>
      <w:r w:rsidR="00C126D7" w:rsidRPr="00BC2156">
        <w:rPr>
          <w:rFonts w:eastAsiaTheme="minorEastAsia" w:hint="eastAsia"/>
          <w:color w:val="000000" w:themeColor="text1"/>
          <w:sz w:val="24"/>
        </w:rPr>
        <w:t xml:space="preserve"> </w:t>
      </w:r>
      <w:r w:rsidR="00C126D7" w:rsidRPr="00BC2156">
        <w:rPr>
          <w:rFonts w:eastAsiaTheme="minorEastAsia"/>
          <w:color w:val="000000" w:themeColor="text1"/>
          <w:sz w:val="24"/>
        </w:rPr>
        <w:t>Ethics Review Board of Affiliated Hospital of North Sichuan Medical College.</w:t>
      </w:r>
    </w:p>
    <w:p w:rsidR="00F379AD" w:rsidRPr="00BC2156" w:rsidRDefault="00DE32C1" w:rsidP="00F379AD">
      <w:pPr>
        <w:adjustRightInd w:val="0"/>
        <w:snapToGrid w:val="0"/>
        <w:spacing w:before="100" w:beforeAutospacing="1" w:line="360" w:lineRule="auto"/>
        <w:jc w:val="left"/>
        <w:rPr>
          <w:b/>
          <w:color w:val="000000" w:themeColor="text1"/>
          <w:sz w:val="24"/>
        </w:rPr>
      </w:pPr>
      <w:r w:rsidRPr="00BC2156">
        <w:rPr>
          <w:b/>
          <w:color w:val="000000" w:themeColor="text1"/>
          <w:sz w:val="24"/>
        </w:rPr>
        <w:t>2</w:t>
      </w:r>
      <w:r w:rsidR="00F379AD" w:rsidRPr="00BC2156">
        <w:rPr>
          <w:b/>
          <w:color w:val="000000" w:themeColor="text1"/>
          <w:sz w:val="24"/>
        </w:rPr>
        <w:t>. Supplemental Figure legends</w:t>
      </w:r>
    </w:p>
    <w:p w:rsidR="00F379AD" w:rsidRPr="00BC2156" w:rsidRDefault="00F379AD" w:rsidP="00F379AD">
      <w:pPr>
        <w:pStyle w:val="1"/>
        <w:numPr>
          <w:ilvl w:val="0"/>
          <w:numId w:val="0"/>
        </w:numPr>
        <w:adjustRightInd w:val="0"/>
        <w:snapToGrid w:val="0"/>
        <w:spacing w:before="100" w:beforeAutospacing="1" w:after="0" w:line="360" w:lineRule="auto"/>
        <w:jc w:val="both"/>
        <w:rPr>
          <w:rFonts w:eastAsiaTheme="minorEastAsia"/>
          <w:b w:val="0"/>
          <w:color w:val="000000" w:themeColor="text1"/>
        </w:rPr>
      </w:pPr>
      <w:r w:rsidRPr="00BC2156">
        <w:rPr>
          <w:rFonts w:eastAsiaTheme="minorEastAsia"/>
          <w:color w:val="000000" w:themeColor="text1"/>
        </w:rPr>
        <w:t>Figure S1.</w:t>
      </w:r>
      <w:r w:rsidRPr="00BC2156">
        <w:rPr>
          <w:rFonts w:eastAsiaTheme="minorEastAsia"/>
          <w:b w:val="0"/>
          <w:color w:val="000000" w:themeColor="text1"/>
        </w:rPr>
        <w:t xml:space="preserve"> The expression and Isoform of NUDCD1 in human tissues. (</w:t>
      </w:r>
      <w:r w:rsidR="00062D71" w:rsidRPr="00BC2156">
        <w:rPr>
          <w:rFonts w:eastAsiaTheme="minorEastAsia"/>
          <w:color w:val="000000" w:themeColor="text1"/>
        </w:rPr>
        <w:t>a</w:t>
      </w:r>
      <w:r w:rsidRPr="00BC2156">
        <w:rPr>
          <w:rFonts w:eastAsiaTheme="minorEastAsia"/>
          <w:b w:val="0"/>
          <w:color w:val="000000" w:themeColor="text1"/>
        </w:rPr>
        <w:t>) The RNA and protein expression summary of NUDCD1 in human tissues (data from HPA). (</w:t>
      </w:r>
      <w:r w:rsidR="00062D71" w:rsidRPr="00BC2156">
        <w:rPr>
          <w:rFonts w:eastAsiaTheme="minorEastAsia"/>
          <w:color w:val="000000" w:themeColor="text1"/>
        </w:rPr>
        <w:t>b</w:t>
      </w:r>
      <w:r w:rsidRPr="00BC2156">
        <w:rPr>
          <w:rFonts w:eastAsiaTheme="minorEastAsia"/>
          <w:b w:val="0"/>
          <w:color w:val="000000" w:themeColor="text1"/>
        </w:rPr>
        <w:t>) NUDCD1 expression levels in human tissues (data from GTEx). (</w:t>
      </w:r>
      <w:r w:rsidR="00062D71" w:rsidRPr="00BC2156">
        <w:rPr>
          <w:rFonts w:eastAsiaTheme="minorEastAsia"/>
          <w:color w:val="000000" w:themeColor="text1"/>
        </w:rPr>
        <w:t>c</w:t>
      </w:r>
      <w:r w:rsidRPr="00BC2156">
        <w:rPr>
          <w:rFonts w:eastAsiaTheme="minorEastAsia"/>
          <w:b w:val="0"/>
          <w:color w:val="000000" w:themeColor="text1"/>
        </w:rPr>
        <w:t>) NUDCD1 expression levels in human tissues (data from FANTOM5 dataset). (</w:t>
      </w:r>
      <w:r w:rsidR="00062D71" w:rsidRPr="00BC2156">
        <w:rPr>
          <w:rFonts w:eastAsiaTheme="minorEastAsia"/>
          <w:color w:val="000000" w:themeColor="text1"/>
        </w:rPr>
        <w:t>d</w:t>
      </w:r>
      <w:r w:rsidRPr="00BC2156">
        <w:rPr>
          <w:rFonts w:eastAsiaTheme="minorEastAsia"/>
          <w:b w:val="0"/>
          <w:color w:val="000000" w:themeColor="text1"/>
        </w:rPr>
        <w:t>) NUDCD1 expression levels in human tissues (data from consensus dataset). (</w:t>
      </w:r>
      <w:r w:rsidR="00062D71" w:rsidRPr="00BC2156">
        <w:rPr>
          <w:rFonts w:eastAsiaTheme="minorEastAsia"/>
          <w:color w:val="000000" w:themeColor="text1"/>
        </w:rPr>
        <w:t>e</w:t>
      </w:r>
      <w:r w:rsidRPr="00BC2156">
        <w:rPr>
          <w:rFonts w:eastAsiaTheme="minorEastAsia"/>
          <w:b w:val="0"/>
          <w:color w:val="000000" w:themeColor="text1"/>
        </w:rPr>
        <w:t>) Isoform expression of NUDCD1 (data from GTEx).</w:t>
      </w:r>
    </w:p>
    <w:p w:rsidR="00F379AD" w:rsidRPr="00BC2156" w:rsidRDefault="00F379AD" w:rsidP="00F379AD">
      <w:pPr>
        <w:pStyle w:val="1"/>
        <w:numPr>
          <w:ilvl w:val="0"/>
          <w:numId w:val="0"/>
        </w:numPr>
        <w:adjustRightInd w:val="0"/>
        <w:snapToGrid w:val="0"/>
        <w:spacing w:before="100" w:beforeAutospacing="1" w:after="0" w:line="360" w:lineRule="auto"/>
        <w:jc w:val="both"/>
        <w:rPr>
          <w:rFonts w:eastAsiaTheme="minorEastAsia"/>
          <w:b w:val="0"/>
          <w:color w:val="000000" w:themeColor="text1"/>
        </w:rPr>
      </w:pPr>
      <w:r w:rsidRPr="00BC2156">
        <w:rPr>
          <w:rFonts w:eastAsiaTheme="minorEastAsia"/>
          <w:color w:val="000000" w:themeColor="text1"/>
        </w:rPr>
        <w:t>Figure S2.</w:t>
      </w:r>
      <w:r w:rsidRPr="00BC2156">
        <w:rPr>
          <w:rFonts w:eastAsiaTheme="minorEastAsia"/>
          <w:b w:val="0"/>
          <w:color w:val="000000" w:themeColor="text1"/>
        </w:rPr>
        <w:t xml:space="preserve"> The expression of NUDCD1 in junction, exon, blood cells and extracellular vesicles. Junction expression (</w:t>
      </w:r>
      <w:r w:rsidR="00062D71" w:rsidRPr="00BC2156">
        <w:rPr>
          <w:rFonts w:eastAsiaTheme="minorEastAsia"/>
          <w:color w:val="000000" w:themeColor="text1"/>
        </w:rPr>
        <w:t>a</w:t>
      </w:r>
      <w:r w:rsidRPr="00BC2156">
        <w:rPr>
          <w:rFonts w:eastAsiaTheme="minorEastAsia"/>
          <w:b w:val="0"/>
          <w:color w:val="000000" w:themeColor="text1"/>
        </w:rPr>
        <w:t>) and exon expression (</w:t>
      </w:r>
      <w:r w:rsidR="00062D71" w:rsidRPr="00BC2156">
        <w:rPr>
          <w:rFonts w:eastAsiaTheme="minorEastAsia"/>
          <w:color w:val="000000" w:themeColor="text1"/>
        </w:rPr>
        <w:t>b</w:t>
      </w:r>
      <w:r w:rsidRPr="00BC2156">
        <w:rPr>
          <w:rFonts w:eastAsiaTheme="minorEastAsia"/>
          <w:b w:val="0"/>
          <w:color w:val="000000" w:themeColor="text1"/>
        </w:rPr>
        <w:t>) of NUDCD1 (data from GTEx). (</w:t>
      </w:r>
      <w:r w:rsidR="00062D71" w:rsidRPr="00BC2156">
        <w:rPr>
          <w:rFonts w:eastAsiaTheme="minorEastAsia"/>
          <w:color w:val="000000" w:themeColor="text1"/>
        </w:rPr>
        <w:t>c</w:t>
      </w:r>
      <w:r w:rsidRPr="00BC2156">
        <w:rPr>
          <w:rFonts w:eastAsiaTheme="minorEastAsia"/>
          <w:b w:val="0"/>
          <w:color w:val="000000" w:themeColor="text1"/>
        </w:rPr>
        <w:t>) NUDCD1 expression levels in human blood cells (data from HPA). (</w:t>
      </w:r>
      <w:r w:rsidR="00062D71" w:rsidRPr="00BC2156">
        <w:rPr>
          <w:rFonts w:eastAsiaTheme="minorEastAsia"/>
          <w:color w:val="000000" w:themeColor="text1"/>
        </w:rPr>
        <w:t>d</w:t>
      </w:r>
      <w:r w:rsidRPr="00BC2156">
        <w:rPr>
          <w:rFonts w:eastAsiaTheme="minorEastAsia"/>
          <w:b w:val="0"/>
          <w:color w:val="000000" w:themeColor="text1"/>
        </w:rPr>
        <w:t>) NUDCD1 expression levels in human blood cells (data from Monaco scaled dataset). (</w:t>
      </w:r>
      <w:r w:rsidR="00062D71" w:rsidRPr="00BC2156">
        <w:rPr>
          <w:rFonts w:eastAsiaTheme="minorEastAsia"/>
          <w:color w:val="000000" w:themeColor="text1"/>
        </w:rPr>
        <w:t>e</w:t>
      </w:r>
      <w:r w:rsidRPr="00BC2156">
        <w:rPr>
          <w:rFonts w:eastAsiaTheme="minorEastAsia"/>
          <w:b w:val="0"/>
          <w:color w:val="000000" w:themeColor="text1"/>
        </w:rPr>
        <w:t>) NUDCD1 expression levels in human blood cells (data from Schmiedel dataset). (</w:t>
      </w:r>
      <w:r w:rsidR="00062D71" w:rsidRPr="00BC2156">
        <w:rPr>
          <w:rFonts w:eastAsiaTheme="minorEastAsia"/>
          <w:color w:val="000000" w:themeColor="text1"/>
        </w:rPr>
        <w:t>f</w:t>
      </w:r>
      <w:r w:rsidRPr="00BC2156">
        <w:rPr>
          <w:rFonts w:eastAsiaTheme="minorEastAsia"/>
          <w:b w:val="0"/>
          <w:color w:val="000000" w:themeColor="text1"/>
        </w:rPr>
        <w:t>) Line and heat map chart of NUDCD1 expression level in extracellular vesicles (data from exoRBase 2.0, http://www.exorbase.org/).</w:t>
      </w:r>
    </w:p>
    <w:p w:rsidR="00F379AD" w:rsidRPr="00BC2156" w:rsidRDefault="00F379AD" w:rsidP="00F379AD">
      <w:pPr>
        <w:pStyle w:val="1"/>
        <w:numPr>
          <w:ilvl w:val="0"/>
          <w:numId w:val="0"/>
        </w:numPr>
        <w:adjustRightInd w:val="0"/>
        <w:snapToGrid w:val="0"/>
        <w:spacing w:before="100" w:beforeAutospacing="1" w:after="0" w:line="360" w:lineRule="auto"/>
        <w:jc w:val="both"/>
        <w:rPr>
          <w:rFonts w:eastAsiaTheme="minorEastAsia"/>
          <w:b w:val="0"/>
          <w:color w:val="000000" w:themeColor="text1"/>
        </w:rPr>
      </w:pPr>
      <w:r w:rsidRPr="00BC2156">
        <w:rPr>
          <w:rFonts w:eastAsiaTheme="minorEastAsia"/>
          <w:color w:val="000000" w:themeColor="text1"/>
        </w:rPr>
        <w:t>Figure S3.</w:t>
      </w:r>
      <w:r w:rsidRPr="00BC2156">
        <w:rPr>
          <w:rFonts w:eastAsiaTheme="minorEastAsia"/>
          <w:b w:val="0"/>
          <w:color w:val="000000" w:themeColor="text1"/>
        </w:rPr>
        <w:t xml:space="preserve"> NUDCD1 expression levels in different types of human cancer cells. (</w:t>
      </w:r>
      <w:r w:rsidR="00062D71" w:rsidRPr="00BC2156">
        <w:rPr>
          <w:rFonts w:eastAsiaTheme="minorEastAsia"/>
          <w:color w:val="000000" w:themeColor="text1"/>
        </w:rPr>
        <w:t>a</w:t>
      </w:r>
      <w:r w:rsidRPr="00BC2156">
        <w:rPr>
          <w:rFonts w:eastAsiaTheme="minorEastAsia"/>
          <w:b w:val="0"/>
          <w:color w:val="000000" w:themeColor="text1"/>
        </w:rPr>
        <w:t>) NUDCD1 mRNA expression across different cell lines from CCLE. (</w:t>
      </w:r>
      <w:r w:rsidR="00062D71" w:rsidRPr="00BC2156">
        <w:rPr>
          <w:rFonts w:eastAsiaTheme="minorEastAsia"/>
          <w:color w:val="000000" w:themeColor="text1"/>
        </w:rPr>
        <w:t>b</w:t>
      </w:r>
      <w:r w:rsidRPr="00BC2156">
        <w:rPr>
          <w:rFonts w:eastAsiaTheme="minorEastAsia"/>
          <w:b w:val="0"/>
          <w:color w:val="000000" w:themeColor="text1"/>
        </w:rPr>
        <w:t>) The subcellular location of NUDCD1 by indirect immunofluorescence microscopy, which was calculated by HPA. (</w:t>
      </w:r>
      <w:r w:rsidR="00062D71" w:rsidRPr="00BC2156">
        <w:rPr>
          <w:rFonts w:eastAsiaTheme="minorEastAsia"/>
          <w:color w:val="000000" w:themeColor="text1"/>
        </w:rPr>
        <w:t>c</w:t>
      </w:r>
      <w:r w:rsidRPr="00BC2156">
        <w:rPr>
          <w:rFonts w:eastAsiaTheme="minorEastAsia"/>
          <w:b w:val="0"/>
          <w:color w:val="000000" w:themeColor="text1"/>
        </w:rPr>
        <w:t>) Correlation between copy number variation and mRNA level of NUDCD1 across different cell lines (data from CCLE). (</w:t>
      </w:r>
      <w:r w:rsidR="00062D71" w:rsidRPr="00BC2156">
        <w:rPr>
          <w:rFonts w:eastAsiaTheme="minorEastAsia"/>
          <w:color w:val="000000" w:themeColor="text1"/>
        </w:rPr>
        <w:t>d</w:t>
      </w:r>
      <w:r w:rsidRPr="00BC2156">
        <w:rPr>
          <w:rFonts w:eastAsiaTheme="minorEastAsia"/>
          <w:b w:val="0"/>
          <w:color w:val="000000" w:themeColor="text1"/>
        </w:rPr>
        <w:t>) Correlation between promoter DNA methylation and mRNA level of NUDCD1 across different cell lines (data from CCLE). (</w:t>
      </w:r>
      <w:r w:rsidR="00062D71" w:rsidRPr="00BC2156">
        <w:rPr>
          <w:rFonts w:eastAsiaTheme="minorEastAsia"/>
          <w:color w:val="000000" w:themeColor="text1"/>
        </w:rPr>
        <w:t>e</w:t>
      </w:r>
      <w:r w:rsidRPr="00BC2156">
        <w:rPr>
          <w:rFonts w:eastAsiaTheme="minorEastAsia"/>
          <w:b w:val="0"/>
          <w:color w:val="000000" w:themeColor="text1"/>
        </w:rPr>
        <w:t>) Overview of NUDCD1 expression levels in different cell lines analyzed in the HPA.</w:t>
      </w:r>
    </w:p>
    <w:p w:rsidR="00F379AD" w:rsidRPr="00BC2156" w:rsidRDefault="00F379AD" w:rsidP="00F379AD">
      <w:pPr>
        <w:pStyle w:val="1"/>
        <w:numPr>
          <w:ilvl w:val="0"/>
          <w:numId w:val="0"/>
        </w:numPr>
        <w:adjustRightInd w:val="0"/>
        <w:snapToGrid w:val="0"/>
        <w:spacing w:before="100" w:beforeAutospacing="1" w:after="0" w:line="360" w:lineRule="auto"/>
        <w:jc w:val="both"/>
        <w:rPr>
          <w:rFonts w:eastAsiaTheme="minorEastAsia"/>
          <w:b w:val="0"/>
          <w:color w:val="000000" w:themeColor="text1"/>
        </w:rPr>
      </w:pPr>
      <w:r w:rsidRPr="00BC2156">
        <w:rPr>
          <w:rFonts w:eastAsiaTheme="minorEastAsia"/>
          <w:color w:val="000000" w:themeColor="text1"/>
        </w:rPr>
        <w:t>Figure S4.</w:t>
      </w:r>
      <w:r w:rsidRPr="00BC2156">
        <w:rPr>
          <w:rFonts w:eastAsiaTheme="minorEastAsia"/>
          <w:b w:val="0"/>
          <w:color w:val="000000" w:themeColor="text1"/>
        </w:rPr>
        <w:t xml:space="preserve"> Expression of NUDCD1 in different pathological stages of cancers. (</w:t>
      </w:r>
      <w:r w:rsidR="00062D71" w:rsidRPr="00BC2156">
        <w:rPr>
          <w:rFonts w:eastAsiaTheme="minorEastAsia"/>
          <w:color w:val="000000" w:themeColor="text1"/>
        </w:rPr>
        <w:t>a</w:t>
      </w:r>
      <w:r w:rsidRPr="00BC2156">
        <w:rPr>
          <w:rFonts w:eastAsiaTheme="minorEastAsia"/>
          <w:b w:val="0"/>
          <w:color w:val="000000" w:themeColor="text1"/>
        </w:rPr>
        <w:t>) Expression level of NUDCD1 in different pathological stages of KICH, KIRP, LIHC, LUAD, SKCM and UCS from GEPIA2. (</w:t>
      </w:r>
      <w:r w:rsidR="00062D71" w:rsidRPr="00BC2156">
        <w:rPr>
          <w:rFonts w:eastAsiaTheme="minorEastAsia"/>
          <w:color w:val="000000" w:themeColor="text1"/>
        </w:rPr>
        <w:t>b</w:t>
      </w:r>
      <w:r w:rsidRPr="00BC2156">
        <w:rPr>
          <w:rFonts w:eastAsiaTheme="minorEastAsia"/>
          <w:b w:val="0"/>
          <w:color w:val="000000" w:themeColor="text1"/>
        </w:rPr>
        <w:t>) Expression level of NUDCD1 in different pathological stages of multiple cancers from TISIDB. (</w:t>
      </w:r>
      <w:r w:rsidR="00062D71" w:rsidRPr="00BC2156">
        <w:rPr>
          <w:rFonts w:eastAsiaTheme="minorEastAsia"/>
          <w:color w:val="000000" w:themeColor="text1"/>
        </w:rPr>
        <w:t>c</w:t>
      </w:r>
      <w:r w:rsidRPr="00BC2156">
        <w:rPr>
          <w:rFonts w:eastAsiaTheme="minorEastAsia"/>
          <w:b w:val="0"/>
          <w:color w:val="000000" w:themeColor="text1"/>
        </w:rPr>
        <w:t>) The difference of NUDCD1 mRNA expression between stages in the specific cancers from GSCA. (</w:t>
      </w:r>
      <w:r w:rsidR="00062D71" w:rsidRPr="00BC2156">
        <w:rPr>
          <w:rFonts w:eastAsiaTheme="minorEastAsia"/>
          <w:color w:val="000000" w:themeColor="text1"/>
        </w:rPr>
        <w:t>d</w:t>
      </w:r>
      <w:r w:rsidRPr="00BC2156">
        <w:rPr>
          <w:rFonts w:eastAsiaTheme="minorEastAsia"/>
          <w:b w:val="0"/>
          <w:color w:val="000000" w:themeColor="text1"/>
        </w:rPr>
        <w:t xml:space="preserve">) Wayne diagram shows the cancers whose tumor stage associated with NUDCD1, data from GEPIA2, TISIDB and GSCA. </w:t>
      </w:r>
    </w:p>
    <w:p w:rsidR="00F379AD" w:rsidRPr="00BC2156" w:rsidRDefault="00F379AD" w:rsidP="00F379AD">
      <w:pPr>
        <w:pStyle w:val="1"/>
        <w:numPr>
          <w:ilvl w:val="0"/>
          <w:numId w:val="0"/>
        </w:numPr>
        <w:adjustRightInd w:val="0"/>
        <w:snapToGrid w:val="0"/>
        <w:spacing w:before="100" w:beforeAutospacing="1" w:after="0" w:line="360" w:lineRule="auto"/>
        <w:jc w:val="both"/>
        <w:rPr>
          <w:rFonts w:eastAsiaTheme="minorEastAsia"/>
          <w:b w:val="0"/>
          <w:color w:val="000000" w:themeColor="text1"/>
        </w:rPr>
      </w:pPr>
      <w:r w:rsidRPr="00BC2156">
        <w:rPr>
          <w:rFonts w:eastAsiaTheme="minorEastAsia"/>
          <w:color w:val="000000" w:themeColor="text1"/>
        </w:rPr>
        <w:t>Figure S5.</w:t>
      </w:r>
      <w:r w:rsidRPr="00BC2156">
        <w:rPr>
          <w:rFonts w:eastAsiaTheme="minorEastAsia"/>
          <w:b w:val="0"/>
          <w:color w:val="000000" w:themeColor="text1"/>
        </w:rPr>
        <w:t xml:space="preserve"> NUDCD1 mRNA expression in different cancer subtypes and grades. (</w:t>
      </w:r>
      <w:r w:rsidR="00062D71" w:rsidRPr="00BC2156">
        <w:rPr>
          <w:rFonts w:eastAsiaTheme="minorEastAsia"/>
          <w:color w:val="000000" w:themeColor="text1"/>
        </w:rPr>
        <w:t>a</w:t>
      </w:r>
      <w:r w:rsidRPr="00BC2156">
        <w:rPr>
          <w:rFonts w:eastAsiaTheme="minorEastAsia"/>
          <w:b w:val="0"/>
          <w:color w:val="000000" w:themeColor="text1"/>
        </w:rPr>
        <w:t>) NUDCD1 mRNA expression between tumor and normal in multiple cancers. (data from GSCA). Associations between NUDCD1 expression and immune subtypes (</w:t>
      </w:r>
      <w:r w:rsidR="00062D71" w:rsidRPr="00BC2156">
        <w:rPr>
          <w:rFonts w:eastAsiaTheme="minorEastAsia"/>
          <w:color w:val="000000" w:themeColor="text1"/>
        </w:rPr>
        <w:t>b</w:t>
      </w:r>
      <w:r w:rsidRPr="00BC2156">
        <w:rPr>
          <w:rFonts w:eastAsiaTheme="minorEastAsia"/>
          <w:b w:val="0"/>
          <w:color w:val="000000" w:themeColor="text1"/>
        </w:rPr>
        <w:t>), molecular subtypes (</w:t>
      </w:r>
      <w:r w:rsidR="00062D71" w:rsidRPr="00BC2156">
        <w:rPr>
          <w:rFonts w:eastAsiaTheme="minorEastAsia"/>
          <w:color w:val="000000" w:themeColor="text1"/>
        </w:rPr>
        <w:t>c</w:t>
      </w:r>
      <w:r w:rsidRPr="00BC2156">
        <w:rPr>
          <w:rFonts w:eastAsiaTheme="minorEastAsia"/>
          <w:b w:val="0"/>
          <w:color w:val="000000" w:themeColor="text1"/>
        </w:rPr>
        <w:t>) across human cancer (data from TISIDB). (</w:t>
      </w:r>
      <w:r w:rsidR="00062D71" w:rsidRPr="00BC2156">
        <w:rPr>
          <w:rFonts w:eastAsiaTheme="minorEastAsia"/>
          <w:color w:val="000000" w:themeColor="text1"/>
        </w:rPr>
        <w:t>d</w:t>
      </w:r>
      <w:r w:rsidRPr="00BC2156">
        <w:rPr>
          <w:rFonts w:eastAsiaTheme="minorEastAsia"/>
          <w:b w:val="0"/>
          <w:color w:val="000000" w:themeColor="text1"/>
        </w:rPr>
        <w:t>) Associations between subtypes and NUDCD1 expression across human cancers. (</w:t>
      </w:r>
      <w:r w:rsidR="00062D71" w:rsidRPr="00BC2156">
        <w:rPr>
          <w:rFonts w:eastAsiaTheme="minorEastAsia"/>
          <w:color w:val="000000" w:themeColor="text1"/>
        </w:rPr>
        <w:t>e</w:t>
      </w:r>
      <w:r w:rsidRPr="00BC2156">
        <w:rPr>
          <w:rFonts w:eastAsiaTheme="minorEastAsia"/>
          <w:b w:val="0"/>
          <w:color w:val="000000" w:themeColor="text1"/>
        </w:rPr>
        <w:t>) Associations between NUDCD1 expression and grades across human cancers.</w:t>
      </w:r>
    </w:p>
    <w:p w:rsidR="00F379AD" w:rsidRPr="00BC2156" w:rsidRDefault="00F379AD" w:rsidP="00F379AD">
      <w:pPr>
        <w:pStyle w:val="1"/>
        <w:numPr>
          <w:ilvl w:val="0"/>
          <w:numId w:val="0"/>
        </w:numPr>
        <w:adjustRightInd w:val="0"/>
        <w:snapToGrid w:val="0"/>
        <w:spacing w:before="100" w:beforeAutospacing="1" w:after="0" w:line="360" w:lineRule="auto"/>
        <w:jc w:val="both"/>
        <w:rPr>
          <w:rFonts w:eastAsiaTheme="minorEastAsia"/>
          <w:b w:val="0"/>
          <w:color w:val="000000" w:themeColor="text1"/>
        </w:rPr>
      </w:pPr>
      <w:r w:rsidRPr="00BC2156">
        <w:rPr>
          <w:rFonts w:eastAsiaTheme="minorEastAsia"/>
          <w:color w:val="000000" w:themeColor="text1"/>
        </w:rPr>
        <w:t>Figure S6.</w:t>
      </w:r>
      <w:r w:rsidRPr="00BC2156">
        <w:rPr>
          <w:rFonts w:eastAsiaTheme="minorEastAsia"/>
          <w:b w:val="0"/>
          <w:color w:val="000000" w:themeColor="text1"/>
        </w:rPr>
        <w:t xml:space="preserve"> The protein expression and prognostic analysis for NUDCD1 in LUAD, BRCA and SARC. (</w:t>
      </w:r>
      <w:r w:rsidR="00062D71" w:rsidRPr="00BC2156">
        <w:rPr>
          <w:rFonts w:eastAsiaTheme="minorEastAsia"/>
          <w:color w:val="000000" w:themeColor="text1"/>
        </w:rPr>
        <w:t>a</w:t>
      </w:r>
      <w:r w:rsidRPr="00BC2156">
        <w:rPr>
          <w:rFonts w:eastAsiaTheme="minorEastAsia"/>
          <w:b w:val="0"/>
          <w:color w:val="000000" w:themeColor="text1"/>
        </w:rPr>
        <w:t>) The IHC images of NUDCD1 in normal breast tissues, normal lung tissues, normal liver tissues, and breast cancer tissues, lung cancer tissues, liver cancer tissues. Prognostic analysis of NUDCD1 signature in LUAD (</w:t>
      </w:r>
      <w:r w:rsidR="00062D71" w:rsidRPr="00BC2156">
        <w:rPr>
          <w:rFonts w:eastAsiaTheme="minorEastAsia"/>
          <w:color w:val="000000" w:themeColor="text1"/>
        </w:rPr>
        <w:t>b</w:t>
      </w:r>
      <w:r w:rsidRPr="00BC2156">
        <w:rPr>
          <w:rFonts w:eastAsiaTheme="minorEastAsia"/>
          <w:b w:val="0"/>
          <w:color w:val="000000" w:themeColor="text1"/>
        </w:rPr>
        <w:t>), BRCA (</w:t>
      </w:r>
      <w:r w:rsidR="00062D71" w:rsidRPr="00BC2156">
        <w:rPr>
          <w:rFonts w:eastAsiaTheme="minorEastAsia"/>
          <w:color w:val="000000" w:themeColor="text1"/>
        </w:rPr>
        <w:t>c</w:t>
      </w:r>
      <w:r w:rsidRPr="00BC2156">
        <w:rPr>
          <w:rFonts w:eastAsiaTheme="minorEastAsia"/>
          <w:b w:val="0"/>
          <w:color w:val="000000" w:themeColor="text1"/>
        </w:rPr>
        <w:t>) and SARC (</w:t>
      </w:r>
      <w:r w:rsidR="00062D71" w:rsidRPr="00BC2156">
        <w:rPr>
          <w:rFonts w:eastAsiaTheme="minorEastAsia"/>
          <w:color w:val="000000" w:themeColor="text1"/>
        </w:rPr>
        <w:t>d</w:t>
      </w:r>
      <w:r w:rsidRPr="00BC2156">
        <w:rPr>
          <w:rFonts w:eastAsiaTheme="minorEastAsia"/>
          <w:b w:val="0"/>
          <w:color w:val="000000" w:themeColor="text1"/>
        </w:rPr>
        <w:t>) (data from www.aclbi.com).</w:t>
      </w:r>
    </w:p>
    <w:p w:rsidR="00F379AD" w:rsidRPr="00BC2156" w:rsidRDefault="00F379AD" w:rsidP="00F379AD">
      <w:pPr>
        <w:pStyle w:val="1"/>
        <w:numPr>
          <w:ilvl w:val="0"/>
          <w:numId w:val="0"/>
        </w:numPr>
        <w:adjustRightInd w:val="0"/>
        <w:snapToGrid w:val="0"/>
        <w:spacing w:before="100" w:beforeAutospacing="1" w:after="0" w:line="360" w:lineRule="auto"/>
        <w:jc w:val="both"/>
        <w:rPr>
          <w:rFonts w:eastAsiaTheme="minorEastAsia"/>
          <w:b w:val="0"/>
          <w:color w:val="000000" w:themeColor="text1"/>
        </w:rPr>
      </w:pPr>
      <w:r w:rsidRPr="00BC2156">
        <w:rPr>
          <w:rFonts w:eastAsiaTheme="minorEastAsia"/>
          <w:color w:val="000000" w:themeColor="text1"/>
        </w:rPr>
        <w:t>Figure S7.</w:t>
      </w:r>
      <w:r w:rsidRPr="00BC2156">
        <w:rPr>
          <w:rFonts w:eastAsiaTheme="minorEastAsia"/>
          <w:b w:val="0"/>
          <w:color w:val="000000" w:themeColor="text1"/>
        </w:rPr>
        <w:t xml:space="preserve"> Associations between NUDCD1 expression and DFS, RFS, DSS, DFI and PFS. (</w:t>
      </w:r>
      <w:r w:rsidR="00062D71" w:rsidRPr="00BC2156">
        <w:rPr>
          <w:rFonts w:eastAsiaTheme="minorEastAsia"/>
          <w:color w:val="000000" w:themeColor="text1"/>
        </w:rPr>
        <w:t>a</w:t>
      </w:r>
      <w:r w:rsidRPr="00BC2156">
        <w:rPr>
          <w:rFonts w:eastAsiaTheme="minorEastAsia"/>
          <w:b w:val="0"/>
          <w:color w:val="000000" w:themeColor="text1"/>
        </w:rPr>
        <w:t>) Associations between NUDCD1 expression and disease free s</w:t>
      </w:r>
      <w:bookmarkStart w:id="0" w:name="_GoBack"/>
      <w:bookmarkEnd w:id="0"/>
      <w:r w:rsidRPr="00BC2156">
        <w:rPr>
          <w:rFonts w:eastAsiaTheme="minorEastAsia"/>
          <w:b w:val="0"/>
          <w:color w:val="000000" w:themeColor="text1"/>
        </w:rPr>
        <w:t>urvival (DFS) in human cancers from GEPIA2. (</w:t>
      </w:r>
      <w:r w:rsidR="00062D71" w:rsidRPr="00BC2156">
        <w:rPr>
          <w:rFonts w:eastAsiaTheme="minorEastAsia"/>
          <w:color w:val="000000" w:themeColor="text1"/>
        </w:rPr>
        <w:t>b</w:t>
      </w:r>
      <w:r w:rsidRPr="00BC2156">
        <w:rPr>
          <w:rFonts w:eastAsiaTheme="minorEastAsia"/>
          <w:b w:val="0"/>
          <w:color w:val="000000" w:themeColor="text1"/>
        </w:rPr>
        <w:t>) Associations between NUDCD1 expression and relapse-free survival (RFS) in human cancers from KM plot. (</w:t>
      </w:r>
      <w:r w:rsidR="00062D71" w:rsidRPr="00BC2156">
        <w:rPr>
          <w:rFonts w:eastAsiaTheme="minorEastAsia"/>
          <w:color w:val="000000" w:themeColor="text1"/>
        </w:rPr>
        <w:t>c</w:t>
      </w:r>
      <w:r w:rsidRPr="00BC2156">
        <w:rPr>
          <w:rFonts w:eastAsiaTheme="minorEastAsia"/>
          <w:b w:val="0"/>
          <w:color w:val="000000" w:themeColor="text1"/>
        </w:rPr>
        <w:t xml:space="preserve">) DSS, DFI and PFS of NUDCD1 expression in human cancers (data from GSCA). </w:t>
      </w:r>
    </w:p>
    <w:p w:rsidR="00F379AD" w:rsidRPr="00BC2156" w:rsidRDefault="00F379AD" w:rsidP="00F379AD">
      <w:pPr>
        <w:pStyle w:val="1"/>
        <w:numPr>
          <w:ilvl w:val="0"/>
          <w:numId w:val="0"/>
        </w:numPr>
        <w:adjustRightInd w:val="0"/>
        <w:snapToGrid w:val="0"/>
        <w:spacing w:before="100" w:beforeAutospacing="1" w:after="0" w:line="360" w:lineRule="auto"/>
        <w:jc w:val="both"/>
        <w:rPr>
          <w:rFonts w:eastAsiaTheme="minorEastAsia"/>
          <w:b w:val="0"/>
          <w:color w:val="000000" w:themeColor="text1"/>
        </w:rPr>
      </w:pPr>
      <w:r w:rsidRPr="00BC2156">
        <w:rPr>
          <w:rFonts w:eastAsiaTheme="minorEastAsia"/>
          <w:color w:val="000000" w:themeColor="text1"/>
        </w:rPr>
        <w:t>Figure S8.</w:t>
      </w:r>
      <w:r w:rsidRPr="00BC2156">
        <w:rPr>
          <w:rFonts w:eastAsiaTheme="minorEastAsia"/>
          <w:b w:val="0"/>
          <w:color w:val="000000" w:themeColor="text1"/>
        </w:rPr>
        <w:t xml:space="preserve"> SNV and CNV features of NUDCD1 in different tumors. (</w:t>
      </w:r>
      <w:r w:rsidR="00062D71" w:rsidRPr="00BC2156">
        <w:rPr>
          <w:rFonts w:eastAsiaTheme="minorEastAsia"/>
          <w:color w:val="000000" w:themeColor="text1"/>
        </w:rPr>
        <w:t>a</w:t>
      </w:r>
      <w:r w:rsidRPr="00BC2156">
        <w:rPr>
          <w:rFonts w:eastAsiaTheme="minorEastAsia"/>
          <w:b w:val="0"/>
          <w:color w:val="000000" w:themeColor="text1"/>
        </w:rPr>
        <w:t>) Disease-specific survival and overall survival between mutant and wide type of NUDCD1 in human cancers (data from cBioPortal). (</w:t>
      </w:r>
      <w:r w:rsidR="00062D71" w:rsidRPr="00BC2156">
        <w:rPr>
          <w:rFonts w:eastAsiaTheme="minorEastAsia"/>
          <w:color w:val="000000" w:themeColor="text1"/>
        </w:rPr>
        <w:t>b</w:t>
      </w:r>
      <w:r w:rsidRPr="00BC2156">
        <w:rPr>
          <w:rFonts w:eastAsiaTheme="minorEastAsia"/>
          <w:b w:val="0"/>
          <w:color w:val="000000" w:themeColor="text1"/>
        </w:rPr>
        <w:t>) SNV classes of NUDCD1 in the each cancers (data from GSCA). The profile of heterozygous CNV (</w:t>
      </w:r>
      <w:r w:rsidR="00062D71" w:rsidRPr="00BC2156">
        <w:rPr>
          <w:rFonts w:eastAsiaTheme="minorEastAsia"/>
          <w:color w:val="000000" w:themeColor="text1"/>
        </w:rPr>
        <w:t>c</w:t>
      </w:r>
      <w:r w:rsidRPr="00BC2156">
        <w:rPr>
          <w:rFonts w:eastAsiaTheme="minorEastAsia"/>
          <w:b w:val="0"/>
          <w:color w:val="000000" w:themeColor="text1"/>
        </w:rPr>
        <w:t>) and homozygous CNV (</w:t>
      </w:r>
      <w:r w:rsidR="00062D71" w:rsidRPr="00BC2156">
        <w:rPr>
          <w:rFonts w:eastAsiaTheme="minorEastAsia"/>
          <w:color w:val="000000" w:themeColor="text1"/>
        </w:rPr>
        <w:t>d</w:t>
      </w:r>
      <w:r w:rsidRPr="00BC2156">
        <w:rPr>
          <w:rFonts w:eastAsiaTheme="minorEastAsia"/>
          <w:b w:val="0"/>
          <w:color w:val="000000" w:themeColor="text1"/>
        </w:rPr>
        <w:t>) of NUDCD1 in each cancers (data from GSCA). (</w:t>
      </w:r>
      <w:r w:rsidR="00062D71" w:rsidRPr="00BC2156">
        <w:rPr>
          <w:rFonts w:eastAsiaTheme="minorEastAsia"/>
          <w:color w:val="000000" w:themeColor="text1"/>
        </w:rPr>
        <w:t>e</w:t>
      </w:r>
      <w:r w:rsidRPr="00BC2156">
        <w:rPr>
          <w:rFonts w:eastAsiaTheme="minorEastAsia"/>
          <w:b w:val="0"/>
          <w:color w:val="000000" w:themeColor="text1"/>
        </w:rPr>
        <w:t>) The correlations between CNV and NUDCD1 mRNA expression in each cancers (data from GSCA).</w:t>
      </w:r>
    </w:p>
    <w:p w:rsidR="00F379AD" w:rsidRPr="00BC2156" w:rsidRDefault="00F379AD" w:rsidP="00F379AD">
      <w:pPr>
        <w:pStyle w:val="1"/>
        <w:numPr>
          <w:ilvl w:val="0"/>
          <w:numId w:val="0"/>
        </w:numPr>
        <w:adjustRightInd w:val="0"/>
        <w:snapToGrid w:val="0"/>
        <w:spacing w:before="100" w:beforeAutospacing="1" w:after="0" w:line="360" w:lineRule="auto"/>
        <w:jc w:val="both"/>
        <w:rPr>
          <w:rFonts w:eastAsiaTheme="minorEastAsia"/>
          <w:b w:val="0"/>
          <w:color w:val="000000" w:themeColor="text1"/>
        </w:rPr>
      </w:pPr>
      <w:r w:rsidRPr="00BC2156">
        <w:rPr>
          <w:rFonts w:eastAsiaTheme="minorEastAsia"/>
          <w:color w:val="000000" w:themeColor="text1"/>
        </w:rPr>
        <w:t>Figure S9.</w:t>
      </w:r>
      <w:r w:rsidRPr="00BC2156">
        <w:rPr>
          <w:rFonts w:eastAsiaTheme="minorEastAsia"/>
          <w:b w:val="0"/>
          <w:color w:val="000000" w:themeColor="text1"/>
        </w:rPr>
        <w:t xml:space="preserve"> The visualization of NUDCD1 expression, methylation and clinical data, as well as the relationships between them in SARC (</w:t>
      </w:r>
      <w:r w:rsidR="00062D71" w:rsidRPr="00BC2156">
        <w:rPr>
          <w:rFonts w:eastAsiaTheme="minorEastAsia"/>
          <w:color w:val="000000" w:themeColor="text1"/>
        </w:rPr>
        <w:t>a</w:t>
      </w:r>
      <w:r w:rsidRPr="00BC2156">
        <w:rPr>
          <w:rFonts w:eastAsiaTheme="minorEastAsia"/>
          <w:b w:val="0"/>
          <w:color w:val="000000" w:themeColor="text1"/>
        </w:rPr>
        <w:t>), UNM (</w:t>
      </w:r>
      <w:r w:rsidR="00062D71" w:rsidRPr="00BC2156">
        <w:rPr>
          <w:rFonts w:eastAsiaTheme="minorEastAsia"/>
          <w:color w:val="000000" w:themeColor="text1"/>
        </w:rPr>
        <w:t>b</w:t>
      </w:r>
      <w:r w:rsidRPr="00BC2156">
        <w:rPr>
          <w:rFonts w:eastAsiaTheme="minorEastAsia"/>
          <w:b w:val="0"/>
          <w:color w:val="000000" w:themeColor="text1"/>
        </w:rPr>
        <w:t>) and KICH (</w:t>
      </w:r>
      <w:r w:rsidR="00062D71" w:rsidRPr="00BC2156">
        <w:rPr>
          <w:rFonts w:eastAsiaTheme="minorEastAsia"/>
          <w:color w:val="000000" w:themeColor="text1"/>
        </w:rPr>
        <w:t>c</w:t>
      </w:r>
      <w:r w:rsidRPr="00BC2156">
        <w:rPr>
          <w:rFonts w:eastAsiaTheme="minorEastAsia"/>
          <w:b w:val="0"/>
          <w:color w:val="000000" w:themeColor="text1"/>
        </w:rPr>
        <w:t>), Data provided by MEXPRESS (https://mexpress.be/).</w:t>
      </w:r>
    </w:p>
    <w:p w:rsidR="00F379AD" w:rsidRPr="00BC2156" w:rsidRDefault="00F379AD" w:rsidP="00F379AD">
      <w:pPr>
        <w:pStyle w:val="1"/>
        <w:numPr>
          <w:ilvl w:val="0"/>
          <w:numId w:val="0"/>
        </w:numPr>
        <w:adjustRightInd w:val="0"/>
        <w:snapToGrid w:val="0"/>
        <w:spacing w:before="100" w:beforeAutospacing="1" w:after="0" w:line="360" w:lineRule="auto"/>
        <w:jc w:val="both"/>
        <w:rPr>
          <w:rFonts w:eastAsiaTheme="minorEastAsia"/>
          <w:b w:val="0"/>
          <w:color w:val="000000" w:themeColor="text1"/>
        </w:rPr>
      </w:pPr>
      <w:r w:rsidRPr="00BC2156">
        <w:rPr>
          <w:rFonts w:eastAsiaTheme="minorEastAsia"/>
          <w:color w:val="000000" w:themeColor="text1"/>
        </w:rPr>
        <w:t xml:space="preserve">Figure S10. </w:t>
      </w:r>
      <w:r w:rsidRPr="00BC2156">
        <w:rPr>
          <w:rFonts w:eastAsiaTheme="minorEastAsia"/>
          <w:b w:val="0"/>
          <w:color w:val="000000" w:themeColor="text1"/>
        </w:rPr>
        <w:t>The scatterplot data between immune infiltration and NUDCD1 (expression, methylation, SNV, CNV), obtained from GSCA. (</w:t>
      </w:r>
      <w:r w:rsidR="00062D71" w:rsidRPr="00BC2156">
        <w:rPr>
          <w:rFonts w:eastAsiaTheme="minorEastAsia"/>
          <w:color w:val="000000" w:themeColor="text1"/>
        </w:rPr>
        <w:t>a</w:t>
      </w:r>
      <w:r w:rsidRPr="00BC2156">
        <w:rPr>
          <w:rFonts w:eastAsiaTheme="minorEastAsia"/>
          <w:b w:val="0"/>
          <w:color w:val="000000" w:themeColor="text1"/>
        </w:rPr>
        <w:t>) Negative correlation between NUDCD1 expression and immune infiltration in the specific cancers (top 5).  (</w:t>
      </w:r>
      <w:r w:rsidR="00062D71" w:rsidRPr="00BC2156">
        <w:rPr>
          <w:rFonts w:eastAsiaTheme="minorEastAsia"/>
          <w:color w:val="000000" w:themeColor="text1"/>
        </w:rPr>
        <w:t>b</w:t>
      </w:r>
      <w:r w:rsidRPr="00BC2156">
        <w:rPr>
          <w:rFonts w:eastAsiaTheme="minorEastAsia"/>
          <w:b w:val="0"/>
          <w:color w:val="000000" w:themeColor="text1"/>
        </w:rPr>
        <w:t>) Positive correlation between NUDCD1 expression and immune infiltration in the specific cancers (top 5). (</w:t>
      </w:r>
      <w:r w:rsidR="00062D71" w:rsidRPr="00BC2156">
        <w:rPr>
          <w:rFonts w:eastAsiaTheme="minorEastAsia"/>
          <w:color w:val="000000" w:themeColor="text1"/>
        </w:rPr>
        <w:t>c</w:t>
      </w:r>
      <w:r w:rsidRPr="00BC2156">
        <w:rPr>
          <w:rFonts w:eastAsiaTheme="minorEastAsia"/>
          <w:b w:val="0"/>
          <w:color w:val="000000" w:themeColor="text1"/>
        </w:rPr>
        <w:t>) Negative correlation between NUDCD1 methylation and immune infiltration in the specific cancers (top 5). (</w:t>
      </w:r>
      <w:r w:rsidR="00062D71" w:rsidRPr="00BC2156">
        <w:rPr>
          <w:rFonts w:eastAsiaTheme="minorEastAsia"/>
          <w:color w:val="000000" w:themeColor="text1"/>
        </w:rPr>
        <w:t>d</w:t>
      </w:r>
      <w:r w:rsidRPr="00BC2156">
        <w:rPr>
          <w:rFonts w:eastAsiaTheme="minorEastAsia"/>
          <w:b w:val="0"/>
          <w:color w:val="000000" w:themeColor="text1"/>
        </w:rPr>
        <w:t>) Positive correlation between NUDCD1 methylation and immune infiltration in the specific cancers (top 5). (</w:t>
      </w:r>
      <w:r w:rsidR="00062D71" w:rsidRPr="00BC2156">
        <w:rPr>
          <w:rFonts w:eastAsiaTheme="minorEastAsia"/>
          <w:color w:val="000000" w:themeColor="text1"/>
        </w:rPr>
        <w:t>e</w:t>
      </w:r>
      <w:r w:rsidRPr="00BC2156">
        <w:rPr>
          <w:rFonts w:eastAsiaTheme="minorEastAsia"/>
          <w:b w:val="0"/>
          <w:color w:val="000000" w:themeColor="text1"/>
        </w:rPr>
        <w:t>) The difference of immune infiltration between mutant and wide type of NUDCD1 in the specific cancers. (</w:t>
      </w:r>
      <w:r w:rsidR="00062D71" w:rsidRPr="00BC2156">
        <w:rPr>
          <w:rFonts w:eastAsiaTheme="minorEastAsia"/>
          <w:color w:val="000000" w:themeColor="text1"/>
        </w:rPr>
        <w:t>f</w:t>
      </w:r>
      <w:r w:rsidRPr="00BC2156">
        <w:rPr>
          <w:rFonts w:eastAsiaTheme="minorEastAsia"/>
          <w:b w:val="0"/>
          <w:color w:val="000000" w:themeColor="text1"/>
        </w:rPr>
        <w:t>) Negative correlation between CNV of NUDCD1 and immune infiltration in the specific cancers (top 5). (</w:t>
      </w:r>
      <w:r w:rsidR="00062D71" w:rsidRPr="00BC2156">
        <w:rPr>
          <w:rFonts w:eastAsiaTheme="minorEastAsia"/>
          <w:color w:val="000000" w:themeColor="text1"/>
        </w:rPr>
        <w:t>g</w:t>
      </w:r>
      <w:r w:rsidR="00062D71" w:rsidRPr="00BC2156">
        <w:rPr>
          <w:rFonts w:eastAsiaTheme="minorEastAsia"/>
          <w:b w:val="0"/>
          <w:color w:val="000000" w:themeColor="text1"/>
        </w:rPr>
        <w:t xml:space="preserve">) </w:t>
      </w:r>
      <w:r w:rsidRPr="00BC2156">
        <w:rPr>
          <w:rFonts w:eastAsiaTheme="minorEastAsia"/>
          <w:b w:val="0"/>
          <w:color w:val="000000" w:themeColor="text1"/>
        </w:rPr>
        <w:t>Positive correlation between CNV of NUDCD1 and immune infiltration in the specific cancers (top 5).</w:t>
      </w:r>
    </w:p>
    <w:p w:rsidR="00F379AD" w:rsidRPr="00BC2156" w:rsidRDefault="00F379AD" w:rsidP="00F379AD">
      <w:pPr>
        <w:pStyle w:val="1"/>
        <w:numPr>
          <w:ilvl w:val="0"/>
          <w:numId w:val="0"/>
        </w:numPr>
        <w:adjustRightInd w:val="0"/>
        <w:snapToGrid w:val="0"/>
        <w:spacing w:before="100" w:beforeAutospacing="1" w:after="0" w:line="360" w:lineRule="auto"/>
        <w:jc w:val="both"/>
        <w:rPr>
          <w:rFonts w:eastAsiaTheme="minorEastAsia"/>
          <w:b w:val="0"/>
          <w:color w:val="000000" w:themeColor="text1"/>
        </w:rPr>
      </w:pPr>
      <w:r w:rsidRPr="00BC2156">
        <w:rPr>
          <w:rFonts w:eastAsiaTheme="minorEastAsia"/>
          <w:color w:val="000000" w:themeColor="text1"/>
        </w:rPr>
        <w:t>Figure S11.</w:t>
      </w:r>
      <w:r w:rsidRPr="00BC2156">
        <w:rPr>
          <w:rFonts w:eastAsiaTheme="minorEastAsia"/>
          <w:b w:val="0"/>
          <w:color w:val="000000" w:themeColor="text1"/>
        </w:rPr>
        <w:t xml:space="preserve"> Enrichment plot of NUDCD1-related gene set in the detailed cancer types and protein-protein interaction (PPI) analysis for NUDCD1-related partners. (</w:t>
      </w:r>
      <w:r w:rsidR="00062D71" w:rsidRPr="00BC2156">
        <w:rPr>
          <w:rFonts w:eastAsiaTheme="minorEastAsia"/>
          <w:color w:val="000000" w:themeColor="text1"/>
        </w:rPr>
        <w:t>a</w:t>
      </w:r>
      <w:r w:rsidRPr="00BC2156">
        <w:rPr>
          <w:rFonts w:eastAsiaTheme="minorEastAsia"/>
          <w:b w:val="0"/>
          <w:color w:val="000000" w:themeColor="text1"/>
        </w:rPr>
        <w:t>) PPI enrichment analysis of NUDCD1-related gene set. (</w:t>
      </w:r>
      <w:r w:rsidR="00062D71" w:rsidRPr="00BC2156">
        <w:rPr>
          <w:rFonts w:eastAsiaTheme="minorEastAsia"/>
          <w:color w:val="000000" w:themeColor="text1"/>
        </w:rPr>
        <w:t>b</w:t>
      </w:r>
      <w:r w:rsidRPr="00BC2156">
        <w:rPr>
          <w:rFonts w:eastAsiaTheme="minorEastAsia"/>
          <w:b w:val="0"/>
          <w:color w:val="000000" w:themeColor="text1"/>
        </w:rPr>
        <w:t>) Molecular Complex Detection (MCODE) algorithm components identified in the NUDCD1-related gene set. (</w:t>
      </w:r>
      <w:r w:rsidR="00062D71" w:rsidRPr="00BC2156">
        <w:rPr>
          <w:rFonts w:eastAsiaTheme="minorEastAsia"/>
          <w:color w:val="000000" w:themeColor="text1"/>
        </w:rPr>
        <w:t>c</w:t>
      </w:r>
      <w:r w:rsidRPr="00BC2156">
        <w:rPr>
          <w:rFonts w:eastAsiaTheme="minorEastAsia"/>
          <w:b w:val="0"/>
          <w:color w:val="000000" w:themeColor="text1"/>
        </w:rPr>
        <w:t>) Enrichment plot of NUDCD1-related gene set in the detailed cancer types (data from GSCA).</w:t>
      </w:r>
    </w:p>
    <w:p w:rsidR="00F379AD" w:rsidRPr="00BC2156" w:rsidRDefault="00F379AD" w:rsidP="00F379AD">
      <w:pPr>
        <w:pStyle w:val="1"/>
        <w:numPr>
          <w:ilvl w:val="0"/>
          <w:numId w:val="0"/>
        </w:numPr>
        <w:adjustRightInd w:val="0"/>
        <w:snapToGrid w:val="0"/>
        <w:spacing w:before="100" w:beforeAutospacing="1" w:after="0" w:line="360" w:lineRule="auto"/>
        <w:jc w:val="both"/>
        <w:rPr>
          <w:rFonts w:eastAsiaTheme="minorEastAsia"/>
          <w:b w:val="0"/>
          <w:color w:val="000000" w:themeColor="text1"/>
        </w:rPr>
      </w:pPr>
      <w:r w:rsidRPr="00BC2156">
        <w:rPr>
          <w:rFonts w:eastAsiaTheme="minorEastAsia"/>
          <w:color w:val="000000" w:themeColor="text1"/>
        </w:rPr>
        <w:t>Figure S12.</w:t>
      </w:r>
      <w:r w:rsidRPr="00BC2156">
        <w:rPr>
          <w:rFonts w:eastAsiaTheme="minorEastAsia"/>
          <w:b w:val="0"/>
          <w:color w:val="000000" w:themeColor="text1"/>
        </w:rPr>
        <w:t xml:space="preserve"> GSVA score, immune infiltration, drugs sensitivity analysis for NUDCD1-related genes, obtained from GSCA. (</w:t>
      </w:r>
      <w:r w:rsidR="00062D71" w:rsidRPr="00BC2156">
        <w:rPr>
          <w:rFonts w:eastAsiaTheme="minorEastAsia"/>
          <w:color w:val="000000" w:themeColor="text1"/>
        </w:rPr>
        <w:t>a</w:t>
      </w:r>
      <w:r w:rsidRPr="00BC2156">
        <w:rPr>
          <w:rFonts w:eastAsiaTheme="minorEastAsia"/>
          <w:b w:val="0"/>
          <w:color w:val="000000" w:themeColor="text1"/>
        </w:rPr>
        <w:t>) GSVA score of NUDCD1-related genes in subtypes of the detailed cancers. (</w:t>
      </w:r>
      <w:r w:rsidR="00062D71" w:rsidRPr="00BC2156">
        <w:rPr>
          <w:rFonts w:eastAsiaTheme="minorEastAsia"/>
          <w:color w:val="000000" w:themeColor="text1"/>
        </w:rPr>
        <w:t>b</w:t>
      </w:r>
      <w:r w:rsidRPr="00BC2156">
        <w:rPr>
          <w:rFonts w:eastAsiaTheme="minorEastAsia"/>
          <w:b w:val="0"/>
          <w:color w:val="000000" w:themeColor="text1"/>
        </w:rPr>
        <w:t>) Figure summarizes the association between GSVA score of NUDCD1-related genes and immune cell infiltrates in detailed cancers. (</w:t>
      </w:r>
      <w:r w:rsidR="00062D71" w:rsidRPr="00BC2156">
        <w:rPr>
          <w:rFonts w:eastAsiaTheme="minorEastAsia"/>
          <w:color w:val="000000" w:themeColor="text1"/>
        </w:rPr>
        <w:t>c</w:t>
      </w:r>
      <w:r w:rsidRPr="00BC2156">
        <w:rPr>
          <w:rFonts w:eastAsiaTheme="minorEastAsia"/>
          <w:b w:val="0"/>
          <w:color w:val="000000" w:themeColor="text1"/>
        </w:rPr>
        <w:t>) Figure summarizes the difference of immune infiltration between NUDCD1-related genes SNV groups. (</w:t>
      </w:r>
      <w:r w:rsidR="00062D71" w:rsidRPr="00BC2156">
        <w:rPr>
          <w:rFonts w:eastAsiaTheme="minorEastAsia"/>
          <w:color w:val="000000" w:themeColor="text1"/>
        </w:rPr>
        <w:t>d</w:t>
      </w:r>
      <w:r w:rsidRPr="00BC2156">
        <w:rPr>
          <w:rFonts w:eastAsiaTheme="minorEastAsia"/>
          <w:b w:val="0"/>
          <w:color w:val="000000" w:themeColor="text1"/>
        </w:rPr>
        <w:t>) Figure summarizes the correlation between the expression of NUDCD1-related genes and the sensitivity of CTRP drugs (top 30) in pan-cancer. (</w:t>
      </w:r>
      <w:r w:rsidR="00062D71" w:rsidRPr="00BC2156">
        <w:rPr>
          <w:rFonts w:eastAsiaTheme="minorEastAsia"/>
          <w:color w:val="000000" w:themeColor="text1"/>
        </w:rPr>
        <w:t>e</w:t>
      </w:r>
      <w:r w:rsidRPr="00BC2156">
        <w:rPr>
          <w:rFonts w:eastAsiaTheme="minorEastAsia"/>
          <w:b w:val="0"/>
          <w:color w:val="000000" w:themeColor="text1"/>
        </w:rPr>
        <w:t>) Figure summarizes the correlation between the expression of NUDCD1-related genes and the sensitivity of GDSC drugs (top 30) in pan-cancer.</w:t>
      </w:r>
    </w:p>
    <w:p w:rsidR="00F379AD" w:rsidRPr="00BC2156" w:rsidRDefault="00DE32C1" w:rsidP="00F379AD">
      <w:pPr>
        <w:pStyle w:val="1"/>
        <w:numPr>
          <w:ilvl w:val="0"/>
          <w:numId w:val="0"/>
        </w:numPr>
        <w:adjustRightInd w:val="0"/>
        <w:snapToGrid w:val="0"/>
        <w:spacing w:before="100" w:beforeAutospacing="1" w:after="0" w:line="360" w:lineRule="auto"/>
        <w:jc w:val="both"/>
        <w:rPr>
          <w:rFonts w:eastAsiaTheme="minorEastAsia"/>
          <w:b w:val="0"/>
          <w:color w:val="000000" w:themeColor="text1"/>
        </w:rPr>
      </w:pPr>
      <w:r w:rsidRPr="00BC2156">
        <w:rPr>
          <w:color w:val="000000" w:themeColor="text1"/>
        </w:rPr>
        <w:t>3</w:t>
      </w:r>
      <w:r w:rsidR="00F379AD" w:rsidRPr="00BC2156">
        <w:rPr>
          <w:color w:val="000000" w:themeColor="text1"/>
        </w:rPr>
        <w:t>. Supplemental Table Captions</w:t>
      </w:r>
    </w:p>
    <w:p w:rsidR="00F379AD" w:rsidRPr="00BC2156" w:rsidRDefault="00F379AD" w:rsidP="00F379AD">
      <w:pPr>
        <w:pStyle w:val="2"/>
        <w:numPr>
          <w:ilvl w:val="0"/>
          <w:numId w:val="0"/>
        </w:numPr>
        <w:adjustRightInd w:val="0"/>
        <w:snapToGrid w:val="0"/>
        <w:spacing w:before="100" w:beforeAutospacing="1" w:after="0" w:line="360" w:lineRule="auto"/>
        <w:ind w:left="567" w:hanging="567"/>
        <w:jc w:val="both"/>
        <w:rPr>
          <w:rFonts w:eastAsiaTheme="minorEastAsia" w:cstheme="minorBidi"/>
          <w:b w:val="0"/>
          <w:color w:val="000000" w:themeColor="text1"/>
          <w:szCs w:val="22"/>
        </w:rPr>
      </w:pPr>
      <w:r w:rsidRPr="00BC2156">
        <w:rPr>
          <w:rFonts w:eastAsiaTheme="minorEastAsia" w:cstheme="minorBidi"/>
          <w:color w:val="000000" w:themeColor="text1"/>
          <w:szCs w:val="22"/>
        </w:rPr>
        <w:t xml:space="preserve">Table S1. </w:t>
      </w:r>
      <w:r w:rsidRPr="00BC2156">
        <w:rPr>
          <w:rFonts w:eastAsiaTheme="minorEastAsia" w:cstheme="minorBidi"/>
          <w:b w:val="0"/>
          <w:color w:val="000000" w:themeColor="text1"/>
          <w:szCs w:val="22"/>
        </w:rPr>
        <w:t xml:space="preserve">Correlations between NUDCD1 expression and CTRP drug sensitivity; </w:t>
      </w:r>
    </w:p>
    <w:p w:rsidR="00B31B01" w:rsidRPr="00BC2156" w:rsidRDefault="00F379AD" w:rsidP="00F379AD">
      <w:pPr>
        <w:pStyle w:val="2"/>
        <w:numPr>
          <w:ilvl w:val="0"/>
          <w:numId w:val="0"/>
        </w:numPr>
        <w:adjustRightInd w:val="0"/>
        <w:snapToGrid w:val="0"/>
        <w:spacing w:before="100" w:beforeAutospacing="1" w:after="0" w:line="360" w:lineRule="auto"/>
        <w:ind w:left="567" w:hanging="567"/>
        <w:jc w:val="both"/>
        <w:rPr>
          <w:rFonts w:eastAsiaTheme="minorEastAsia" w:cstheme="minorBidi"/>
          <w:b w:val="0"/>
          <w:color w:val="000000" w:themeColor="text1"/>
          <w:szCs w:val="22"/>
        </w:rPr>
      </w:pPr>
      <w:r w:rsidRPr="00BC2156">
        <w:rPr>
          <w:rFonts w:eastAsiaTheme="minorEastAsia" w:cstheme="minorBidi"/>
          <w:color w:val="000000" w:themeColor="text1"/>
          <w:szCs w:val="22"/>
        </w:rPr>
        <w:t>Table S2.</w:t>
      </w:r>
      <w:r w:rsidRPr="00BC2156">
        <w:rPr>
          <w:rFonts w:eastAsiaTheme="minorEastAsia" w:cstheme="minorBidi"/>
          <w:b w:val="0"/>
          <w:color w:val="000000" w:themeColor="text1"/>
          <w:szCs w:val="22"/>
        </w:rPr>
        <w:t xml:space="preserve"> Correlations between NUDCD1 expression and GDSC drug sensitivity.</w:t>
      </w:r>
    </w:p>
    <w:p w:rsidR="002C26D4" w:rsidRPr="00BC2156" w:rsidRDefault="00F03E42" w:rsidP="002C26D4">
      <w:pPr>
        <w:pStyle w:val="1"/>
        <w:numPr>
          <w:ilvl w:val="0"/>
          <w:numId w:val="0"/>
        </w:numPr>
        <w:adjustRightInd w:val="0"/>
        <w:snapToGrid w:val="0"/>
        <w:spacing w:before="100" w:beforeAutospacing="1" w:after="0" w:line="360" w:lineRule="auto"/>
        <w:jc w:val="both"/>
        <w:rPr>
          <w:color w:val="000000" w:themeColor="text1"/>
        </w:rPr>
      </w:pPr>
      <w:r w:rsidRPr="00BC2156">
        <w:rPr>
          <w:color w:val="000000" w:themeColor="text1"/>
        </w:rPr>
        <w:t>4. References</w:t>
      </w:r>
    </w:p>
    <w:p w:rsidR="003236DE" w:rsidRPr="00BC2156" w:rsidRDefault="002C26D4" w:rsidP="003236DE">
      <w:pPr>
        <w:pStyle w:val="EndNoteBibliography"/>
        <w:rPr>
          <w:color w:val="000000" w:themeColor="text1"/>
        </w:rPr>
      </w:pPr>
      <w:r w:rsidRPr="00BC2156">
        <w:rPr>
          <w:color w:val="000000" w:themeColor="text1"/>
          <w:lang w:eastAsia="en-US"/>
        </w:rPr>
        <w:fldChar w:fldCharType="begin"/>
      </w:r>
      <w:r w:rsidRPr="00BC2156">
        <w:rPr>
          <w:color w:val="000000" w:themeColor="text1"/>
          <w:lang w:eastAsia="en-US"/>
        </w:rPr>
        <w:instrText xml:space="preserve"> ADDIN EN.REFLIST </w:instrText>
      </w:r>
      <w:r w:rsidRPr="00BC2156">
        <w:rPr>
          <w:color w:val="000000" w:themeColor="text1"/>
          <w:lang w:eastAsia="en-US"/>
        </w:rPr>
        <w:fldChar w:fldCharType="separate"/>
      </w:r>
      <w:r w:rsidR="003236DE" w:rsidRPr="00BC2156">
        <w:rPr>
          <w:color w:val="000000" w:themeColor="text1"/>
        </w:rPr>
        <w:t>[1] B. Han, Y.Y. Zhang, K. Xu, Y. Bai, L.H. Wan, S.K. Miao, K.X. Zhang, H.W. Zhang, Y. Liu, L.M. Zhou, NUDCD1 promotes metastasis through inducing EMT and inhibiting apoptosis in colorectal cancer, Am J Cancer Res 8 (2018) 810-823.</w:t>
      </w:r>
    </w:p>
    <w:p w:rsidR="003236DE" w:rsidRPr="00BC2156" w:rsidRDefault="003236DE" w:rsidP="003236DE">
      <w:pPr>
        <w:pStyle w:val="EndNoteBibliography"/>
        <w:rPr>
          <w:color w:val="000000" w:themeColor="text1"/>
        </w:rPr>
      </w:pPr>
      <w:r w:rsidRPr="00BC2156">
        <w:rPr>
          <w:color w:val="000000" w:themeColor="text1"/>
        </w:rPr>
        <w:t>[2] Y.S. Teng, W.Y. Chen, Z.B. Yan, Y.P. Lv, Y.G. Liu, F.Y. Mao, Y.L. Zhao, L.S. Peng, P. Cheng, M.B. Duan, W. Chen, Y. Wang, P. Luo, Q.M. Zou, J. Chen, Y. Zhuang, L-Plastin Promotes Gastric Cancer Growth and Metastasis in a Helicobacter pylori cagA-ERK-SP1-Dependent Manner, Mol Cancer Res 19 (2021) 968-978. 10.1158/1541-7786.MCR-20-0936.</w:t>
      </w:r>
    </w:p>
    <w:p w:rsidR="00DE32C1" w:rsidRPr="00BC2156" w:rsidRDefault="002C26D4" w:rsidP="00DE32C1">
      <w:pPr>
        <w:spacing w:before="100" w:beforeAutospacing="1"/>
        <w:rPr>
          <w:color w:val="000000" w:themeColor="text1"/>
          <w:lang w:eastAsia="en-US"/>
        </w:rPr>
      </w:pPr>
      <w:r w:rsidRPr="00BC2156">
        <w:rPr>
          <w:color w:val="000000" w:themeColor="text1"/>
          <w:lang w:eastAsia="en-US"/>
        </w:rPr>
        <w:fldChar w:fldCharType="end"/>
      </w:r>
    </w:p>
    <w:sectPr w:rsidR="00DE32C1" w:rsidRPr="00BC21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7AF3" w:rsidRDefault="00307AF3" w:rsidP="00F379AD">
      <w:r>
        <w:separator/>
      </w:r>
    </w:p>
  </w:endnote>
  <w:endnote w:type="continuationSeparator" w:id="0">
    <w:p w:rsidR="00307AF3" w:rsidRDefault="00307AF3" w:rsidP="00F379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7AF3" w:rsidRDefault="00307AF3" w:rsidP="00F379AD">
      <w:r>
        <w:separator/>
      </w:r>
    </w:p>
  </w:footnote>
  <w:footnote w:type="continuationSeparator" w:id="0">
    <w:p w:rsidR="00307AF3" w:rsidRDefault="00307AF3" w:rsidP="00F379A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CE4BB8"/>
    <w:multiLevelType w:val="hybridMultilevel"/>
    <w:tmpl w:val="1C0C65EE"/>
    <w:lvl w:ilvl="0" w:tplc="57D4C6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chemical Biophysical Res&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ezesezvlrvszjerrv1xetzhpp5fzrw0v0za&quot;&gt;My EndNote Library&lt;record-ids&gt;&lt;item&gt;435&lt;/item&gt;&lt;item&gt;436&lt;/item&gt;&lt;item&gt;437&lt;/item&gt;&lt;item&gt;438&lt;/item&gt;&lt;/record-ids&gt;&lt;/item&gt;&lt;/Libraries&gt;"/>
  </w:docVars>
  <w:rsids>
    <w:rsidRoot w:val="009636EF"/>
    <w:rsid w:val="00041D0D"/>
    <w:rsid w:val="00062D71"/>
    <w:rsid w:val="00077FBD"/>
    <w:rsid w:val="00096CA9"/>
    <w:rsid w:val="001920C3"/>
    <w:rsid w:val="002C26D4"/>
    <w:rsid w:val="00307AF3"/>
    <w:rsid w:val="003236DE"/>
    <w:rsid w:val="004046C6"/>
    <w:rsid w:val="00420D47"/>
    <w:rsid w:val="0045539E"/>
    <w:rsid w:val="00525D36"/>
    <w:rsid w:val="00596EE1"/>
    <w:rsid w:val="00832CEA"/>
    <w:rsid w:val="008B0B38"/>
    <w:rsid w:val="009636EF"/>
    <w:rsid w:val="00A15883"/>
    <w:rsid w:val="00A246F2"/>
    <w:rsid w:val="00A757E1"/>
    <w:rsid w:val="00AC77C3"/>
    <w:rsid w:val="00B31B01"/>
    <w:rsid w:val="00BC2156"/>
    <w:rsid w:val="00C126D7"/>
    <w:rsid w:val="00C37648"/>
    <w:rsid w:val="00C64C5E"/>
    <w:rsid w:val="00C84C53"/>
    <w:rsid w:val="00C909A0"/>
    <w:rsid w:val="00CD06F2"/>
    <w:rsid w:val="00CE201B"/>
    <w:rsid w:val="00DE32C1"/>
    <w:rsid w:val="00DF3E5B"/>
    <w:rsid w:val="00F03E42"/>
    <w:rsid w:val="00F379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22913D0-692A-4BBE-A44D-4822C33AA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79AD"/>
    <w:pPr>
      <w:widowControl w:val="0"/>
      <w:jc w:val="both"/>
    </w:pPr>
    <w:rPr>
      <w:rFonts w:ascii="Times New Roman" w:eastAsia="宋体" w:hAnsi="Times New Roman" w:cs="Times New Roman"/>
      <w:szCs w:val="24"/>
    </w:rPr>
  </w:style>
  <w:style w:type="paragraph" w:styleId="1">
    <w:name w:val="heading 1"/>
    <w:basedOn w:val="a0"/>
    <w:next w:val="a"/>
    <w:link w:val="1Char"/>
    <w:uiPriority w:val="2"/>
    <w:qFormat/>
    <w:rsid w:val="00F379AD"/>
    <w:pPr>
      <w:widowControl/>
      <w:numPr>
        <w:numId w:val="1"/>
      </w:numPr>
      <w:spacing w:before="240" w:after="240"/>
      <w:ind w:firstLineChars="0" w:firstLine="0"/>
      <w:jc w:val="left"/>
      <w:outlineLvl w:val="0"/>
    </w:pPr>
    <w:rPr>
      <w:rFonts w:eastAsia="Cambria"/>
      <w:b/>
      <w:kern w:val="0"/>
      <w:sz w:val="24"/>
      <w:lang w:eastAsia="en-US"/>
    </w:rPr>
  </w:style>
  <w:style w:type="paragraph" w:styleId="2">
    <w:name w:val="heading 2"/>
    <w:basedOn w:val="1"/>
    <w:next w:val="a"/>
    <w:link w:val="2Char"/>
    <w:uiPriority w:val="2"/>
    <w:qFormat/>
    <w:rsid w:val="00F379AD"/>
    <w:pPr>
      <w:numPr>
        <w:ilvl w:val="1"/>
      </w:numPr>
      <w:spacing w:after="200"/>
      <w:outlineLvl w:val="1"/>
    </w:pPr>
  </w:style>
  <w:style w:type="paragraph" w:styleId="3">
    <w:name w:val="heading 3"/>
    <w:basedOn w:val="a"/>
    <w:next w:val="a"/>
    <w:link w:val="3Char"/>
    <w:uiPriority w:val="2"/>
    <w:qFormat/>
    <w:rsid w:val="00F379AD"/>
    <w:pPr>
      <w:keepNext/>
      <w:keepLines/>
      <w:widowControl/>
      <w:numPr>
        <w:ilvl w:val="2"/>
        <w:numId w:val="1"/>
      </w:numPr>
      <w:spacing w:before="40" w:after="120"/>
      <w:jc w:val="left"/>
      <w:outlineLvl w:val="2"/>
    </w:pPr>
    <w:rPr>
      <w:rFonts w:eastAsiaTheme="majorEastAsia" w:cstheme="majorBidi"/>
      <w:b/>
      <w:kern w:val="0"/>
      <w:sz w:val="24"/>
      <w:lang w:eastAsia="en-US"/>
    </w:rPr>
  </w:style>
  <w:style w:type="paragraph" w:styleId="4">
    <w:name w:val="heading 4"/>
    <w:basedOn w:val="3"/>
    <w:next w:val="a"/>
    <w:link w:val="4Char"/>
    <w:uiPriority w:val="2"/>
    <w:qFormat/>
    <w:rsid w:val="00F379AD"/>
    <w:pPr>
      <w:numPr>
        <w:ilvl w:val="3"/>
      </w:numPr>
      <w:outlineLvl w:val="3"/>
    </w:pPr>
    <w:rPr>
      <w:iCs/>
    </w:rPr>
  </w:style>
  <w:style w:type="paragraph" w:styleId="5">
    <w:name w:val="heading 5"/>
    <w:basedOn w:val="4"/>
    <w:next w:val="a"/>
    <w:link w:val="5Char"/>
    <w:uiPriority w:val="2"/>
    <w:qFormat/>
    <w:rsid w:val="00F379AD"/>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F379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F379AD"/>
    <w:rPr>
      <w:sz w:val="18"/>
      <w:szCs w:val="18"/>
    </w:rPr>
  </w:style>
  <w:style w:type="paragraph" w:styleId="a5">
    <w:name w:val="footer"/>
    <w:basedOn w:val="a"/>
    <w:link w:val="Char0"/>
    <w:uiPriority w:val="99"/>
    <w:unhideWhenUsed/>
    <w:rsid w:val="00F379AD"/>
    <w:pPr>
      <w:tabs>
        <w:tab w:val="center" w:pos="4153"/>
        <w:tab w:val="right" w:pos="8306"/>
      </w:tabs>
      <w:snapToGrid w:val="0"/>
      <w:jc w:val="left"/>
    </w:pPr>
    <w:rPr>
      <w:sz w:val="18"/>
      <w:szCs w:val="18"/>
    </w:rPr>
  </w:style>
  <w:style w:type="character" w:customStyle="1" w:styleId="Char0">
    <w:name w:val="页脚 Char"/>
    <w:basedOn w:val="a1"/>
    <w:link w:val="a5"/>
    <w:uiPriority w:val="99"/>
    <w:rsid w:val="00F379AD"/>
    <w:rPr>
      <w:sz w:val="18"/>
      <w:szCs w:val="18"/>
    </w:rPr>
  </w:style>
  <w:style w:type="character" w:customStyle="1" w:styleId="1Char">
    <w:name w:val="标题 1 Char"/>
    <w:basedOn w:val="a1"/>
    <w:link w:val="1"/>
    <w:uiPriority w:val="2"/>
    <w:rsid w:val="00F379AD"/>
    <w:rPr>
      <w:rFonts w:ascii="Times New Roman" w:eastAsia="Cambria" w:hAnsi="Times New Roman" w:cs="Times New Roman"/>
      <w:b/>
      <w:kern w:val="0"/>
      <w:sz w:val="24"/>
      <w:szCs w:val="24"/>
      <w:lang w:eastAsia="en-US"/>
    </w:rPr>
  </w:style>
  <w:style w:type="character" w:customStyle="1" w:styleId="2Char">
    <w:name w:val="标题 2 Char"/>
    <w:basedOn w:val="a1"/>
    <w:link w:val="2"/>
    <w:uiPriority w:val="2"/>
    <w:rsid w:val="00F379AD"/>
    <w:rPr>
      <w:rFonts w:ascii="Times New Roman" w:eastAsia="Cambria" w:hAnsi="Times New Roman" w:cs="Times New Roman"/>
      <w:b/>
      <w:kern w:val="0"/>
      <w:sz w:val="24"/>
      <w:szCs w:val="24"/>
      <w:lang w:eastAsia="en-US"/>
    </w:rPr>
  </w:style>
  <w:style w:type="character" w:customStyle="1" w:styleId="3Char">
    <w:name w:val="标题 3 Char"/>
    <w:basedOn w:val="a1"/>
    <w:link w:val="3"/>
    <w:uiPriority w:val="2"/>
    <w:rsid w:val="00F379AD"/>
    <w:rPr>
      <w:rFonts w:ascii="Times New Roman" w:eastAsiaTheme="majorEastAsia" w:hAnsi="Times New Roman" w:cstheme="majorBidi"/>
      <w:b/>
      <w:kern w:val="0"/>
      <w:sz w:val="24"/>
      <w:szCs w:val="24"/>
      <w:lang w:eastAsia="en-US"/>
    </w:rPr>
  </w:style>
  <w:style w:type="character" w:customStyle="1" w:styleId="4Char">
    <w:name w:val="标题 4 Char"/>
    <w:basedOn w:val="a1"/>
    <w:link w:val="4"/>
    <w:uiPriority w:val="2"/>
    <w:rsid w:val="00F379AD"/>
    <w:rPr>
      <w:rFonts w:ascii="Times New Roman" w:eastAsiaTheme="majorEastAsia" w:hAnsi="Times New Roman" w:cstheme="majorBidi"/>
      <w:b/>
      <w:iCs/>
      <w:kern w:val="0"/>
      <w:sz w:val="24"/>
      <w:szCs w:val="24"/>
      <w:lang w:eastAsia="en-US"/>
    </w:rPr>
  </w:style>
  <w:style w:type="character" w:customStyle="1" w:styleId="5Char">
    <w:name w:val="标题 5 Char"/>
    <w:basedOn w:val="a1"/>
    <w:link w:val="5"/>
    <w:uiPriority w:val="2"/>
    <w:rsid w:val="00F379AD"/>
    <w:rPr>
      <w:rFonts w:ascii="Times New Roman" w:eastAsiaTheme="majorEastAsia" w:hAnsi="Times New Roman" w:cstheme="majorBidi"/>
      <w:b/>
      <w:iCs/>
      <w:kern w:val="0"/>
      <w:sz w:val="24"/>
      <w:szCs w:val="24"/>
      <w:lang w:eastAsia="en-US"/>
    </w:rPr>
  </w:style>
  <w:style w:type="numbering" w:customStyle="1" w:styleId="Headings">
    <w:name w:val="Headings"/>
    <w:uiPriority w:val="99"/>
    <w:rsid w:val="00F379AD"/>
    <w:pPr>
      <w:numPr>
        <w:numId w:val="1"/>
      </w:numPr>
    </w:pPr>
  </w:style>
  <w:style w:type="paragraph" w:styleId="a0">
    <w:name w:val="List Paragraph"/>
    <w:basedOn w:val="a"/>
    <w:uiPriority w:val="34"/>
    <w:qFormat/>
    <w:rsid w:val="00F379AD"/>
    <w:pPr>
      <w:ind w:firstLineChars="200" w:firstLine="420"/>
    </w:pPr>
  </w:style>
  <w:style w:type="character" w:customStyle="1" w:styleId="fontstyle01">
    <w:name w:val="fontstyle01"/>
    <w:basedOn w:val="a1"/>
    <w:rsid w:val="00CD06F2"/>
    <w:rPr>
      <w:rFonts w:ascii="Arial" w:hAnsi="Arial" w:cs="Arial" w:hint="default"/>
      <w:b w:val="0"/>
      <w:bCs w:val="0"/>
      <w:i w:val="0"/>
      <w:iCs w:val="0"/>
      <w:color w:val="000000"/>
      <w:sz w:val="22"/>
      <w:szCs w:val="22"/>
    </w:rPr>
  </w:style>
  <w:style w:type="character" w:customStyle="1" w:styleId="fontstyle21">
    <w:name w:val="fontstyle21"/>
    <w:basedOn w:val="a1"/>
    <w:rsid w:val="00CD06F2"/>
    <w:rPr>
      <w:rFonts w:ascii="Times New Roman" w:hAnsi="Times New Roman" w:cs="Times New Roman" w:hint="default"/>
      <w:b w:val="0"/>
      <w:bCs w:val="0"/>
      <w:i w:val="0"/>
      <w:iCs w:val="0"/>
      <w:color w:val="000000"/>
      <w:sz w:val="22"/>
      <w:szCs w:val="22"/>
    </w:rPr>
  </w:style>
  <w:style w:type="paragraph" w:customStyle="1" w:styleId="EndNoteBibliographyTitle">
    <w:name w:val="EndNote Bibliography Title"/>
    <w:basedOn w:val="a"/>
    <w:link w:val="EndNoteBibliographyTitleChar"/>
    <w:rsid w:val="002C26D4"/>
    <w:pPr>
      <w:jc w:val="center"/>
    </w:pPr>
    <w:rPr>
      <w:noProof/>
      <w:sz w:val="20"/>
    </w:rPr>
  </w:style>
  <w:style w:type="character" w:customStyle="1" w:styleId="EndNoteBibliographyTitleChar">
    <w:name w:val="EndNote Bibliography Title Char"/>
    <w:basedOn w:val="a1"/>
    <w:link w:val="EndNoteBibliographyTitle"/>
    <w:rsid w:val="002C26D4"/>
    <w:rPr>
      <w:rFonts w:ascii="Times New Roman" w:eastAsia="宋体" w:hAnsi="Times New Roman" w:cs="Times New Roman"/>
      <w:noProof/>
      <w:sz w:val="20"/>
      <w:szCs w:val="24"/>
    </w:rPr>
  </w:style>
  <w:style w:type="paragraph" w:customStyle="1" w:styleId="EndNoteBibliography">
    <w:name w:val="EndNote Bibliography"/>
    <w:basedOn w:val="a"/>
    <w:link w:val="EndNoteBibliographyChar"/>
    <w:rsid w:val="002C26D4"/>
    <w:rPr>
      <w:noProof/>
      <w:sz w:val="20"/>
    </w:rPr>
  </w:style>
  <w:style w:type="character" w:customStyle="1" w:styleId="EndNoteBibliographyChar">
    <w:name w:val="EndNote Bibliography Char"/>
    <w:basedOn w:val="a1"/>
    <w:link w:val="EndNoteBibliography"/>
    <w:rsid w:val="002C26D4"/>
    <w:rPr>
      <w:rFonts w:ascii="Times New Roman" w:eastAsia="宋体" w:hAnsi="Times New Roman" w:cs="Times New Roman"/>
      <w:noProof/>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172</TotalTime>
  <Pages>5</Pages>
  <Words>2246</Words>
  <Characters>12808</Characters>
  <Application>Microsoft Office Word</Application>
  <DocSecurity>0</DocSecurity>
  <Lines>106</Lines>
  <Paragraphs>30</Paragraphs>
  <ScaleCrop>false</ScaleCrop>
  <Company>Microsoft</Company>
  <LinksUpToDate>false</LinksUpToDate>
  <CharactersWithSpaces>15024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dc:creator>
  <cp:keywords/>
  <dc:description/>
  <cp:lastModifiedBy>韩</cp:lastModifiedBy>
  <cp:revision>20</cp:revision>
  <dcterms:created xsi:type="dcterms:W3CDTF">2022-08-03T16:09:00Z</dcterms:created>
  <dcterms:modified xsi:type="dcterms:W3CDTF">2022-10-31T03:13:00Z</dcterms:modified>
</cp:coreProperties>
</file>